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442D80" w14:textId="77777777" w:rsidR="00C27F4C" w:rsidRPr="00CD467E" w:rsidRDefault="00C27F4C" w:rsidP="00C27F4C">
      <w:pPr>
        <w:spacing w:before="100" w:beforeAutospacing="1" w:after="100" w:afterAutospacing="1" w:line="240" w:lineRule="auto"/>
        <w:ind w:left="2124" w:firstLine="708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</w:p>
    <w:p w14:paraId="4D926349" w14:textId="116B6C9C" w:rsidR="00B43962" w:rsidRPr="00CD467E" w:rsidRDefault="00B43962" w:rsidP="00C27F4C">
      <w:pPr>
        <w:spacing w:before="100" w:beforeAutospacing="1" w:after="100" w:afterAutospacing="1" w:line="240" w:lineRule="auto"/>
        <w:ind w:left="2124" w:firstLine="708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t>Poznámky malej účtovnej jednotky k 31. 12. 20</w:t>
      </w:r>
      <w:r w:rsidR="004E7DF5">
        <w:rPr>
          <w:rFonts w:eastAsia="Times New Roman" w:cstheme="minorHAnsi"/>
          <w:b/>
          <w:bCs/>
          <w:sz w:val="24"/>
          <w:szCs w:val="24"/>
          <w:lang w:eastAsia="sk-SK"/>
        </w:rPr>
        <w:t>2</w:t>
      </w:r>
      <w:r w:rsidR="000C0449">
        <w:rPr>
          <w:rFonts w:eastAsia="Times New Roman" w:cstheme="minorHAnsi"/>
          <w:b/>
          <w:bCs/>
          <w:sz w:val="24"/>
          <w:szCs w:val="24"/>
          <w:lang w:eastAsia="sk-SK"/>
        </w:rPr>
        <w:t>1</w:t>
      </w:r>
    </w:p>
    <w:p w14:paraId="03F7D4EB" w14:textId="77777777" w:rsidR="00C27F4C" w:rsidRPr="00CD467E" w:rsidRDefault="00B43962" w:rsidP="00C27F4C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t>Čl. I</w:t>
      </w: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br/>
        <w:t>Všeobecné informácie</w:t>
      </w:r>
    </w:p>
    <w:p w14:paraId="55AFF657" w14:textId="77777777" w:rsidR="00C27F4C" w:rsidRPr="00CD467E" w:rsidRDefault="00F948D9" w:rsidP="00F948D9">
      <w:pPr>
        <w:spacing w:before="100" w:beforeAutospacing="1" w:after="100" w:afterAutospacing="1" w:line="240" w:lineRule="auto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  <w:r w:rsidRPr="00CD467E">
        <w:rPr>
          <w:rFonts w:cstheme="minorHAnsi"/>
          <w:b/>
          <w:sz w:val="24"/>
          <w:szCs w:val="24"/>
        </w:rPr>
        <w:t>1.</w:t>
      </w:r>
      <w:r w:rsidR="00C27F4C" w:rsidRPr="00CD467E">
        <w:rPr>
          <w:rFonts w:cstheme="minorHAnsi"/>
          <w:b/>
          <w:sz w:val="24"/>
          <w:szCs w:val="24"/>
        </w:rPr>
        <w:t>Obchodné meno a sídlo spoločnosti:</w:t>
      </w:r>
    </w:p>
    <w:p w14:paraId="5A8A3F92" w14:textId="0628ABDE" w:rsidR="00C27F4C" w:rsidRDefault="004E7DF5" w:rsidP="00F948D9">
      <w:pPr>
        <w:pStyle w:val="Nzov"/>
        <w:spacing w:after="60"/>
        <w:jc w:val="left"/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>BSRK consulting</w:t>
      </w:r>
      <w:r w:rsidR="00CB7E54" w:rsidRPr="00CD467E">
        <w:rPr>
          <w:rFonts w:asciiTheme="minorHAnsi" w:hAnsiTheme="minorHAnsi" w:cstheme="minorHAnsi"/>
          <w:b w:val="0"/>
          <w:sz w:val="24"/>
          <w:szCs w:val="24"/>
        </w:rPr>
        <w:t xml:space="preserve"> s.r.o.</w:t>
      </w:r>
    </w:p>
    <w:p w14:paraId="04B5A753" w14:textId="4D9DFBAE" w:rsidR="001E762D" w:rsidRDefault="001E762D" w:rsidP="001E762D">
      <w:pPr>
        <w:pStyle w:val="Bezriadkovania"/>
        <w:rPr>
          <w:rFonts w:asciiTheme="minorHAnsi" w:hAnsiTheme="minorHAnsi" w:cstheme="minorHAnsi"/>
          <w:sz w:val="24"/>
        </w:rPr>
      </w:pPr>
      <w:r w:rsidRPr="00CD467E">
        <w:rPr>
          <w:rFonts w:asciiTheme="minorHAnsi" w:hAnsiTheme="minorHAnsi" w:cstheme="minorHAnsi"/>
          <w:sz w:val="24"/>
        </w:rPr>
        <w:t xml:space="preserve">Sídlo: </w:t>
      </w:r>
      <w:r w:rsidR="004E7DF5">
        <w:rPr>
          <w:rFonts w:asciiTheme="minorHAnsi" w:hAnsiTheme="minorHAnsi" w:cstheme="minorHAnsi"/>
          <w:sz w:val="24"/>
        </w:rPr>
        <w:t>Terchovská 2652/16, Košice</w:t>
      </w:r>
    </w:p>
    <w:p w14:paraId="40CD1AB4" w14:textId="178632BA" w:rsidR="004E7DF5" w:rsidRDefault="004E7DF5" w:rsidP="001E762D">
      <w:pPr>
        <w:pStyle w:val="Bezriadkovania"/>
        <w:rPr>
          <w:rFonts w:asciiTheme="minorHAnsi" w:hAnsiTheme="minorHAnsi" w:cstheme="minorHAnsi"/>
          <w:sz w:val="24"/>
        </w:rPr>
      </w:pPr>
    </w:p>
    <w:p w14:paraId="47E0C21D" w14:textId="5B928E72" w:rsidR="00C27F4C" w:rsidRDefault="00C27F4C" w:rsidP="00C27F4C">
      <w:pPr>
        <w:pStyle w:val="Nzov"/>
        <w:spacing w:after="60"/>
        <w:jc w:val="left"/>
        <w:rPr>
          <w:rFonts w:asciiTheme="minorHAnsi" w:hAnsiTheme="minorHAnsi" w:cstheme="minorHAnsi"/>
          <w:sz w:val="24"/>
          <w:szCs w:val="24"/>
        </w:rPr>
      </w:pPr>
      <w:r w:rsidRPr="00CD467E">
        <w:rPr>
          <w:rFonts w:asciiTheme="minorHAnsi" w:hAnsiTheme="minorHAnsi" w:cstheme="minorHAnsi"/>
          <w:sz w:val="24"/>
          <w:szCs w:val="24"/>
        </w:rPr>
        <w:t>Hlavnými činnosťami spoločnosti sú:</w:t>
      </w:r>
    </w:p>
    <w:p w14:paraId="5A37BC90" w14:textId="159C85EF" w:rsidR="004E7DF5" w:rsidRPr="00655538" w:rsidRDefault="004E7DF5" w:rsidP="004E7DF5">
      <w:pPr>
        <w:pStyle w:val="Bezriadkovania"/>
        <w:rPr>
          <w:rStyle w:val="ra"/>
          <w:rFonts w:asciiTheme="minorHAnsi" w:hAnsiTheme="minorHAnsi" w:cstheme="minorHAnsi"/>
          <w:sz w:val="24"/>
        </w:rPr>
      </w:pPr>
      <w:r w:rsidRPr="00655538">
        <w:rPr>
          <w:rStyle w:val="ra"/>
          <w:rFonts w:asciiTheme="minorHAnsi" w:hAnsiTheme="minorHAnsi" w:cstheme="minorHAnsi"/>
          <w:sz w:val="24"/>
        </w:rPr>
        <w:t>Vydavateľská činnosť, polygrafická výroba a knihárske práce</w:t>
      </w:r>
    </w:p>
    <w:p w14:paraId="30CAD860" w14:textId="00AAD050" w:rsidR="004E7DF5" w:rsidRPr="00655538" w:rsidRDefault="004E7DF5" w:rsidP="004E7DF5">
      <w:pPr>
        <w:pStyle w:val="Bezriadkovania"/>
        <w:rPr>
          <w:rFonts w:asciiTheme="minorHAnsi" w:hAnsiTheme="minorHAnsi" w:cstheme="minorHAnsi"/>
          <w:sz w:val="24"/>
        </w:rPr>
      </w:pPr>
      <w:r w:rsidRPr="00655538">
        <w:rPr>
          <w:rStyle w:val="ra"/>
          <w:rFonts w:asciiTheme="minorHAnsi" w:hAnsiTheme="minorHAnsi" w:cstheme="minorHAnsi"/>
          <w:sz w:val="24"/>
        </w:rPr>
        <w:t>Výskum a vývoj v oblasti prírodných, technických, spoločenských a humanitných vied</w:t>
      </w:r>
    </w:p>
    <w:p w14:paraId="45138EE8" w14:textId="77777777" w:rsidR="003F4007" w:rsidRPr="00655538" w:rsidRDefault="003F4007" w:rsidP="004E7DF5">
      <w:pPr>
        <w:pStyle w:val="Bezriadkovania"/>
        <w:rPr>
          <w:rFonts w:asciiTheme="minorHAnsi" w:hAnsiTheme="minorHAnsi" w:cstheme="minorHAnsi"/>
          <w:vanish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3F4007" w:rsidRPr="00655538" w14:paraId="2BEB3076" w14:textId="77777777" w:rsidTr="003F400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A5E3A31" w14:textId="0F26B41E" w:rsidR="003F4007" w:rsidRPr="00655538" w:rsidRDefault="003F4007" w:rsidP="004E7DF5">
            <w:pPr>
              <w:pStyle w:val="Bezriadkovania"/>
              <w:rPr>
                <w:rFonts w:asciiTheme="minorHAnsi" w:hAnsiTheme="minorHAnsi" w:cstheme="minorHAnsi"/>
                <w:sz w:val="24"/>
                <w:lang w:eastAsia="sk-SK"/>
              </w:rPr>
            </w:pPr>
          </w:p>
        </w:tc>
      </w:tr>
    </w:tbl>
    <w:p w14:paraId="78AEDD5B" w14:textId="77777777" w:rsidR="00CB7E54" w:rsidRPr="00655538" w:rsidRDefault="00CB7E54" w:rsidP="004E7DF5">
      <w:pPr>
        <w:pStyle w:val="Bezriadkovania"/>
        <w:rPr>
          <w:rFonts w:asciiTheme="minorHAnsi" w:hAnsiTheme="minorHAnsi" w:cstheme="minorHAnsi"/>
          <w:sz w:val="24"/>
          <w:lang w:eastAsia="sk-SK"/>
        </w:rPr>
      </w:pPr>
    </w:p>
    <w:p w14:paraId="3FED7E36" w14:textId="77777777" w:rsidR="00655538" w:rsidRPr="00655538" w:rsidRDefault="00C27F4C" w:rsidP="00655538">
      <w:pPr>
        <w:pStyle w:val="Bezriadkovania"/>
        <w:rPr>
          <w:rFonts w:asciiTheme="minorHAnsi" w:hAnsiTheme="minorHAnsi" w:cstheme="minorHAnsi"/>
          <w:sz w:val="24"/>
        </w:rPr>
      </w:pPr>
      <w:r w:rsidRPr="00655538">
        <w:rPr>
          <w:rFonts w:asciiTheme="minorHAnsi" w:hAnsiTheme="minorHAnsi" w:cstheme="minorHAnsi"/>
          <w:b/>
          <w:sz w:val="24"/>
          <w:lang w:eastAsia="sk-SK"/>
        </w:rPr>
        <w:t>Dátum schválenia účtovnej závierky</w:t>
      </w:r>
      <w:r w:rsidRPr="00655538">
        <w:rPr>
          <w:rFonts w:asciiTheme="minorHAnsi" w:hAnsiTheme="minorHAnsi" w:cstheme="minorHAnsi"/>
          <w:sz w:val="24"/>
          <w:lang w:eastAsia="sk-SK"/>
        </w:rPr>
        <w:t xml:space="preserve"> za bezprostredne predchádzajúce účtovné obdobie príslušným orgánom spoločnosti: </w:t>
      </w:r>
      <w:r w:rsidR="00655538" w:rsidRPr="00655538">
        <w:rPr>
          <w:rFonts w:asciiTheme="minorHAnsi" w:hAnsiTheme="minorHAnsi" w:cstheme="minorHAnsi"/>
          <w:sz w:val="24"/>
          <w:lang w:eastAsia="sk-SK"/>
        </w:rPr>
        <w:t xml:space="preserve"> </w:t>
      </w:r>
      <w:r w:rsidR="00655538" w:rsidRPr="00655538">
        <w:rPr>
          <w:rFonts w:asciiTheme="minorHAnsi" w:hAnsiTheme="minorHAnsi" w:cstheme="minorHAnsi"/>
          <w:sz w:val="24"/>
        </w:rPr>
        <w:t>Spoločnosť vznikla 23.1.2020</w:t>
      </w:r>
    </w:p>
    <w:p w14:paraId="676ED8A1" w14:textId="150FB5BC" w:rsidR="00C27F4C" w:rsidRPr="00655538" w:rsidRDefault="00C27F4C" w:rsidP="00C27F4C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</w:p>
    <w:p w14:paraId="227979F9" w14:textId="77777777" w:rsidR="00C27F4C" w:rsidRPr="00CD467E" w:rsidRDefault="00C27F4C" w:rsidP="00C27F4C">
      <w:pPr>
        <w:pStyle w:val="Bezriadkovania"/>
        <w:rPr>
          <w:rFonts w:asciiTheme="minorHAnsi" w:hAnsiTheme="minorHAnsi" w:cstheme="minorHAnsi"/>
          <w:sz w:val="24"/>
        </w:rPr>
      </w:pPr>
    </w:p>
    <w:p w14:paraId="294904FF" w14:textId="77777777" w:rsidR="00C27F4C" w:rsidRPr="00CD467E" w:rsidRDefault="00C27F4C" w:rsidP="00C27F4C">
      <w:pPr>
        <w:spacing w:after="0" w:line="240" w:lineRule="auto"/>
        <w:rPr>
          <w:rFonts w:cstheme="minorHAnsi"/>
          <w:sz w:val="24"/>
          <w:szCs w:val="24"/>
        </w:rPr>
      </w:pPr>
      <w:r w:rsidRPr="00CD467E">
        <w:rPr>
          <w:rFonts w:cstheme="minorHAnsi"/>
          <w:b/>
          <w:sz w:val="24"/>
          <w:szCs w:val="24"/>
        </w:rPr>
        <w:t>Právny dôvod na zostavenie účtovnej závierky</w:t>
      </w:r>
    </w:p>
    <w:p w14:paraId="715185AC" w14:textId="487641D2" w:rsidR="00C27F4C" w:rsidRPr="00CD467E" w:rsidRDefault="00C27F4C" w:rsidP="00C27F4C">
      <w:pPr>
        <w:rPr>
          <w:rFonts w:cstheme="minorHAnsi"/>
          <w:sz w:val="24"/>
          <w:szCs w:val="24"/>
        </w:rPr>
      </w:pPr>
      <w:r w:rsidRPr="00CD467E">
        <w:rPr>
          <w:rFonts w:cstheme="minorHAnsi"/>
          <w:sz w:val="24"/>
          <w:szCs w:val="24"/>
        </w:rPr>
        <w:t>Účtovná závierka Spoločnosti k 31. decembru 20</w:t>
      </w:r>
      <w:r w:rsidR="004E7DF5">
        <w:rPr>
          <w:rFonts w:cstheme="minorHAnsi"/>
          <w:sz w:val="24"/>
          <w:szCs w:val="24"/>
        </w:rPr>
        <w:t>2</w:t>
      </w:r>
      <w:r w:rsidR="00F3523D">
        <w:rPr>
          <w:rFonts w:cstheme="minorHAnsi"/>
          <w:sz w:val="24"/>
          <w:szCs w:val="24"/>
        </w:rPr>
        <w:t>1</w:t>
      </w:r>
      <w:r w:rsidRPr="00CD467E">
        <w:rPr>
          <w:rFonts w:cstheme="minorHAnsi"/>
          <w:sz w:val="24"/>
          <w:szCs w:val="24"/>
        </w:rPr>
        <w:t xml:space="preserve"> je zostavená ako riadna účtovná závierka podľa § 17 ods. 6 zákona NR SR č. 431/2002 Z. z. o účtovníctve, za účtovné obdobie od 1. januára 20</w:t>
      </w:r>
      <w:r w:rsidR="004E7DF5">
        <w:rPr>
          <w:rFonts w:cstheme="minorHAnsi"/>
          <w:sz w:val="24"/>
          <w:szCs w:val="24"/>
        </w:rPr>
        <w:t>2</w:t>
      </w:r>
      <w:r w:rsidR="000C0449">
        <w:rPr>
          <w:rFonts w:cstheme="minorHAnsi"/>
          <w:sz w:val="24"/>
          <w:szCs w:val="24"/>
        </w:rPr>
        <w:t>1</w:t>
      </w:r>
      <w:r w:rsidRPr="00CD467E">
        <w:rPr>
          <w:rFonts w:cstheme="minorHAnsi"/>
          <w:sz w:val="24"/>
          <w:szCs w:val="24"/>
        </w:rPr>
        <w:t xml:space="preserve"> do 31. decembra 20</w:t>
      </w:r>
      <w:r w:rsidR="004E7DF5">
        <w:rPr>
          <w:rFonts w:cstheme="minorHAnsi"/>
          <w:sz w:val="24"/>
          <w:szCs w:val="24"/>
        </w:rPr>
        <w:t>2</w:t>
      </w:r>
      <w:r w:rsidR="000C0449">
        <w:rPr>
          <w:rFonts w:cstheme="minorHAnsi"/>
          <w:sz w:val="24"/>
          <w:szCs w:val="24"/>
        </w:rPr>
        <w:t>1</w:t>
      </w:r>
      <w:r w:rsidRPr="00CD467E">
        <w:rPr>
          <w:rFonts w:cstheme="minorHAnsi"/>
          <w:sz w:val="24"/>
          <w:szCs w:val="24"/>
        </w:rPr>
        <w:t>.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C27F4C" w:rsidRPr="00CD467E" w14:paraId="7308D5FB" w14:textId="77777777" w:rsidTr="003F77D1">
        <w:trPr>
          <w:tblCellSpacing w:w="15" w:type="dxa"/>
        </w:trPr>
        <w:tc>
          <w:tcPr>
            <w:tcW w:w="0" w:type="auto"/>
            <w:hideMark/>
          </w:tcPr>
          <w:p w14:paraId="5F820BEC" w14:textId="77777777" w:rsidR="00C27F4C" w:rsidRPr="00CD467E" w:rsidRDefault="00CB7E54" w:rsidP="003F77D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b/>
                <w:sz w:val="24"/>
                <w:szCs w:val="24"/>
                <w:lang w:eastAsia="sk-SK"/>
              </w:rPr>
              <w:t>2.</w:t>
            </w:r>
            <w:r w:rsidR="00C27F4C" w:rsidRPr="00CD467E">
              <w:rPr>
                <w:rFonts w:eastAsia="Times New Roman" w:cstheme="minorHAnsi"/>
                <w:b/>
                <w:sz w:val="24"/>
                <w:szCs w:val="24"/>
                <w:lang w:eastAsia="sk-SK"/>
              </w:rPr>
              <w:t>Údaje o</w:t>
            </w:r>
            <w:r w:rsidRPr="00CD467E">
              <w:rPr>
                <w:rFonts w:eastAsia="Times New Roman" w:cstheme="minorHAnsi"/>
                <w:b/>
                <w:sz w:val="24"/>
                <w:szCs w:val="24"/>
                <w:lang w:eastAsia="sk-SK"/>
              </w:rPr>
              <w:t> materskej účtovnej jednotke a povinnosti zostaviť konsolidovanú účtovnú závierku</w:t>
            </w:r>
            <w:r w:rsidR="00C27F4C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: spoločnosť nie je súčasťou žiadnej skupiny.</w:t>
            </w:r>
          </w:p>
          <w:p w14:paraId="1B104111" w14:textId="77777777" w:rsidR="00E43302" w:rsidRPr="00CD467E" w:rsidRDefault="00E43302" w:rsidP="003F77D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  <w:p w14:paraId="599CE4F8" w14:textId="77777777" w:rsidR="00F948D9" w:rsidRPr="00CD467E" w:rsidRDefault="00F948D9" w:rsidP="003F77D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  <w:tr w:rsidR="00C27F4C" w:rsidRPr="00CD467E" w14:paraId="425BC95E" w14:textId="77777777" w:rsidTr="003F77D1">
        <w:trPr>
          <w:tblCellSpacing w:w="15" w:type="dxa"/>
        </w:trPr>
        <w:tc>
          <w:tcPr>
            <w:tcW w:w="0" w:type="auto"/>
            <w:hideMark/>
          </w:tcPr>
          <w:p w14:paraId="350600DC" w14:textId="7E1894F2" w:rsidR="00C27F4C" w:rsidRPr="00CD467E" w:rsidRDefault="00CB7E54" w:rsidP="003F77D1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b/>
                <w:sz w:val="24"/>
                <w:szCs w:val="24"/>
                <w:lang w:eastAsia="sk-SK"/>
              </w:rPr>
              <w:t>3</w:t>
            </w:r>
            <w:r w:rsidR="00C27F4C" w:rsidRPr="00CD467E">
              <w:rPr>
                <w:rFonts w:eastAsia="Times New Roman" w:cstheme="minorHAnsi"/>
                <w:b/>
                <w:sz w:val="24"/>
                <w:szCs w:val="24"/>
                <w:lang w:eastAsia="sk-SK"/>
              </w:rPr>
              <w:t>.</w:t>
            </w:r>
            <w:r w:rsidR="00C27F4C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</w:t>
            </w:r>
            <w:r w:rsidR="00C27F4C" w:rsidRPr="00CD467E">
              <w:rPr>
                <w:rFonts w:eastAsia="Times New Roman" w:cstheme="minorHAnsi"/>
                <w:b/>
                <w:sz w:val="24"/>
                <w:szCs w:val="24"/>
                <w:lang w:eastAsia="sk-SK"/>
              </w:rPr>
              <w:t>Priemerný prepočítaný počet zamestnancov spoločnosti</w:t>
            </w:r>
            <w:r w:rsidR="00C27F4C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: </w:t>
            </w:r>
            <w:r w:rsidR="000C0449">
              <w:rPr>
                <w:rFonts w:eastAsia="Times New Roman" w:cstheme="minorHAnsi"/>
                <w:sz w:val="24"/>
                <w:szCs w:val="24"/>
                <w:lang w:eastAsia="sk-SK"/>
              </w:rPr>
              <w:t>1</w:t>
            </w:r>
            <w:r w:rsidR="004E7DF5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(</w:t>
            </w:r>
            <w:r w:rsidR="000C0449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+ </w:t>
            </w:r>
            <w:r w:rsidR="004E7DF5">
              <w:rPr>
                <w:rFonts w:eastAsia="Times New Roman" w:cstheme="minorHAnsi"/>
                <w:sz w:val="24"/>
                <w:szCs w:val="24"/>
                <w:lang w:eastAsia="sk-SK"/>
              </w:rPr>
              <w:t>dohodári)</w:t>
            </w:r>
          </w:p>
        </w:tc>
      </w:tr>
    </w:tbl>
    <w:p w14:paraId="564905FF" w14:textId="77777777" w:rsidR="00B43962" w:rsidRPr="00CD467E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t>Čl. II</w:t>
      </w:r>
    </w:p>
    <w:p w14:paraId="4A77E23A" w14:textId="77777777" w:rsidR="00B43962" w:rsidRPr="00CD467E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t>Informácie o prijatých postupoch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5"/>
        <w:gridCol w:w="10121"/>
      </w:tblGrid>
      <w:tr w:rsidR="00B43962" w:rsidRPr="00CD467E" w14:paraId="23351516" w14:textId="77777777" w:rsidTr="00B43962">
        <w:trPr>
          <w:tblCellSpacing w:w="15" w:type="dxa"/>
        </w:trPr>
        <w:tc>
          <w:tcPr>
            <w:tcW w:w="300" w:type="dxa"/>
            <w:hideMark/>
          </w:tcPr>
          <w:p w14:paraId="742E95B2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1</w:t>
            </w:r>
            <w:r w:rsidR="00A3318C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0" w:type="auto"/>
            <w:hideMark/>
          </w:tcPr>
          <w:p w14:paraId="3A31CA92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Účtovná závierka bola vypracovaná v súlade so zákonom č. </w:t>
            </w:r>
            <w:hyperlink r:id="rId8" w:tgtFrame="_blank" w:history="1">
              <w:r w:rsidRPr="00CD467E">
                <w:rPr>
                  <w:rFonts w:eastAsia="Times New Roman" w:cstheme="minorHAnsi"/>
                  <w:color w:val="0000FF"/>
                  <w:sz w:val="24"/>
                  <w:szCs w:val="24"/>
                  <w:u w:val="single"/>
                  <w:lang w:eastAsia="sk-SK"/>
                </w:rPr>
                <w:t>431/2002 Z. z.</w:t>
              </w:r>
            </w:hyperlink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o účtovníctve v znení neskorších predpisov a Opatrením MF SR č. 23054/2002-92, ktorým sa ustanovujú podrobnosti o postupoch účtovania a rámcovej účtovej osnove pre podnikateľov v znení neskorších predpisov. Menou pre vykazovanie je EURO.</w:t>
            </w:r>
          </w:p>
        </w:tc>
      </w:tr>
      <w:tr w:rsidR="00B43962" w:rsidRPr="00CD467E" w14:paraId="47918D7C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4676C2DC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2</w:t>
            </w:r>
            <w:r w:rsidR="00A3318C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0" w:type="auto"/>
            <w:hideMark/>
          </w:tcPr>
          <w:p w14:paraId="551E51E7" w14:textId="77777777" w:rsidR="00B43962" w:rsidRPr="00CD467E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Táto účtovná závierka bola vypracovaná na základe historických cien a za predpokladu nepretržitého trvania účtovnej jednotky, t. j. vychádza z predpokladu, že spoločnosť bude realizovať svoje aktíva, záväzky a dohody v rámci riadneho chodu svojej činnosti. Zostavenie tejto účtovnej závierky si vyžaduje, aby vedenie spoločnosti robilo určité odhady, ktoré majú vplyv na vykazované hodnoty aktív a pasív spoločnosti a vykazované náklady a výnosy za vykazované obdobie. Budúce udalosti a ich vplyvy sa nedajú predvídať s určitosťou, preto pri výskyte nových udalostí sa skutočné výsledky môžu líšiť od účtovných odhadov. V účtovnej závierke sa použili tieto odhady a predpoklady:</w:t>
            </w:r>
          </w:p>
          <w:p w14:paraId="0738FEE9" w14:textId="77777777" w:rsidR="00B43962" w:rsidRPr="00CD467E" w:rsidRDefault="00B43962" w:rsidP="00B4396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určenie doby použitia pri dlhodobom majetku,</w:t>
            </w:r>
          </w:p>
          <w:p w14:paraId="3097EB04" w14:textId="77777777" w:rsidR="00B43962" w:rsidRPr="00CD467E" w:rsidRDefault="00B43962" w:rsidP="00B4396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lastRenderedPageBreak/>
              <w:t>hodnotenie majetku, či nedošlo k zníženiu jeho hodnoty (tvorba opravných položiek),</w:t>
            </w:r>
          </w:p>
          <w:p w14:paraId="4F1FBF09" w14:textId="77777777" w:rsidR="00B43962" w:rsidRPr="00CD467E" w:rsidRDefault="00B43962" w:rsidP="00B4396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hodnotenie, či sú zásoby vykázané v realizovateľnej hodnote (tvorba opravných položiek),</w:t>
            </w:r>
          </w:p>
          <w:p w14:paraId="0FF09A28" w14:textId="77777777" w:rsidR="00B43962" w:rsidRPr="00CD467E" w:rsidRDefault="00B43962" w:rsidP="00B4396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hodnotenie, či úhrada pohľadávok nie je pochybná (tvorba opravných položiek),</w:t>
            </w:r>
          </w:p>
          <w:p w14:paraId="1C56BADD" w14:textId="77777777" w:rsidR="00B43962" w:rsidRPr="00CD467E" w:rsidRDefault="00B43962" w:rsidP="00B4396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zistenie a vykázanie podmienených záväzkov a majetku.</w:t>
            </w:r>
          </w:p>
          <w:p w14:paraId="464B6AF4" w14:textId="77777777" w:rsidR="00B43962" w:rsidRPr="00CD467E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Účtovníctvo je vedené na ak</w:t>
            </w:r>
            <w:r w:rsidR="00A3318C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t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uálnom princípe, t. j. o nákladoch a výnosoch sa účtuje v momente, keď sú plnené bez ohľadu na dátum ich úhrady, inkasa alebo deň vyrovnania iným spôsobom. Dodržuje sa pritom zásada časovej a vecnej súvislosti nákladov a výnosov. Pri oceňovaní sa uplatňuje princíp historických cien. Položky, ktoré sa oceňujú v reálnej hodnote (realizovateľné cenné papiere a deriváty držané na obchodovanie), spoločnosť nevlastní.</w:t>
            </w:r>
          </w:p>
          <w:p w14:paraId="5652F518" w14:textId="77777777" w:rsidR="00F948D9" w:rsidRPr="00CD467E" w:rsidRDefault="00B43962" w:rsidP="00F948D9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Hlavné účtovné zásady a metódy použité pri zostavení tejto účtovnej závierky sú uvedené ďalej. Tieto zásady boli uplatnené aj v bezprostredne predchádzajúcom účtovnom období a vychádzajú z platnej legislatívy.</w:t>
            </w:r>
          </w:p>
        </w:tc>
      </w:tr>
      <w:tr w:rsidR="00B43962" w:rsidRPr="00CD467E" w14:paraId="464D9B8D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35ED99E0" w14:textId="77777777" w:rsidR="00B43962" w:rsidRPr="00CD467E" w:rsidRDefault="00A3318C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lastRenderedPageBreak/>
              <w:t xml:space="preserve">3. </w:t>
            </w:r>
          </w:p>
        </w:tc>
        <w:tc>
          <w:tcPr>
            <w:tcW w:w="0" w:type="auto"/>
            <w:hideMark/>
          </w:tcPr>
          <w:p w14:paraId="7734F951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Účtovná jednotka nevykonávala transakcie, ktoré sa neuvádzajú v súvahe.</w:t>
            </w:r>
          </w:p>
        </w:tc>
      </w:tr>
      <w:tr w:rsidR="00B43962" w:rsidRPr="00CD467E" w14:paraId="380E1285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2A554545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4</w:t>
            </w:r>
            <w:r w:rsidR="00A3318C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0" w:type="auto"/>
            <w:hideMark/>
          </w:tcPr>
          <w:p w14:paraId="244F21C3" w14:textId="77777777" w:rsidR="00B43962" w:rsidRPr="00CD467E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Spôsob a určenie ocenenia majetku a záväzkov:</w:t>
            </w:r>
          </w:p>
          <w:p w14:paraId="0ACF0A70" w14:textId="77777777" w:rsidR="00B43962" w:rsidRPr="00CD467E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a) Dlhodobý nehmotný a dlhodobý hmotný majetok</w:t>
            </w:r>
          </w:p>
          <w:p w14:paraId="43D020F0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Ocenenie pri obstaraní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Dlhodobý nehmotný a hmotný majetok sa vykazuje v obstarávacích cenách znížených o oprávky a straty zo zníženia hodnoty (opravné položky). Spoločnosť opravné položky k dlhodobému majetku netvorila. Obstarávacia cena zahrnuje cenu obstarania a náklady súvisiace s obstaraním (clo, dovoznú prirážku, prepravu, montáž a pod.). Súčasťou obstarávacej ceny nie sú úroky z úverov.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 xml:space="preserve">Spoločnosť </w:t>
            </w:r>
            <w:r w:rsidR="00CB7E54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ne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vedie kategóriu dlhodobého nehmotného majetku, ktorého obstarávacia cena je 2 400 EUR a vyššia.</w:t>
            </w:r>
          </w:p>
          <w:p w14:paraId="228C5E26" w14:textId="77777777" w:rsidR="00B43962" w:rsidRPr="00CD467E" w:rsidRDefault="00B43962" w:rsidP="00A3318C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Spoločnosť </w:t>
            </w:r>
            <w:r w:rsidR="00CB7E54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ne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vedie kategóriu drobného dlhodobého hmotného majetku (ocenenie rovné alebo nižšie ako 1 700 </w:t>
            </w:r>
            <w:r w:rsidR="001D74CB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EUR</w:t>
            </w:r>
          </w:p>
          <w:p w14:paraId="0F7439ED" w14:textId="77777777" w:rsidR="00B43962" w:rsidRPr="00CD467E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b) </w:t>
            </w: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Zásoby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br/>
            </w:r>
            <w:r w:rsidR="00146147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spoločnosť nenakupuje zásoby</w:t>
            </w:r>
          </w:p>
          <w:p w14:paraId="78DEF5B6" w14:textId="77777777" w:rsidR="00B43962" w:rsidRPr="00CD467E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c) Pohľadávky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Pohľadávky sa pri ich vzniku oceňujú ich menovitou hodnotou; postúpené pohľadávky a pohľadávky nadobudnuté vkladom do základného imania sa oceňujú obstarávacou cenou vrátane nákladov súvisiacich s obstaraním. Toto ocenenie sa znižuje tvorbou opravnej položky. Spoločnosť netvorila opravnú položku k pohľadávke.</w:t>
            </w:r>
          </w:p>
          <w:p w14:paraId="1C85454D" w14:textId="77777777" w:rsidR="00B43962" w:rsidRPr="00CD467E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d) Peňažné prostriedky a ceniny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Peňažné prostriedky a ceniny sa oceňujú ich menovitou hodnotou. Zníženie ich hodnoty sa vyjadruje opravnou položkou. Spoločnosť netvorila opravnú položku k peňažným prostriedkom a ceninám.</w:t>
            </w:r>
          </w:p>
          <w:p w14:paraId="3FC049F4" w14:textId="6CE9EBE5" w:rsidR="00B43962" w:rsidRPr="00CD467E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e) Náklady budúcich období, príjmy budúcich období, výdavky budúcich období a výnosy budúcich období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br/>
            </w:r>
            <w:r w:rsidR="00146147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spoločnosť účtuje o </w:t>
            </w:r>
            <w:r w:rsidR="004E7DF5">
              <w:rPr>
                <w:rFonts w:eastAsia="Times New Roman" w:cstheme="minorHAnsi"/>
                <w:sz w:val="24"/>
                <w:szCs w:val="24"/>
                <w:lang w:eastAsia="sk-SK"/>
              </w:rPr>
              <w:t>výnosoch</w:t>
            </w:r>
            <w:r w:rsidR="00146147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budúcich období</w:t>
            </w:r>
          </w:p>
          <w:p w14:paraId="4EE1EB35" w14:textId="2B25ACDB" w:rsidR="00B43962" w:rsidRPr="00CD467E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lastRenderedPageBreak/>
              <w:t>f) Rezervy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 xml:space="preserve">spoločnosť </w:t>
            </w:r>
            <w:r w:rsidR="004E7DF5">
              <w:rPr>
                <w:rFonts w:eastAsia="Times New Roman" w:cstheme="minorHAnsi"/>
                <w:sz w:val="24"/>
                <w:szCs w:val="24"/>
                <w:lang w:eastAsia="sk-SK"/>
              </w:rPr>
              <w:t>ne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tvorila</w:t>
            </w:r>
            <w:r w:rsidR="001E762D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</w:t>
            </w:r>
            <w:r w:rsidR="00146147"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rezervy</w:t>
            </w:r>
            <w:r w:rsidR="003F4007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</w:t>
            </w:r>
          </w:p>
          <w:p w14:paraId="4C093ABA" w14:textId="77777777" w:rsidR="00B43962" w:rsidRPr="00CD467E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g) Záväzky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  <w:p w14:paraId="191ECFAF" w14:textId="014F8A6C" w:rsidR="00B43962" w:rsidRPr="00CD467E" w:rsidRDefault="00B43962" w:rsidP="00B43962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h) Daň z príjmov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 xml:space="preserve">Daň z príjmov sa skladá zo splatnej dane, o odloženej dani spoločnosť neúčtuje. Splatná daň z príjmov sa počíta vo výške </w:t>
            </w:r>
            <w:r w:rsidR="004E7DF5">
              <w:rPr>
                <w:rFonts w:eastAsia="Times New Roman" w:cstheme="minorHAnsi"/>
                <w:sz w:val="24"/>
                <w:szCs w:val="24"/>
                <w:lang w:eastAsia="sk-SK"/>
              </w:rPr>
              <w:t>15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% daňového základu, ktorý sa vypočítal úpravou účtovného výsledku hospodárenia pred daňou o pripočítateľné a odpočítateľné položky.</w:t>
            </w:r>
          </w:p>
          <w:p w14:paraId="29335B16" w14:textId="77777777" w:rsidR="00146147" w:rsidRPr="00CD467E" w:rsidRDefault="00146147" w:rsidP="00146147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3.</w:t>
            </w: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 xml:space="preserve"> Tvorba odpisového plánu</w:t>
            </w:r>
          </w:p>
          <w:p w14:paraId="323A1836" w14:textId="01636E87" w:rsidR="00146147" w:rsidRDefault="00146147" w:rsidP="00146147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Dlhodobý nehmotný majetok:</w:t>
            </w: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br/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spoločnosť o dlhodobom nehmotnom majetku neúčtuje</w:t>
            </w:r>
          </w:p>
          <w:p w14:paraId="5E93EB56" w14:textId="77777777" w:rsidR="00655538" w:rsidRPr="00CD467E" w:rsidRDefault="00655538" w:rsidP="00146147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  <w:p w14:paraId="79BF9273" w14:textId="77777777" w:rsidR="00146147" w:rsidRPr="00CD467E" w:rsidRDefault="00146147" w:rsidP="00146147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Dlhodobý hmotný majetok:</w:t>
            </w:r>
            <w:r w:rsidRPr="00CD467E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br/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Odpisy dlhodobého hmotného majetku sú stanovené vychádzajúc z predpokladanej doby jeho používania a predpokladaného priebehu jeho opotrebovania. Odpisovať sa začína počnúc mesiacom zaradenia dlhodobého majetku do používania. 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      </w:r>
          </w:p>
          <w:p w14:paraId="456246E1" w14:textId="77777777" w:rsidR="00146147" w:rsidRPr="00CD467E" w:rsidRDefault="00146147" w:rsidP="00146147">
            <w:pPr>
              <w:spacing w:before="100" w:beforeAutospacing="1" w:after="100" w:afterAutospacing="1" w:line="240" w:lineRule="auto"/>
              <w:rPr>
                <w:rFonts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Predpokladaná doba používania: </w:t>
            </w:r>
            <w:r w:rsidRPr="00CD467E">
              <w:rPr>
                <w:rFonts w:cstheme="minorHAnsi"/>
                <w:sz w:val="24"/>
                <w:szCs w:val="24"/>
                <w:lang w:eastAsia="sk-SK"/>
              </w:rPr>
              <w:t>osobného úžitkového automobilu je 4 roky, pričom sa odpisuje lineárne</w:t>
            </w:r>
          </w:p>
          <w:p w14:paraId="6645FE60" w14:textId="77777777" w:rsidR="00146147" w:rsidRPr="00CD467E" w:rsidRDefault="00146147" w:rsidP="00146147">
            <w:pPr>
              <w:spacing w:before="100" w:beforeAutospacing="1" w:after="100" w:afterAutospacing="1" w:line="240" w:lineRule="auto"/>
              <w:rPr>
                <w:rFonts w:cstheme="minorHAnsi"/>
                <w:sz w:val="24"/>
                <w:szCs w:val="24"/>
                <w:lang w:eastAsia="sk-SK"/>
              </w:rPr>
            </w:pPr>
            <w:r w:rsidRPr="00CD467E">
              <w:rPr>
                <w:rFonts w:cstheme="minorHAnsi"/>
                <w:sz w:val="24"/>
                <w:szCs w:val="24"/>
                <w:lang w:eastAsia="sk-SK"/>
              </w:rPr>
              <w:t>4. Zmeny účtovných zásad a zmeny účtovných metód s uvedením dôvodu týchto zmien a vyčíslením ich vplyvu na finančnú hodnotu majetku, záväzkov, základného imania a výsledku  hospodárenia účtovnej jednotky</w:t>
            </w:r>
          </w:p>
          <w:p w14:paraId="263CA482" w14:textId="77777777" w:rsidR="00146147" w:rsidRPr="00CD467E" w:rsidRDefault="00146147" w:rsidP="00146147">
            <w:pPr>
              <w:spacing w:before="100" w:beforeAutospacing="1" w:after="100" w:afterAutospacing="1" w:line="240" w:lineRule="auto"/>
              <w:rPr>
                <w:rFonts w:cstheme="minorHAnsi"/>
                <w:sz w:val="24"/>
                <w:szCs w:val="24"/>
                <w:lang w:eastAsia="sk-SK"/>
              </w:rPr>
            </w:pPr>
            <w:r w:rsidRPr="00CD467E">
              <w:rPr>
                <w:rFonts w:cstheme="minorHAnsi"/>
                <w:sz w:val="24"/>
                <w:szCs w:val="24"/>
                <w:lang w:eastAsia="sk-SK"/>
              </w:rPr>
              <w:t>Spoločnosť neúčtovala</w:t>
            </w:r>
          </w:p>
          <w:p w14:paraId="7F7FDDD3" w14:textId="77777777" w:rsidR="00146147" w:rsidRPr="00CD467E" w:rsidRDefault="00146147" w:rsidP="00146147">
            <w:pPr>
              <w:spacing w:before="100" w:beforeAutospacing="1" w:after="100" w:afterAutospacing="1" w:line="240" w:lineRule="auto"/>
              <w:rPr>
                <w:rFonts w:cstheme="minorHAnsi"/>
                <w:sz w:val="24"/>
                <w:szCs w:val="24"/>
                <w:lang w:eastAsia="sk-SK"/>
              </w:rPr>
            </w:pPr>
            <w:r w:rsidRPr="00CD467E">
              <w:rPr>
                <w:rFonts w:cstheme="minorHAnsi"/>
                <w:sz w:val="24"/>
                <w:szCs w:val="24"/>
                <w:lang w:eastAsia="sk-SK"/>
              </w:rPr>
              <w:t>5. Informácie o dotáciách a ich oceňovanie v účtovníctve</w:t>
            </w:r>
          </w:p>
          <w:p w14:paraId="676DD63F" w14:textId="77777777" w:rsidR="00146147" w:rsidRPr="00CD467E" w:rsidRDefault="00146147" w:rsidP="00146147">
            <w:pPr>
              <w:spacing w:before="100" w:beforeAutospacing="1" w:after="100" w:afterAutospacing="1" w:line="240" w:lineRule="auto"/>
              <w:rPr>
                <w:rFonts w:cstheme="minorHAnsi"/>
                <w:sz w:val="24"/>
                <w:szCs w:val="24"/>
                <w:lang w:eastAsia="sk-SK"/>
              </w:rPr>
            </w:pPr>
            <w:r w:rsidRPr="00CD467E">
              <w:rPr>
                <w:rFonts w:cstheme="minorHAnsi"/>
                <w:sz w:val="24"/>
                <w:szCs w:val="24"/>
                <w:lang w:eastAsia="sk-SK"/>
              </w:rPr>
              <w:t>Spoločnosť neúčtovala</w:t>
            </w:r>
          </w:p>
          <w:p w14:paraId="7BC10C9E" w14:textId="77777777" w:rsidR="001D74CB" w:rsidRPr="00CD467E" w:rsidRDefault="001135D1" w:rsidP="001135D1">
            <w:pPr>
              <w:spacing w:before="100" w:beforeAutospacing="1" w:after="100" w:afterAutospacing="1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cstheme="minorHAnsi"/>
                <w:sz w:val="24"/>
                <w:szCs w:val="24"/>
              </w:rPr>
              <w:t>6. Informácie o účtovaní významných opráv chýb minulých účtovných období v bežnom účtovnom období s 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B43962" w:rsidRPr="00CD467E" w14:paraId="66DEB92D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0EE93B61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hideMark/>
          </w:tcPr>
          <w:p w14:paraId="2497C185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Spoločnosť nevykonávala opravu chýb minulých účtovných období.</w:t>
            </w:r>
          </w:p>
          <w:p w14:paraId="6CE7D784" w14:textId="77777777" w:rsidR="00755401" w:rsidRPr="00CD467E" w:rsidRDefault="00755401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  <w:p w14:paraId="1543D8BE" w14:textId="77777777" w:rsidR="00755401" w:rsidRPr="00CD467E" w:rsidRDefault="00755401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14:paraId="0972F07B" w14:textId="77777777" w:rsidR="00B43962" w:rsidRPr="00CD467E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t>Čl. I</w:t>
      </w:r>
      <w:r w:rsidR="001135D1" w:rsidRPr="00CD467E">
        <w:rPr>
          <w:rFonts w:eastAsia="Times New Roman" w:cstheme="minorHAnsi"/>
          <w:b/>
          <w:bCs/>
          <w:sz w:val="24"/>
          <w:szCs w:val="24"/>
          <w:lang w:eastAsia="sk-SK"/>
        </w:rPr>
        <w:t>II</w:t>
      </w:r>
    </w:p>
    <w:p w14:paraId="19805F33" w14:textId="77777777" w:rsidR="00B43962" w:rsidRPr="00CD467E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lastRenderedPageBreak/>
        <w:t>Informácie, ktoré vysvetľujú a dopĺňajú súvahu a výkaz ziskov a</w:t>
      </w:r>
      <w:r w:rsidR="001135D1" w:rsidRPr="00CD467E">
        <w:rPr>
          <w:rFonts w:eastAsia="Times New Roman" w:cstheme="minorHAnsi"/>
          <w:b/>
          <w:bCs/>
          <w:sz w:val="24"/>
          <w:szCs w:val="24"/>
          <w:lang w:eastAsia="sk-SK"/>
        </w:rPr>
        <w:t> </w:t>
      </w: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t>strát</w:t>
      </w:r>
    </w:p>
    <w:p w14:paraId="6CD0EA10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CD467E">
        <w:rPr>
          <w:rFonts w:eastAsia="Times New Roman" w:cstheme="minorHAnsi"/>
          <w:sz w:val="24"/>
          <w:szCs w:val="24"/>
          <w:lang w:eastAsia="sk-SK"/>
        </w:rPr>
        <w:t xml:space="preserve">1. </w:t>
      </w:r>
      <w:r w:rsidRPr="001135D1">
        <w:rPr>
          <w:rFonts w:eastAsia="Times New Roman" w:cstheme="minorHAnsi"/>
          <w:sz w:val="24"/>
          <w:szCs w:val="24"/>
          <w:lang w:eastAsia="sk-SK"/>
        </w:rPr>
        <w:t>Informácia o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sume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predaja podniku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alebo časti podniku, náklady z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dôvodu predaja podniku alebo časti podniku, škody z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dôvodu živelných pohrôm.</w:t>
      </w:r>
    </w:p>
    <w:p w14:paraId="25B04D0B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2Informácie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o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záväzkoch, a</w:t>
      </w:r>
      <w:r w:rsidRPr="00CD467E">
        <w:rPr>
          <w:rFonts w:eastAsia="Times New Roman" w:cstheme="minorHAnsi"/>
          <w:sz w:val="24"/>
          <w:szCs w:val="24"/>
          <w:lang w:eastAsia="sk-SK"/>
        </w:rPr>
        <w:t> </w:t>
      </w:r>
      <w:r w:rsidRPr="001135D1">
        <w:rPr>
          <w:rFonts w:eastAsia="Times New Roman" w:cstheme="minorHAnsi"/>
          <w:sz w:val="24"/>
          <w:szCs w:val="24"/>
          <w:lang w:eastAsia="sk-SK"/>
        </w:rPr>
        <w:t>to</w:t>
      </w:r>
    </w:p>
    <w:p w14:paraId="778861C1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a)celkovej sume záväzkov so zostatkovou dobou splatnosti dlhšou ako päť rokov,</w:t>
      </w:r>
    </w:p>
    <w:p w14:paraId="461B233F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b)celkovej sume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zabezpečených záväzkov, opis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spôsoby zabezpečenia záväzkov.</w:t>
      </w:r>
    </w:p>
    <w:p w14:paraId="1A2404BA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(3)Informácie o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vlastných akciách, a</w:t>
      </w:r>
      <w:r w:rsidRPr="00CD467E">
        <w:rPr>
          <w:rFonts w:eastAsia="Times New Roman" w:cstheme="minorHAnsi"/>
          <w:sz w:val="24"/>
          <w:szCs w:val="24"/>
          <w:lang w:eastAsia="sk-SK"/>
        </w:rPr>
        <w:t> </w:t>
      </w:r>
      <w:r w:rsidRPr="001135D1">
        <w:rPr>
          <w:rFonts w:eastAsia="Times New Roman" w:cstheme="minorHAnsi"/>
          <w:sz w:val="24"/>
          <w:szCs w:val="24"/>
          <w:lang w:eastAsia="sk-SK"/>
        </w:rPr>
        <w:t>to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</w:p>
    <w:p w14:paraId="72D60911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a)dôvode nadobudnutia vlastných akcií počas účtovného obdobia,</w:t>
      </w:r>
    </w:p>
    <w:p w14:paraId="1826C58B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b)informáciách, ktorými sú</w:t>
      </w:r>
    </w:p>
    <w:p w14:paraId="22751C6C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1.počet a menovitá hodnota nadobudnutých vlastných akcií počas účtovného obdobia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počet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menovitá hodnota prevedených vlastných akcií počas účtovného obdobia, pričom sa uvádza percentuálna hodnota týchto vlastných akcií na upísanom základnom imaní,</w:t>
      </w:r>
    </w:p>
    <w:p w14:paraId="01D0142F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2.počet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hodnota, za ktorú sa vlastné akcie počas účtovného obdobia nadobudli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počet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hodnota, za ktorú sa vlastné akcie počas účtovného obdobia previedli na inú osobu,</w:t>
      </w:r>
    </w:p>
    <w:p w14:paraId="26A3045A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c)počte,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menovitej hodnote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hodnote, za ktorú sa vlastné akcie nadobudli a ktoré účtovná jednotka má v držbe k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poslednému dňu účtovného obdobia; uvádza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sa aj ich percentuálny podiel na upísanom základnom imaní.</w:t>
      </w:r>
    </w:p>
    <w:p w14:paraId="56EAA9CB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(4)Informácie o orgánoch účtovnej jednotky, a</w:t>
      </w:r>
      <w:r w:rsidRPr="00CD467E">
        <w:rPr>
          <w:rFonts w:eastAsia="Times New Roman" w:cstheme="minorHAnsi"/>
          <w:sz w:val="24"/>
          <w:szCs w:val="24"/>
          <w:lang w:eastAsia="sk-SK"/>
        </w:rPr>
        <w:t> </w:t>
      </w:r>
      <w:r w:rsidRPr="001135D1">
        <w:rPr>
          <w:rFonts w:eastAsia="Times New Roman" w:cstheme="minorHAnsi"/>
          <w:sz w:val="24"/>
          <w:szCs w:val="24"/>
          <w:lang w:eastAsia="sk-SK"/>
        </w:rPr>
        <w:t>to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</w:p>
    <w:p w14:paraId="0380AAF7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a)výške jednotlivých druhov záruk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to včlenení za jednotlivé orgány,</w:t>
      </w:r>
    </w:p>
    <w:p w14:paraId="7A2B6D84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b)pôžičkách poskytnutých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členom štatutárneho orgánu, dozorného orgánu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iného orgánu účtovnej jednotky a to1.celková suma poskytnutých pôžičiek k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poslednému dňu účtovného obdobia včlenení za jednotlivé orgány,</w:t>
      </w:r>
    </w:p>
    <w:p w14:paraId="6F154C19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2.celková suma splatených pôžičiek k</w:t>
      </w:r>
      <w:r w:rsidRPr="00CD467E">
        <w:rPr>
          <w:rFonts w:eastAsia="Times New Roman" w:cstheme="minorHAnsi"/>
          <w:sz w:val="24"/>
          <w:szCs w:val="24"/>
          <w:lang w:eastAsia="sk-SK"/>
        </w:rPr>
        <w:t> </w:t>
      </w:r>
      <w:r w:rsidRPr="001135D1">
        <w:rPr>
          <w:rFonts w:eastAsia="Times New Roman" w:cstheme="minorHAnsi"/>
          <w:sz w:val="24"/>
          <w:szCs w:val="24"/>
          <w:lang w:eastAsia="sk-SK"/>
        </w:rPr>
        <w:t>poslednému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dňu účtovného obdobia v</w:t>
      </w:r>
      <w:r w:rsidRPr="00CD467E">
        <w:rPr>
          <w:rFonts w:eastAsia="Times New Roman" w:cstheme="minorHAnsi"/>
          <w:sz w:val="24"/>
          <w:szCs w:val="24"/>
          <w:lang w:eastAsia="sk-SK"/>
        </w:rPr>
        <w:t> </w:t>
      </w:r>
      <w:r w:rsidRPr="001135D1">
        <w:rPr>
          <w:rFonts w:eastAsia="Times New Roman" w:cstheme="minorHAnsi"/>
          <w:sz w:val="24"/>
          <w:szCs w:val="24"/>
          <w:lang w:eastAsia="sk-SK"/>
        </w:rPr>
        <w:t>členení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za jednotlivé orgány,</w:t>
      </w:r>
    </w:p>
    <w:p w14:paraId="1F1551B2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3.celková suma odpustených pôžičiek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odpísaných pôžičiek k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poslednému dňu účtovného obdobia včlenení za jednotlivé orgány,</w:t>
      </w:r>
    </w:p>
    <w:p w14:paraId="0FEBE1D3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c)hlavných podmienkach,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na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základe ktorých im boli záruky alebo iné zabezpečenie a pôžičky poskytnuté; pri pôžičkách sa uvádzajú úrokové sadzby,</w:t>
      </w:r>
    </w:p>
    <w:p w14:paraId="67430C0E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d)celkovej sume použitých finančných prostriedkov alebo iného plnenia na súkromné účely členmi štatutárneho orgánu,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dozorného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orgánu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iného orgánu účtovnej jednotky,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ktoré je potrebné vyúčtovať.</w:t>
      </w:r>
    </w:p>
    <w:p w14:paraId="12325BF7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(5)Informácie o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povinnostiach účtovnej jednotky, a</w:t>
      </w:r>
      <w:r w:rsidRPr="00CD467E">
        <w:rPr>
          <w:rFonts w:eastAsia="Times New Roman" w:cstheme="minorHAnsi"/>
          <w:sz w:val="24"/>
          <w:szCs w:val="24"/>
          <w:lang w:eastAsia="sk-SK"/>
        </w:rPr>
        <w:t> </w:t>
      </w:r>
      <w:r w:rsidRPr="001135D1">
        <w:rPr>
          <w:rFonts w:eastAsia="Times New Roman" w:cstheme="minorHAnsi"/>
          <w:sz w:val="24"/>
          <w:szCs w:val="24"/>
          <w:lang w:eastAsia="sk-SK"/>
        </w:rPr>
        <w:t>to</w:t>
      </w:r>
    </w:p>
    <w:p w14:paraId="30FED545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a)celkovej sume finančných povinností, ktoré sa nevykazujú v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súvahe, ale sú významné na posúdenie finančnej situácie účtovnej jednotky, napríklad povinnosti nájomcu vyplývajúce z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operatívneho prenájmu, z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licenčných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koncesionárskych zmlúv s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uvedením sumy poplatku za celé zostávajúce obdobie platnosti zmluvy,</w:t>
      </w:r>
    </w:p>
    <w:p w14:paraId="3B4876EF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b)celkovej sume významných podmienených záväzkov, ktorými sa rozumie</w:t>
      </w:r>
    </w:p>
    <w:p w14:paraId="66077182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1.možná povinnosť, ktorá vznikla ako dôsledok minulej udalosti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ktorej existencia závisí od toho, či nastane alebo nenastane jedna alebo viac neistých udalostí v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budúcnosti, ktorých vznik nezávisí od účtovnej jednotky,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alebo</w:t>
      </w:r>
    </w:p>
    <w:p w14:paraId="469A7B64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2.existujúca povinnosť, ktorá vznikla ako dôsledok minulej udalosti, ale ktorá sa nevykazuje v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súvahe, pretože</w:t>
      </w:r>
    </w:p>
    <w:p w14:paraId="2F7C8C23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2a.nie je pravdepodobné, že na splnenie tejto povinnosti bude potrebný úbytok ekonomických úžitkov, alebo</w:t>
      </w:r>
    </w:p>
    <w:p w14:paraId="5818E844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2b.výška tejto povinnosti sa nedá spoľahlivo oceniť,</w:t>
      </w:r>
    </w:p>
    <w:p w14:paraId="4E935277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c)opise významných finančných povinností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významných podmienených záväzkov,</w:t>
      </w:r>
    </w:p>
    <w:p w14:paraId="04CF904D" w14:textId="2D6C553D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lastRenderedPageBreak/>
        <w:t>d)celkovej sume významných finančných povinností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významných podmienených záväzkoch voči dcérskej účtovnej jednotke 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účtovnej jednotke s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podstatným vplyvom,</w:t>
      </w:r>
    </w:p>
    <w:p w14:paraId="29DF911F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e)opise významných povinností účtovnej jednotky vyplývajúcich z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dôchodkových programov pre zamestnancov.</w:t>
      </w:r>
    </w:p>
    <w:p w14:paraId="00CF201E" w14:textId="77777777" w:rsidR="001135D1" w:rsidRPr="00CD467E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>(6)Informácie o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v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akejkoľvek forme, a ak sa</w:t>
      </w:r>
      <w:r w:rsidRPr="00CD467E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1135D1">
        <w:rPr>
          <w:rFonts w:eastAsia="Times New Roman" w:cstheme="minorHAnsi"/>
          <w:sz w:val="24"/>
          <w:szCs w:val="24"/>
          <w:lang w:eastAsia="sk-SK"/>
        </w:rPr>
        <w:t>zároveň vykonávajú aj iné činnosti, uvádzajú sa aj informácie oa)všetkých formách prijatej náhrady,</w:t>
      </w:r>
    </w:p>
    <w:p w14:paraId="250FC7D0" w14:textId="77777777" w:rsidR="001135D1" w:rsidRPr="001135D1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1135D1">
        <w:rPr>
          <w:rFonts w:eastAsia="Times New Roman" w:cstheme="minorHAnsi"/>
          <w:sz w:val="24"/>
          <w:szCs w:val="24"/>
          <w:lang w:eastAsia="sk-SK"/>
        </w:rPr>
        <w:t xml:space="preserve">b)účtovných zásadách použitých pri prideľovaní </w:t>
      </w:r>
    </w:p>
    <w:p w14:paraId="697130C8" w14:textId="4088EE7B" w:rsidR="001135D1" w:rsidRPr="00CD467E" w:rsidRDefault="001135D1" w:rsidP="001135D1">
      <w:pPr>
        <w:spacing w:after="0" w:line="240" w:lineRule="auto"/>
        <w:rPr>
          <w:rFonts w:cstheme="minorHAnsi"/>
          <w:sz w:val="24"/>
          <w:szCs w:val="24"/>
        </w:rPr>
      </w:pPr>
      <w:r w:rsidRPr="00CD467E">
        <w:rPr>
          <w:rFonts w:cstheme="minorHAnsi"/>
          <w:sz w:val="24"/>
          <w:szCs w:val="24"/>
        </w:rPr>
        <w:t>nákladov a</w:t>
      </w:r>
      <w:r w:rsidR="0082298B">
        <w:rPr>
          <w:rFonts w:cstheme="minorHAnsi"/>
          <w:sz w:val="24"/>
          <w:szCs w:val="24"/>
        </w:rPr>
        <w:t xml:space="preserve"> </w:t>
      </w:r>
      <w:r w:rsidRPr="00CD467E">
        <w:rPr>
          <w:rFonts w:cstheme="minorHAnsi"/>
          <w:sz w:val="24"/>
          <w:szCs w:val="24"/>
        </w:rPr>
        <w:t>výnosov,</w:t>
      </w:r>
    </w:p>
    <w:p w14:paraId="3669532B" w14:textId="77777777" w:rsidR="001135D1" w:rsidRPr="001135D1" w:rsidRDefault="001135D1" w:rsidP="001135D1">
      <w:pPr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 w:rsidRPr="00CD467E">
        <w:rPr>
          <w:rFonts w:cstheme="minorHAnsi"/>
          <w:sz w:val="24"/>
          <w:szCs w:val="24"/>
        </w:rPr>
        <w:t>c)všetkých druhoch činností účtovnej jednotky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5"/>
        <w:gridCol w:w="10121"/>
      </w:tblGrid>
      <w:tr w:rsidR="00B43962" w:rsidRPr="00CD467E" w14:paraId="5E89C462" w14:textId="77777777" w:rsidTr="00B43962">
        <w:trPr>
          <w:tblCellSpacing w:w="15" w:type="dxa"/>
        </w:trPr>
        <w:tc>
          <w:tcPr>
            <w:tcW w:w="300" w:type="dxa"/>
            <w:hideMark/>
          </w:tcPr>
          <w:p w14:paraId="34841E54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(1)</w:t>
            </w:r>
          </w:p>
        </w:tc>
        <w:tc>
          <w:tcPr>
            <w:tcW w:w="0" w:type="auto"/>
            <w:hideMark/>
          </w:tcPr>
          <w:p w14:paraId="4B8C4040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Spoločnosť o goodwille neúčtuje.</w:t>
            </w:r>
          </w:p>
        </w:tc>
      </w:tr>
      <w:tr w:rsidR="00B43962" w:rsidRPr="00CD467E" w14:paraId="13928A36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663FBFC3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(2)</w:t>
            </w:r>
          </w:p>
        </w:tc>
        <w:tc>
          <w:tcPr>
            <w:tcW w:w="0" w:type="auto"/>
            <w:hideMark/>
          </w:tcPr>
          <w:p w14:paraId="36AC85B7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Spoločnosť o derivátoch neúčtuje.</w:t>
            </w:r>
          </w:p>
        </w:tc>
      </w:tr>
      <w:tr w:rsidR="00B43962" w:rsidRPr="00CD467E" w14:paraId="51365CCF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77CCED17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(3)</w:t>
            </w:r>
          </w:p>
        </w:tc>
        <w:tc>
          <w:tcPr>
            <w:tcW w:w="0" w:type="auto"/>
            <w:hideMark/>
          </w:tcPr>
          <w:p w14:paraId="0DAD6CDF" w14:textId="519A87EE" w:rsidR="00B43962" w:rsidRPr="00CD467E" w:rsidRDefault="00B43962" w:rsidP="0082298B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Informácie o záväzkoch</w:t>
            </w:r>
          </w:p>
        </w:tc>
      </w:tr>
      <w:tr w:rsidR="00B43962" w:rsidRPr="00CD467E" w14:paraId="3A335E54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2D935B13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(4)</w:t>
            </w:r>
          </w:p>
        </w:tc>
        <w:tc>
          <w:tcPr>
            <w:tcW w:w="0" w:type="auto"/>
            <w:hideMark/>
          </w:tcPr>
          <w:p w14:paraId="0919B4A2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Vlastné obchodné podiely spoločnosť nevlastní.</w:t>
            </w:r>
          </w:p>
        </w:tc>
      </w:tr>
      <w:tr w:rsidR="00B43962" w:rsidRPr="00CD467E" w14:paraId="4A1BB33E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5FB68E30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(5)</w:t>
            </w:r>
          </w:p>
        </w:tc>
        <w:tc>
          <w:tcPr>
            <w:tcW w:w="0" w:type="auto"/>
            <w:hideMark/>
          </w:tcPr>
          <w:p w14:paraId="7979A0D3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Spoločnosť netvorila kapitálový fond z príspevkov.</w:t>
            </w:r>
          </w:p>
        </w:tc>
      </w:tr>
      <w:tr w:rsidR="00B43962" w:rsidRPr="00CD467E" w14:paraId="091F7E74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23B81D47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(6)</w:t>
            </w:r>
          </w:p>
        </w:tc>
        <w:tc>
          <w:tcPr>
            <w:tcW w:w="0" w:type="auto"/>
            <w:hideMark/>
          </w:tcPr>
          <w:p w14:paraId="6947F8C5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Spoločnosť neúčtovala o nákladoch a výnosoch, ktoré majú výnimočný charakter.</w:t>
            </w:r>
          </w:p>
        </w:tc>
      </w:tr>
    </w:tbl>
    <w:p w14:paraId="1842D64D" w14:textId="77777777" w:rsidR="00B43962" w:rsidRPr="00CD467E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t>Čl. V</w:t>
      </w:r>
    </w:p>
    <w:p w14:paraId="5723F740" w14:textId="77777777" w:rsidR="00B43962" w:rsidRPr="00CD467E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t>Informácie o iných aktívach a iných pasívach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5"/>
        <w:gridCol w:w="10121"/>
      </w:tblGrid>
      <w:tr w:rsidR="00B43962" w:rsidRPr="00CD467E" w14:paraId="116A717F" w14:textId="77777777" w:rsidTr="00B43962">
        <w:trPr>
          <w:tblCellSpacing w:w="15" w:type="dxa"/>
        </w:trPr>
        <w:tc>
          <w:tcPr>
            <w:tcW w:w="300" w:type="dxa"/>
            <w:hideMark/>
          </w:tcPr>
          <w:p w14:paraId="19D143B2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(1)</w:t>
            </w:r>
          </w:p>
        </w:tc>
        <w:tc>
          <w:tcPr>
            <w:tcW w:w="0" w:type="auto"/>
            <w:hideMark/>
          </w:tcPr>
          <w:p w14:paraId="0C1EB74B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Informácie o podmienených záväzkoch a podmienenom majetku: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br/>
              <w:t>Spoločnosť neeviduje žiadne iné aktíva a pasíva, okrem tých, ktoré sú uvedené v súvahe.</w:t>
            </w:r>
          </w:p>
        </w:tc>
      </w:tr>
      <w:tr w:rsidR="00B43962" w:rsidRPr="00CD467E" w14:paraId="44D8FDD4" w14:textId="77777777" w:rsidTr="00B43962">
        <w:trPr>
          <w:tblCellSpacing w:w="15" w:type="dxa"/>
        </w:trPr>
        <w:tc>
          <w:tcPr>
            <w:tcW w:w="0" w:type="auto"/>
            <w:hideMark/>
          </w:tcPr>
          <w:p w14:paraId="3B90BFEC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(2)</w:t>
            </w:r>
          </w:p>
        </w:tc>
        <w:tc>
          <w:tcPr>
            <w:tcW w:w="0" w:type="auto"/>
            <w:hideMark/>
          </w:tcPr>
          <w:p w14:paraId="3B1F8FB6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Spoločnosť nevykazuje žiadne iné finančné povinnosti, okrem tých, ktoré sú vykázané v súvahe.</w:t>
            </w:r>
          </w:p>
        </w:tc>
      </w:tr>
    </w:tbl>
    <w:p w14:paraId="538E7725" w14:textId="77777777" w:rsidR="00B43962" w:rsidRPr="00CD467E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t>Čl. VI</w:t>
      </w: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br/>
        <w:t>Udalosti, ktoré nastali po dni, ku ktorému sa zostavuje účtovná závierka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B43962" w:rsidRPr="00CD467E" w14:paraId="3F18A935" w14:textId="77777777" w:rsidTr="00B43962">
        <w:trPr>
          <w:tblCellSpacing w:w="15" w:type="dxa"/>
        </w:trPr>
        <w:tc>
          <w:tcPr>
            <w:tcW w:w="300" w:type="dxa"/>
            <w:hideMark/>
          </w:tcPr>
          <w:p w14:paraId="1B7DAB13" w14:textId="5B904965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Po 31. 12. 20</w:t>
            </w:r>
            <w:r w:rsidR="004E7DF5">
              <w:rPr>
                <w:rFonts w:eastAsia="Times New Roman" w:cstheme="minorHAnsi"/>
                <w:sz w:val="24"/>
                <w:szCs w:val="24"/>
                <w:lang w:eastAsia="sk-SK"/>
              </w:rPr>
              <w:t>2</w:t>
            </w:r>
            <w:r w:rsidR="000C0449">
              <w:rPr>
                <w:rFonts w:eastAsia="Times New Roman" w:cstheme="minorHAnsi"/>
                <w:sz w:val="24"/>
                <w:szCs w:val="24"/>
                <w:lang w:eastAsia="sk-SK"/>
              </w:rPr>
              <w:t>1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do dňa zostavenia účtovnej závierky nenastali žiadne významné skutočnosti, ktoré by ovplyvnili výsledok hospodárenia spoločnosti za rok 20</w:t>
            </w:r>
            <w:r w:rsidR="00655538">
              <w:rPr>
                <w:rFonts w:eastAsia="Times New Roman" w:cstheme="minorHAnsi"/>
                <w:sz w:val="24"/>
                <w:szCs w:val="24"/>
                <w:lang w:eastAsia="sk-SK"/>
              </w:rPr>
              <w:t>2</w:t>
            </w:r>
            <w:r w:rsidR="000C0449">
              <w:rPr>
                <w:rFonts w:eastAsia="Times New Roman" w:cstheme="minorHAnsi"/>
                <w:sz w:val="24"/>
                <w:szCs w:val="24"/>
                <w:lang w:eastAsia="sk-SK"/>
              </w:rPr>
              <w:t>1</w:t>
            </w: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.</w:t>
            </w:r>
          </w:p>
        </w:tc>
      </w:tr>
    </w:tbl>
    <w:p w14:paraId="30201DA9" w14:textId="77777777" w:rsidR="00B43962" w:rsidRPr="00CD467E" w:rsidRDefault="00B43962" w:rsidP="00B43962">
      <w:pPr>
        <w:spacing w:before="100" w:beforeAutospacing="1" w:after="100" w:afterAutospacing="1" w:line="240" w:lineRule="auto"/>
        <w:jc w:val="center"/>
        <w:outlineLvl w:val="4"/>
        <w:rPr>
          <w:rFonts w:eastAsia="Times New Roman" w:cstheme="minorHAnsi"/>
          <w:b/>
          <w:bCs/>
          <w:sz w:val="24"/>
          <w:szCs w:val="24"/>
          <w:lang w:eastAsia="sk-SK"/>
        </w:rPr>
      </w:pP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t>Čl. VII</w:t>
      </w:r>
      <w:r w:rsidRPr="00CD467E">
        <w:rPr>
          <w:rFonts w:eastAsia="Times New Roman" w:cstheme="minorHAnsi"/>
          <w:b/>
          <w:bCs/>
          <w:sz w:val="24"/>
          <w:szCs w:val="24"/>
          <w:lang w:eastAsia="sk-SK"/>
        </w:rPr>
        <w:br/>
        <w:t>Ostatné informácie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B43962" w:rsidRPr="00CD467E" w14:paraId="44DA469D" w14:textId="77777777" w:rsidTr="00B43962">
        <w:trPr>
          <w:tblCellSpacing w:w="15" w:type="dxa"/>
        </w:trPr>
        <w:tc>
          <w:tcPr>
            <w:tcW w:w="300" w:type="dxa"/>
            <w:hideMark/>
          </w:tcPr>
          <w:p w14:paraId="5B1EBA34" w14:textId="77777777" w:rsidR="00B43962" w:rsidRPr="00CD467E" w:rsidRDefault="00B43962" w:rsidP="00B43962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CD467E">
              <w:rPr>
                <w:rFonts w:eastAsia="Times New Roman" w:cstheme="minorHAnsi"/>
                <w:sz w:val="24"/>
                <w:szCs w:val="24"/>
                <w:lang w:eastAsia="sk-SK"/>
              </w:rPr>
              <w:t>Pre túto časť poznámok spoločnosť nemá obsahovú náplň.</w:t>
            </w:r>
          </w:p>
        </w:tc>
      </w:tr>
    </w:tbl>
    <w:p w14:paraId="04D3DA31" w14:textId="77777777" w:rsidR="00DB6F17" w:rsidRPr="00CD467E" w:rsidRDefault="00B43962" w:rsidP="00F948D9">
      <w:pPr>
        <w:spacing w:before="100" w:beforeAutospacing="1" w:after="100" w:afterAutospacing="1" w:line="240" w:lineRule="auto"/>
        <w:rPr>
          <w:rFonts w:cstheme="minorHAnsi"/>
          <w:sz w:val="24"/>
          <w:szCs w:val="24"/>
        </w:rPr>
      </w:pPr>
      <w:r w:rsidRPr="00CD467E">
        <w:rPr>
          <w:rFonts w:eastAsia="Times New Roman" w:cstheme="minorHAnsi"/>
          <w:sz w:val="24"/>
          <w:szCs w:val="24"/>
          <w:lang w:eastAsia="sk-SK"/>
        </w:rPr>
        <w:t> </w:t>
      </w:r>
    </w:p>
    <w:sectPr w:rsidR="00DB6F17" w:rsidRPr="00CD467E" w:rsidSect="00B43962">
      <w:head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07141" w14:textId="77777777" w:rsidR="00C27F4C" w:rsidRDefault="00C27F4C" w:rsidP="00C27F4C">
      <w:pPr>
        <w:spacing w:after="0" w:line="240" w:lineRule="auto"/>
      </w:pPr>
      <w:r>
        <w:separator/>
      </w:r>
    </w:p>
  </w:endnote>
  <w:endnote w:type="continuationSeparator" w:id="0">
    <w:p w14:paraId="3269250B" w14:textId="77777777" w:rsidR="00C27F4C" w:rsidRDefault="00C27F4C" w:rsidP="00C27F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664585" w14:textId="77777777" w:rsidR="00C27F4C" w:rsidRDefault="00C27F4C" w:rsidP="00C27F4C">
      <w:pPr>
        <w:spacing w:after="0" w:line="240" w:lineRule="auto"/>
      </w:pPr>
      <w:r>
        <w:separator/>
      </w:r>
    </w:p>
  </w:footnote>
  <w:footnote w:type="continuationSeparator" w:id="0">
    <w:p w14:paraId="5C929497" w14:textId="77777777" w:rsidR="00C27F4C" w:rsidRDefault="00C27F4C" w:rsidP="00C27F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E243C" w14:textId="45F0D096" w:rsidR="004E7DF5" w:rsidRDefault="00C27F4C" w:rsidP="00C27F4C">
    <w:pPr>
      <w:pStyle w:val="Bezriadkovania"/>
      <w:pBdr>
        <w:bottom w:val="single" w:sz="12" w:space="1" w:color="auto"/>
      </w:pBdr>
    </w:pPr>
    <w:r>
      <w:t>Poznámky Úč POD 3 – 01</w:t>
    </w:r>
    <w:r>
      <w:tab/>
      <w:t xml:space="preserve">                                      IČO: </w:t>
    </w:r>
    <w:r w:rsidR="004E7DF5">
      <w:t>52889220</w:t>
    </w:r>
    <w:r>
      <w:tab/>
      <w:t xml:space="preserve">                                 DIČ: </w:t>
    </w:r>
    <w:r w:rsidR="004E7DF5">
      <w:t>2121164793</w:t>
    </w:r>
  </w:p>
  <w:p w14:paraId="7FCC1C01" w14:textId="77777777" w:rsidR="00CB7E54" w:rsidRDefault="00CB7E54" w:rsidP="00C27F4C">
    <w:pPr>
      <w:pStyle w:val="Bezriadkovania"/>
      <w:pBdr>
        <w:bottom w:val="single" w:sz="12" w:space="1" w:color="auto"/>
      </w:pBdr>
    </w:pPr>
  </w:p>
  <w:p w14:paraId="545B538A" w14:textId="77777777" w:rsidR="00C27F4C" w:rsidRDefault="00C27F4C" w:rsidP="00C27F4C">
    <w:pPr>
      <w:pStyle w:val="Bezriadkovani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143207"/>
    <w:multiLevelType w:val="hybridMultilevel"/>
    <w:tmpl w:val="F9A02C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241E2"/>
    <w:multiLevelType w:val="multilevel"/>
    <w:tmpl w:val="57F4898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785177F"/>
    <w:multiLevelType w:val="hybridMultilevel"/>
    <w:tmpl w:val="4EBA8F26"/>
    <w:lvl w:ilvl="0" w:tplc="2A7093C4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5C54C6"/>
    <w:multiLevelType w:val="hybridMultilevel"/>
    <w:tmpl w:val="DBA8670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A1251E0"/>
    <w:multiLevelType w:val="multilevel"/>
    <w:tmpl w:val="6492C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F6590B"/>
    <w:multiLevelType w:val="hybridMultilevel"/>
    <w:tmpl w:val="B5983270"/>
    <w:lvl w:ilvl="0" w:tplc="B030AC1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0242C0"/>
    <w:multiLevelType w:val="hybridMultilevel"/>
    <w:tmpl w:val="E26AB4FE"/>
    <w:lvl w:ilvl="0" w:tplc="6E0AFEC2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212493"/>
    <w:multiLevelType w:val="hybridMultilevel"/>
    <w:tmpl w:val="B3345A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8D2DDB"/>
    <w:multiLevelType w:val="multilevel"/>
    <w:tmpl w:val="CCA21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8"/>
  </w:num>
  <w:num w:numId="3">
    <w:abstractNumId w:val="4"/>
  </w:num>
  <w:num w:numId="4">
    <w:abstractNumId w:val="3"/>
  </w:num>
  <w:num w:numId="5">
    <w:abstractNumId w:val="7"/>
  </w:num>
  <w:num w:numId="6">
    <w:abstractNumId w:val="6"/>
  </w:num>
  <w:num w:numId="7">
    <w:abstractNumId w:val="0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962"/>
    <w:rsid w:val="000C0449"/>
    <w:rsid w:val="001135D1"/>
    <w:rsid w:val="00146147"/>
    <w:rsid w:val="001D74CB"/>
    <w:rsid w:val="001E762D"/>
    <w:rsid w:val="002D089A"/>
    <w:rsid w:val="003F4007"/>
    <w:rsid w:val="004E7DF5"/>
    <w:rsid w:val="00507F17"/>
    <w:rsid w:val="005A18B4"/>
    <w:rsid w:val="00655538"/>
    <w:rsid w:val="00755401"/>
    <w:rsid w:val="0082298B"/>
    <w:rsid w:val="0084423F"/>
    <w:rsid w:val="00A3318C"/>
    <w:rsid w:val="00AB0A66"/>
    <w:rsid w:val="00B43962"/>
    <w:rsid w:val="00BE3371"/>
    <w:rsid w:val="00C27F4C"/>
    <w:rsid w:val="00CB7E54"/>
    <w:rsid w:val="00CD467E"/>
    <w:rsid w:val="00D965D4"/>
    <w:rsid w:val="00DB6F17"/>
    <w:rsid w:val="00E43302"/>
    <w:rsid w:val="00E43BC1"/>
    <w:rsid w:val="00E65B24"/>
    <w:rsid w:val="00F3523D"/>
    <w:rsid w:val="00F94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5E5FDE0"/>
  <w15:chartTrackingRefBased/>
  <w15:docId w15:val="{970D732D-1C3A-4C2B-90E2-0ABED8F33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5">
    <w:name w:val="heading 5"/>
    <w:basedOn w:val="Normlny"/>
    <w:link w:val="Nadpis5Char"/>
    <w:uiPriority w:val="9"/>
    <w:qFormat/>
    <w:rsid w:val="00B4396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B43962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Vrazn">
    <w:name w:val="Strong"/>
    <w:basedOn w:val="Predvolenpsmoodseku"/>
    <w:uiPriority w:val="22"/>
    <w:qFormat/>
    <w:rsid w:val="00B4396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B439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43962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C27F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27F4C"/>
  </w:style>
  <w:style w:type="paragraph" w:styleId="Pta">
    <w:name w:val="footer"/>
    <w:basedOn w:val="Normlny"/>
    <w:link w:val="PtaChar"/>
    <w:uiPriority w:val="99"/>
    <w:unhideWhenUsed/>
    <w:rsid w:val="00C27F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27F4C"/>
  </w:style>
  <w:style w:type="paragraph" w:styleId="Bezriadkovania">
    <w:name w:val="No Spacing"/>
    <w:uiPriority w:val="1"/>
    <w:qFormat/>
    <w:rsid w:val="00C27F4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C27F4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27F4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rsid w:val="00C27F4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27F4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D74CB"/>
    <w:pPr>
      <w:ind w:left="720"/>
      <w:contextualSpacing/>
    </w:pPr>
  </w:style>
  <w:style w:type="character" w:customStyle="1" w:styleId="ra">
    <w:name w:val="ra"/>
    <w:basedOn w:val="Predvolenpsmoodseku"/>
    <w:rsid w:val="00CB7E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950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69341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48490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67074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76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8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18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17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09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85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066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248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anovecentrum.sk/form/goto.ashx?t=26&amp;p=1020274&amp;f=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A3E2F8-2D62-4439-BCAD-C330C7A54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1756</Words>
  <Characters>10012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Rodinka Kuckovci</dc:creator>
  <cp:keywords/>
  <dc:description/>
  <cp:lastModifiedBy>Ladislav Kucko</cp:lastModifiedBy>
  <cp:revision>3</cp:revision>
  <cp:lastPrinted>2022-03-08T20:55:00Z</cp:lastPrinted>
  <dcterms:created xsi:type="dcterms:W3CDTF">2022-03-08T20:55:00Z</dcterms:created>
  <dcterms:modified xsi:type="dcterms:W3CDTF">2022-03-17T18:53:00Z</dcterms:modified>
</cp:coreProperties>
</file>