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 Narrow" w:cs="Arial Narrow" w:eastAsia="Arial Narrow" w:hAnsi="Arial Narrow"/>
          <w:b w:val="1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sz w:val="24"/>
          <w:szCs w:val="24"/>
          <w:rtl w:val="0"/>
        </w:rPr>
        <w:t xml:space="preserve">Poznámky k účtovnej závierke mikro účtovnej jednotky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Fonts w:ascii="Arial Narrow" w:cs="Arial Narrow" w:eastAsia="Arial Narrow" w:hAnsi="Arial Narrow"/>
          <w:b w:val="1"/>
          <w:sz w:val="24"/>
          <w:szCs w:val="24"/>
          <w:rtl w:val="0"/>
        </w:rPr>
        <w:t xml:space="preserve">k  31.12.2021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Čl. I Všeobecné údaje</w:t>
      </w:r>
    </w:p>
    <w:p w:rsidR="00000000" w:rsidDel="00000000" w:rsidP="00000000" w:rsidRDefault="00000000" w:rsidRPr="00000000" w14:paraId="00000004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(1)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Názov právnickej osoby a jej sídlo: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bere.to, s.r.o.  Ludrová č. 360, 034 71 Ludrová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Vznik spoločnosti: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30.04.2016</w:t>
      </w:r>
    </w:p>
    <w:p w:rsidR="00000000" w:rsidDel="00000000" w:rsidP="00000000" w:rsidRDefault="00000000" w:rsidRPr="00000000" w14:paraId="00000006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Spoločník: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Mgr. Jakub Bebjak, Ludrová č.102, 034 71 Ludrová - 100% podiel na základnom imaní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Výška vkladu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: 5000 EUR</w:t>
      </w:r>
    </w:p>
    <w:p w:rsidR="00000000" w:rsidDel="00000000" w:rsidP="00000000" w:rsidRDefault="00000000" w:rsidRPr="00000000" w14:paraId="00000008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Hlavné predmety činnosti vykonávané v roku 20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: Počítačové programovanie.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(2) Spoločnosť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nie je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súčasťou konsolidovaného celku inej obchodnej spoločnosti.</w:t>
      </w:r>
    </w:p>
    <w:p w:rsidR="00000000" w:rsidDel="00000000" w:rsidP="00000000" w:rsidRDefault="00000000" w:rsidRPr="00000000" w14:paraId="0000000A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(3)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Priemerný počet zamestnancov: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za účtovné obdobie spoločnosť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nezamestnávala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Čl. II Informácie o prijatých postupoch       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(1) Účtovná závierka je zostavená za splnenia predpokladu, že účtovná jednotka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bude nepretržite pokračovať vo svojej činnosti.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(2)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Spôsob oceňovania jednotlivých položiek majetku a záväzkov,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to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Dlhodobý nehmotný majetok, dlhodobý hmotný majetok a dlhodobý finančný majetok–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takýto majetok neobstarávala, neoceňovala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Zásoby obstaraných kúpou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 menovitou hodnotou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zásoby vytvorených vlastnou činnosťou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neoceňovala, neobstarávala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Pohľadávky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menovitou hodnotou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Krátkodobý finančný majetok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nominálnou hodnotou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 Záväzky vrátane rezerv, dlhopisy, pôžičky a úvery-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 menovitou hodnotou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f) Derivátové  operácie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neoceňovala, neobstarávala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center" w:pos="4535"/>
        </w:tabs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     </w:t>
      </w:r>
    </w:p>
    <w:p w:rsidR="00000000" w:rsidDel="00000000" w:rsidP="00000000" w:rsidRDefault="00000000" w:rsidRPr="00000000" w14:paraId="00000017">
      <w:pPr>
        <w:tabs>
          <w:tab w:val="center" w:pos="4535"/>
        </w:tabs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  -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za účtovné obdobie účtovná jednotka takýto majetok neobstarávala a preto nezostavovala odpisový plán.  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účtovná jednotka nemenila účtovné zásady a metódy.   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(5) Informácie o dotáciách a ich oceňovanie v účtovníctve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účtovná jednotka nevyužívala žiadnu dotáciu.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za účtovné obdobie účtovná jednotka neúčtovala o významných opravách chýb.  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III  Informácie, ktoré vysvetľujú a dopĺňajú súvahu a výkaz ziskov a strát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(1) Informácia o sume a dôvodoch vzniku jednotlivých položiek nákladov alebo výnosov, ktoré majú výnimočný rozsah alebo výskyt, napríklad výnosy z predaja podniku alebo časti podniku, náklady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 dôvodu predaja podniku alebo časti podniku, škody z dôvodu živelných pohrôm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– za účtovné obdobie nevznikli žiadne náklady a výnosy, ktoré by mali výnimočný rozsah alebo výskyt.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Výnosy: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dosiahnuté výnosy účtovnej jednotky súvisia s hlavnou činnosťou –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počítačové programovanie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Náklady: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Náklady účtovnej jednotky za rok 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1/ súvisia s dosiahnutými tržbami za služby –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nákup doplnkov na tvorbu webu, hosting, domény.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2/ nesúvisia s dosiahnutými príjmami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a preto znižujú hospodársky výsledok pred zdanením na účely vyčíslenia základu dane z príjmov za rok 202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(2) Informácie o záväzkoch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významné záväzky.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(3) Informácie o vlastných akciách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vlastné akcie.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(4) Informácie o orgánoch účtovnej jednotky, a to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Výška jednotlivých druhov záruk alebo iných zabezpečení poskytnutých pre členov štatutárneho orgánu, dozorného orgánu a iného orgánu účtovnej jednotky, a to v členení za jednotlivé orgány-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neposkytla žiadne záruky, alebo iné zabezpečenie.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Pôžičky poskytnuté členom štatutárneho orgánu, dozorného orgánu a iného orgánu účtovnej jednotky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neposkytla žiadnu pôžičku.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(5) Informácie o povinnostiach účtovnej jednotky, a 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-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takéto finančné povinnosti.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Celková suma významných podmienených záväzkov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podmienené záväzky.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Opis významných finančných povinností a významných podmienených záväzkov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významné povinnosti a záväzky. 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Celková suma významných finančných povinností a významných podmienených záväzkoch voči dcérskej účtovnej jednotke a účtovnej jednotke s podstatným vplyvom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takéto účtovné jednotky.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 Opis významných povinností účtovnej jednotky vyplývajúcich z dôchodkových programov 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 zamestnancov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za účtovné obdobie 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neposkytovala žiadne  dôchodkové programy.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6) Informácie o udelení výlučného práva alebo osobitného práva, ktorým sa udelilo právo poskytovať služby vo verejnom záujme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sa pri svojej činnosti nestretá s takýmito službami.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Ludrová,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19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.0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.202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 xml:space="preserve">Jakub Bebjak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  <w:t xml:space="preserve">konateľ spoločnosti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077" w:top="1418" w:left="1418" w:right="1418" w:header="680" w:footer="709"/>
      <w:pgNumType w:start="6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3-01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IČO 50296825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 xml:space="preserve">  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DIČ  2120268799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</w:t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041D72"/>
    <w:pPr>
      <w:widowControl w:val="1"/>
      <w:bidi w:val="0"/>
      <w:spacing w:after="200" w:before="0" w:line="276" w:lineRule="auto"/>
      <w:jc w:val="left"/>
    </w:pPr>
    <w:rPr>
      <w:rFonts w:ascii="Calibri" w:cs="" w:eastAsia="Calibri" w:hAnsi="Calibri" w:asciiTheme="minorHAnsi" w:cstheme="minorBidi" w:eastAsiaTheme="minorHAnsi" w:hAnsiTheme="minorHAnsi"/>
      <w:color w:val="auto"/>
      <w:kern w:val="0"/>
      <w:sz w:val="22"/>
      <w:szCs w:val="22"/>
      <w:lang w:bidi="ar-SA" w:eastAsia="en-US" w:val="sk-SK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HlavikaChar" w:customStyle="1">
    <w:name w:val="Hlavička Char"/>
    <w:basedOn w:val="DefaultParagraphFont"/>
    <w:link w:val="Hlavika"/>
    <w:uiPriority w:val="99"/>
    <w:qFormat w:val="1"/>
    <w:rsid w:val="005E7AAC"/>
    <w:rPr/>
  </w:style>
  <w:style w:type="character" w:styleId="PtaChar" w:customStyle="1">
    <w:name w:val="Päta Char"/>
    <w:basedOn w:val="DefaultParagraphFont"/>
    <w:link w:val="Pta"/>
    <w:uiPriority w:val="99"/>
    <w:qFormat w:val="1"/>
    <w:rsid w:val="005E7AAC"/>
    <w:rPr/>
  </w:style>
  <w:style w:type="paragraph" w:styleId="Heading">
    <w:name w:val="Heading"/>
    <w:basedOn w:val="Normal"/>
    <w:next w:val="TextBody"/>
    <w:qFormat w:val="1"/>
    <w:pPr>
      <w:keepNext w:val="1"/>
      <w:spacing w:after="120" w:before="240"/>
    </w:pPr>
    <w:rPr>
      <w:rFonts w:ascii="Liberation Sans" w:cs="Arial Unicode MS" w:eastAsia="Arial Unicode MS" w:hAnsi="Liberation Sans"/>
      <w:sz w:val="28"/>
      <w:szCs w:val="28"/>
    </w:rPr>
  </w:style>
  <w:style w:type="paragraph" w:styleId="TextBody">
    <w:name w:val="Body Text"/>
    <w:basedOn w:val="Normal"/>
    <w:pPr>
      <w:spacing w:after="140" w:before="0" w:line="276" w:lineRule="auto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 w:val="1"/>
    <w:pPr>
      <w:suppressLineNumbers w:val="1"/>
      <w:spacing w:after="120" w:before="120"/>
    </w:pPr>
    <w:rPr>
      <w:i w:val="1"/>
      <w:iCs w:val="1"/>
      <w:sz w:val="24"/>
      <w:szCs w:val="24"/>
    </w:rPr>
  </w:style>
  <w:style w:type="paragraph" w:styleId="Index">
    <w:name w:val="Index"/>
    <w:basedOn w:val="Normal"/>
    <w:qFormat w:val="1"/>
    <w:pPr>
      <w:suppressLineNumbers w:val="1"/>
    </w:pPr>
    <w:rPr/>
  </w:style>
  <w:style w:type="paragraph" w:styleId="HeaderandFooter">
    <w:name w:val="Header and Footer"/>
    <w:basedOn w:val="Normal"/>
    <w:qFormat w:val="1"/>
    <w:pPr/>
    <w:rPr/>
  </w:style>
  <w:style w:type="paragraph" w:styleId="Header">
    <w:name w:val="Header"/>
    <w:basedOn w:val="Normal"/>
    <w:link w:val="HlavikaChar"/>
    <w:uiPriority w:val="99"/>
    <w:unhideWhenUsed w:val="1"/>
    <w:rsid w:val="005E7AAC"/>
    <w:pPr>
      <w:tabs>
        <w:tab w:val="clear" w:pos="708"/>
        <w:tab w:val="center" w:leader="none" w:pos="4536"/>
        <w:tab w:val="right" w:leader="none" w:pos="9072"/>
      </w:tabs>
      <w:spacing w:after="0" w:before="0" w:line="240" w:lineRule="auto"/>
    </w:pPr>
    <w:rPr/>
  </w:style>
  <w:style w:type="paragraph" w:styleId="Footer">
    <w:name w:val="Footer"/>
    <w:basedOn w:val="Normal"/>
    <w:link w:val="PtaChar"/>
    <w:uiPriority w:val="99"/>
    <w:unhideWhenUsed w:val="1"/>
    <w:rsid w:val="005E7AAC"/>
    <w:pPr>
      <w:tabs>
        <w:tab w:val="clear" w:pos="708"/>
        <w:tab w:val="center" w:leader="none" w:pos="4536"/>
        <w:tab w:val="right" w:leader="none" w:pos="9072"/>
      </w:tabs>
      <w:spacing w:after="0" w:before="0" w:line="240" w:lineRule="auto"/>
    </w:pPr>
    <w:rPr/>
  </w:style>
  <w:style w:type="paragraph" w:styleId="Default" w:customStyle="1">
    <w:name w:val="Default"/>
    <w:qFormat w:val="1"/>
    <w:rsid w:val="00761D32"/>
    <w:pPr>
      <w:widowControl w:val="1"/>
      <w:bidi w:val="0"/>
      <w:spacing w:after="0" w:before="0" w:line="240" w:lineRule="auto"/>
      <w:jc w:val="left"/>
    </w:pPr>
    <w:rPr>
      <w:rFonts w:ascii="Times New Roman" w:cs="Times New Roman" w:eastAsia="Calibri" w:hAnsi="Times New Roman"/>
      <w:color w:val="000000"/>
      <w:kern w:val="0"/>
      <w:sz w:val="24"/>
      <w:szCs w:val="24"/>
      <w:lang w:bidi="ar-SA" w:eastAsia="en-US" w:val="sk-SK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Normlnatabuka" w:default="1">
    <w:name w:val="Normal Table"/>
    <w:uiPriority w:val="99"/>
    <w:semiHidden w:val="1"/>
    <w:unhideWhenUsed w:val="1"/>
    <w:qFormat w:val="1"/>
    <w:tblPr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PobWblKIXGwqe6pYNhPZukVzDtg==">AMUW2mV9ibV3I6sSqsNRi18LF55ImaHR5RT6Q4W6Wj4FRpg0vmecBw41lzxsqiT0lXerw78Pt8WfkPleqeCl7XDl3lOMCqtuUYD/xyM5DfHCvBDngpRjpaY=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2015-05-12T20:38:00Z</dcterms:created>
  <dc:creator>uzivatel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