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3EF9" w:rsidRDefault="008C3EF9"/>
    <w:p w:rsidR="008C3EF9" w:rsidRDefault="008C3EF9"/>
    <w:p w:rsidR="008C3EF9" w:rsidRDefault="008C3EF9"/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Poznámky </w:t>
      </w:r>
      <w:proofErr w:type="spellStart"/>
      <w:r w:rsidRPr="008C3EF9">
        <w:rPr>
          <w:rFonts w:ascii="Arial-BoldMT" w:hAnsi="Arial-BoldMT" w:cs="Arial-BoldMT"/>
          <w:b/>
          <w:bCs/>
          <w:sz w:val="20"/>
          <w:szCs w:val="20"/>
        </w:rPr>
        <w:t>Úč</w:t>
      </w:r>
      <w:proofErr w:type="spellEnd"/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 – </w:t>
      </w:r>
      <w:r w:rsidRPr="008C3EF9">
        <w:rPr>
          <w:rFonts w:ascii="Arial" w:hAnsi="Arial" w:cs="Arial"/>
          <w:b/>
          <w:bCs/>
          <w:sz w:val="20"/>
          <w:szCs w:val="20"/>
        </w:rPr>
        <w:t xml:space="preserve">PODV 3 </w:t>
      </w:r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– </w:t>
      </w:r>
      <w:r w:rsidRPr="008C3EF9">
        <w:rPr>
          <w:rFonts w:ascii="Arial" w:hAnsi="Arial" w:cs="Arial"/>
          <w:b/>
          <w:bCs/>
          <w:sz w:val="20"/>
          <w:szCs w:val="20"/>
        </w:rPr>
        <w:t xml:space="preserve">01 </w:t>
      </w:r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IČO: 17079551 DIČ: </w:t>
      </w:r>
      <w:r w:rsidRPr="008C3EF9">
        <w:rPr>
          <w:rFonts w:ascii="Arial" w:hAnsi="Arial" w:cs="Arial"/>
          <w:b/>
          <w:bCs/>
          <w:sz w:val="20"/>
          <w:szCs w:val="20"/>
        </w:rPr>
        <w:t>2020513154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0"/>
          <w:szCs w:val="20"/>
        </w:rPr>
      </w:pPr>
      <w:r w:rsidRPr="008C3EF9">
        <w:rPr>
          <w:rFonts w:ascii="Arial" w:hAnsi="Arial" w:cs="Arial"/>
          <w:b/>
          <w:bCs/>
          <w:sz w:val="20"/>
          <w:szCs w:val="20"/>
        </w:rPr>
        <w:t xml:space="preserve">QIUNTA, spol. s </w:t>
      </w:r>
      <w:r w:rsidRPr="008C3EF9">
        <w:rPr>
          <w:rFonts w:ascii="Arial-BoldMT" w:hAnsi="Arial-BoldMT" w:cs="Arial-BoldMT"/>
          <w:b/>
          <w:bCs/>
          <w:sz w:val="20"/>
          <w:szCs w:val="20"/>
        </w:rPr>
        <w:t>r.o. v likvidácii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Poznámky k účtovnej závierke zostavenej k </w:t>
      </w:r>
      <w:r w:rsidRPr="008C3EF9">
        <w:rPr>
          <w:rFonts w:ascii="Arial" w:hAnsi="Arial" w:cs="Arial"/>
          <w:b/>
          <w:bCs/>
          <w:sz w:val="20"/>
          <w:szCs w:val="20"/>
        </w:rPr>
        <w:t>3</w:t>
      </w:r>
      <w:r w:rsidR="00014B42">
        <w:rPr>
          <w:rFonts w:ascii="Arial" w:hAnsi="Arial" w:cs="Arial"/>
          <w:b/>
          <w:bCs/>
          <w:sz w:val="20"/>
          <w:szCs w:val="20"/>
        </w:rPr>
        <w:t>.06</w:t>
      </w:r>
      <w:r w:rsidRPr="008C3EF9">
        <w:rPr>
          <w:rFonts w:ascii="Arial" w:hAnsi="Arial" w:cs="Arial"/>
          <w:b/>
          <w:bCs/>
          <w:sz w:val="20"/>
          <w:szCs w:val="20"/>
        </w:rPr>
        <w:t>.202</w:t>
      </w:r>
      <w:r w:rsidR="00014B42">
        <w:rPr>
          <w:rFonts w:ascii="Arial" w:hAnsi="Arial" w:cs="Arial"/>
          <w:b/>
          <w:bCs/>
          <w:sz w:val="20"/>
          <w:szCs w:val="20"/>
        </w:rPr>
        <w:t>1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Poznámka: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V poznámkach sa uvádzajú informácie ustanovené opatrením o obsahu poznámok k individuálnej účtovnej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závierke, pre ktoré má účtovná jednotka obsahovú náplň. Všetky údaje a informácie uvedené v týchto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poznámkach vychádzajú z účtovníctva a nadväzujú na výkaz ÚZ. Hodnotové údaje sú uvedené v celých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eurách (pokiaľ nie je uvedené inak). Pojmy súvaha a výkaz ziskov a strát sú uvádzané v ponímaní, že sa</w:t>
      </w:r>
    </w:p>
    <w:p w:rsid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jedná o časť súhrnného tlačiva „Účtovná závierka podnikateľov v podvojnom účtovníctve.</w:t>
      </w:r>
    </w:p>
    <w:p w:rsidR="00014B42" w:rsidRPr="008C3EF9" w:rsidRDefault="00014B42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>
        <w:rPr>
          <w:rFonts w:ascii="Verdana" w:hAnsi="Verdana" w:cs="Verdana"/>
          <w:sz w:val="17"/>
          <w:szCs w:val="17"/>
        </w:rPr>
        <w:t xml:space="preserve">Za uvedené obdobie neboli pohyby v účtovníctve. 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18"/>
          <w:szCs w:val="18"/>
        </w:rPr>
      </w:pPr>
      <w:r w:rsidRPr="008C3EF9">
        <w:rPr>
          <w:rFonts w:ascii="Verdana-Bold" w:hAnsi="Verdana-Bold" w:cs="Verdana-Bold"/>
          <w:b/>
          <w:bCs/>
          <w:sz w:val="18"/>
          <w:szCs w:val="18"/>
        </w:rPr>
        <w:t>I. VŠEOBECNÉ INFORMÁCIE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17"/>
          <w:szCs w:val="17"/>
        </w:rPr>
      </w:pPr>
      <w:r w:rsidRPr="008C3EF9">
        <w:rPr>
          <w:rFonts w:ascii="Verdana-Bold" w:hAnsi="Verdana-Bold" w:cs="Verdana-Bold"/>
          <w:b/>
          <w:bCs/>
          <w:sz w:val="17"/>
          <w:szCs w:val="17"/>
        </w:rPr>
        <w:t>1. Základné údaje o spoločnosti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-Bold" w:hAnsi="Verdana-Bold" w:cs="Verdana-Bold"/>
          <w:b/>
          <w:bCs/>
          <w:sz w:val="15"/>
          <w:szCs w:val="15"/>
        </w:rPr>
        <w:t xml:space="preserve">Obchodné meno a sídlo </w:t>
      </w:r>
      <w:r w:rsidRPr="008C3EF9">
        <w:rPr>
          <w:rFonts w:ascii="Verdana" w:hAnsi="Verdana" w:cs="Verdana"/>
          <w:sz w:val="15"/>
          <w:szCs w:val="15"/>
        </w:rPr>
        <w:t>QUINTA, spol. s r.o. v likvidácii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" w:hAnsi="Verdana" w:cs="Verdana"/>
          <w:sz w:val="15"/>
          <w:szCs w:val="15"/>
        </w:rPr>
        <w:t>Nad traťou 2284/28B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" w:hAnsi="Verdana" w:cs="Verdana"/>
          <w:sz w:val="15"/>
          <w:szCs w:val="15"/>
        </w:rPr>
        <w:t>060 01 Kežmarok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-Bold" w:hAnsi="Verdana-Bold" w:cs="Verdana-Bold"/>
          <w:b/>
          <w:bCs/>
          <w:sz w:val="15"/>
          <w:szCs w:val="15"/>
        </w:rPr>
        <w:t xml:space="preserve">Hospodárska činnosť </w:t>
      </w:r>
      <w:r w:rsidRPr="008C3EF9">
        <w:rPr>
          <w:rFonts w:ascii="Verdana" w:hAnsi="Verdana" w:cs="Verdana"/>
          <w:sz w:val="15"/>
          <w:szCs w:val="15"/>
        </w:rPr>
        <w:t>- nákladná doprava pre vlastnú potrebu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" w:hAnsi="Verdana" w:cs="Verdana"/>
          <w:sz w:val="15"/>
          <w:szCs w:val="15"/>
        </w:rPr>
        <w:t>- maloobchod a veľkoobchod /mimo tovarov, na ktoré sa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" w:hAnsi="Verdana" w:cs="Verdana"/>
          <w:sz w:val="15"/>
          <w:szCs w:val="15"/>
        </w:rPr>
        <w:t>vyžaduje osobitné povolenie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" w:hAnsi="Verdana" w:cs="Verdana"/>
          <w:sz w:val="15"/>
          <w:szCs w:val="15"/>
        </w:rPr>
        <w:t xml:space="preserve">- kovovýroba, </w:t>
      </w:r>
      <w:proofErr w:type="spellStart"/>
      <w:r w:rsidRPr="008C3EF9">
        <w:rPr>
          <w:rFonts w:ascii="Verdana" w:hAnsi="Verdana" w:cs="Verdana"/>
          <w:sz w:val="15"/>
          <w:szCs w:val="15"/>
        </w:rPr>
        <w:t>kovoobrábanie</w:t>
      </w:r>
      <w:proofErr w:type="spellEnd"/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" w:hAnsi="Verdana" w:cs="Verdana"/>
          <w:sz w:val="15"/>
          <w:szCs w:val="15"/>
        </w:rPr>
        <w:t>- výroba plastových výrobkov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" w:hAnsi="Verdana" w:cs="Verdana"/>
          <w:sz w:val="15"/>
          <w:szCs w:val="15"/>
        </w:rPr>
        <w:t>- výroba výrobkov z betónu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" w:hAnsi="Verdana" w:cs="Verdana"/>
          <w:sz w:val="15"/>
          <w:szCs w:val="15"/>
        </w:rPr>
        <w:t>- výroba výrobkov z dreva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" w:hAnsi="Verdana" w:cs="Verdana"/>
          <w:sz w:val="15"/>
          <w:szCs w:val="15"/>
        </w:rPr>
        <w:t>- práce s autožeriavom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" w:hAnsi="Verdana" w:cs="Verdana"/>
          <w:sz w:val="15"/>
          <w:szCs w:val="15"/>
        </w:rPr>
        <w:t>- zasielateľstvo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" w:hAnsi="Verdana" w:cs="Verdana"/>
          <w:sz w:val="15"/>
          <w:szCs w:val="15"/>
        </w:rPr>
        <w:t>- ubytovacie služby v rozsahu voľnej živnosti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" w:hAnsi="Verdana" w:cs="Verdana"/>
          <w:sz w:val="15"/>
          <w:szCs w:val="15"/>
        </w:rPr>
        <w:t>- vnútroštátna nákladná cestná doprava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" w:hAnsi="Verdana" w:cs="Verdana"/>
          <w:sz w:val="15"/>
          <w:szCs w:val="15"/>
        </w:rPr>
        <w:t>- medzinárodná cestná nákladná doprava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" w:hAnsi="Verdana" w:cs="Verdana"/>
          <w:sz w:val="15"/>
          <w:szCs w:val="15"/>
        </w:rPr>
        <w:t>- Údržba motorových vozidiel bez zásahu do motorickej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" w:hAnsi="Verdana" w:cs="Verdana"/>
          <w:sz w:val="15"/>
          <w:szCs w:val="15"/>
        </w:rPr>
        <w:t>časti vozidla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" w:hAnsi="Verdana" w:cs="Verdana"/>
          <w:sz w:val="15"/>
          <w:szCs w:val="15"/>
        </w:rPr>
        <w:t>- verejná cestná nákladná doprava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" w:hAnsi="Verdana" w:cs="Verdana"/>
          <w:sz w:val="15"/>
          <w:szCs w:val="15"/>
        </w:rPr>
        <w:t>- nákladná cestná doprava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" w:hAnsi="Verdana" w:cs="Verdana"/>
          <w:sz w:val="15"/>
          <w:szCs w:val="15"/>
        </w:rPr>
        <w:t>- obchodná činnosť v oblasti: . nábytok, automobilové súčiastky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" w:hAnsi="Verdana" w:cs="Verdana"/>
          <w:sz w:val="15"/>
          <w:szCs w:val="15"/>
        </w:rPr>
        <w:t>a doplnky, bytové doplnky, elektrospotrebiče,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" w:hAnsi="Verdana" w:cs="Verdana"/>
          <w:sz w:val="15"/>
          <w:szCs w:val="15"/>
        </w:rPr>
        <w:t>odevy, obuv, klenoty, stavebný materiál, ovocie a zelenina,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" w:hAnsi="Verdana" w:cs="Verdana"/>
          <w:sz w:val="15"/>
          <w:szCs w:val="15"/>
        </w:rPr>
        <w:t>potraviny, textil, športové potreby, drogéria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17"/>
          <w:szCs w:val="17"/>
        </w:rPr>
      </w:pPr>
      <w:r w:rsidRPr="008C3EF9">
        <w:rPr>
          <w:rFonts w:ascii="Verdana-Bold" w:hAnsi="Verdana-Bold" w:cs="Verdana-Bold"/>
          <w:b/>
          <w:bCs/>
          <w:sz w:val="17"/>
          <w:szCs w:val="17"/>
        </w:rPr>
        <w:t>2. Zamestnanci</w:t>
      </w:r>
    </w:p>
    <w:p w:rsidR="008C3EF9" w:rsidRPr="008C3EF9" w:rsidRDefault="00014B42" w:rsidP="008C3EF9">
      <w:pPr>
        <w:autoSpaceDE w:val="0"/>
        <w:autoSpaceDN w:val="0"/>
        <w:adjustRightInd w:val="0"/>
        <w:spacing w:after="0" w:line="240" w:lineRule="auto"/>
        <w:rPr>
          <w:rFonts w:ascii="Verdana-BoldItalic" w:hAnsi="Verdana-BoldItalic" w:cs="Verdana-BoldItalic"/>
          <w:b/>
          <w:bCs/>
          <w:i/>
          <w:iCs/>
          <w:sz w:val="15"/>
          <w:szCs w:val="15"/>
        </w:rPr>
      </w:pPr>
      <w:r>
        <w:rPr>
          <w:rFonts w:ascii="Verdana-BoldItalic" w:hAnsi="Verdana-BoldItalic" w:cs="Verdana-BoldItalic"/>
          <w:b/>
          <w:bCs/>
          <w:i/>
          <w:iCs/>
          <w:sz w:val="15"/>
          <w:szCs w:val="15"/>
        </w:rPr>
        <w:t xml:space="preserve">Názov položky </w:t>
      </w:r>
      <w:r w:rsidR="008C3EF9" w:rsidRPr="008C3EF9">
        <w:rPr>
          <w:rFonts w:ascii="Verdana-BoldItalic" w:hAnsi="Verdana-BoldItalic" w:cs="Verdana-BoldItalic"/>
          <w:b/>
          <w:bCs/>
          <w:i/>
          <w:iCs/>
          <w:sz w:val="15"/>
          <w:szCs w:val="15"/>
        </w:rPr>
        <w:t>2021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" w:hAnsi="Verdana" w:cs="Verdana"/>
          <w:sz w:val="15"/>
          <w:szCs w:val="15"/>
        </w:rPr>
        <w:t xml:space="preserve">Priemerný prepočítaný počet zamestnancov 0 </w:t>
      </w:r>
      <w:proofErr w:type="spellStart"/>
      <w:r w:rsidRPr="008C3EF9">
        <w:rPr>
          <w:rFonts w:ascii="Verdana" w:hAnsi="Verdana" w:cs="Verdana"/>
          <w:sz w:val="15"/>
          <w:szCs w:val="15"/>
        </w:rPr>
        <w:t>0</w:t>
      </w:r>
      <w:proofErr w:type="spellEnd"/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5"/>
          <w:szCs w:val="15"/>
        </w:rPr>
      </w:pPr>
      <w:r w:rsidRPr="008C3EF9">
        <w:rPr>
          <w:rFonts w:ascii="Verdana" w:hAnsi="Verdana" w:cs="Verdana"/>
          <w:sz w:val="15"/>
          <w:szCs w:val="15"/>
        </w:rPr>
        <w:t>Stav zamestnancov ku dňu, ku ktorému sa zostavuje účtovná závierka 0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17"/>
          <w:szCs w:val="17"/>
        </w:rPr>
      </w:pPr>
      <w:r w:rsidRPr="008C3EF9">
        <w:rPr>
          <w:rFonts w:ascii="Verdana-Bold" w:hAnsi="Verdana-Bold" w:cs="Verdana-Bold"/>
          <w:b/>
          <w:bCs/>
          <w:sz w:val="17"/>
          <w:szCs w:val="17"/>
        </w:rPr>
        <w:t>3. Neobmedzené ručenie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Spoločnosť nie je neobmedzene ručiacim spoločníkom v iných účtovných jednotkách.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17"/>
          <w:szCs w:val="17"/>
        </w:rPr>
      </w:pPr>
      <w:r w:rsidRPr="008C3EF9">
        <w:rPr>
          <w:rFonts w:ascii="Verdana-Bold" w:hAnsi="Verdana-Bold" w:cs="Verdana-Bold"/>
          <w:b/>
          <w:bCs/>
          <w:sz w:val="17"/>
          <w:szCs w:val="17"/>
        </w:rPr>
        <w:t>4. Právny dôvod zostavenia účtovnej závierky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Účtovná závierka (ďalej „ÚZ“) Spoločnosti k 3.0</w:t>
      </w:r>
      <w:r w:rsidR="00014B42">
        <w:rPr>
          <w:rFonts w:ascii="Verdana" w:hAnsi="Verdana" w:cs="Verdana"/>
          <w:sz w:val="17"/>
          <w:szCs w:val="17"/>
        </w:rPr>
        <w:t>6</w:t>
      </w:r>
      <w:r w:rsidRPr="008C3EF9">
        <w:rPr>
          <w:rFonts w:ascii="Verdana" w:hAnsi="Verdana" w:cs="Verdana"/>
          <w:sz w:val="17"/>
          <w:szCs w:val="17"/>
        </w:rPr>
        <w:t>.202</w:t>
      </w:r>
      <w:r w:rsidR="00014B42">
        <w:rPr>
          <w:rFonts w:ascii="Verdana" w:hAnsi="Verdana" w:cs="Verdana"/>
          <w:sz w:val="17"/>
          <w:szCs w:val="17"/>
        </w:rPr>
        <w:t>1</w:t>
      </w:r>
      <w:r w:rsidRPr="008C3EF9">
        <w:rPr>
          <w:rFonts w:ascii="Verdana" w:hAnsi="Verdana" w:cs="Verdana"/>
          <w:sz w:val="17"/>
          <w:szCs w:val="17"/>
        </w:rPr>
        <w:t xml:space="preserve"> je zostavená ako mimoriadna účtovná závierka za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účtovné obdobie od 0</w:t>
      </w:r>
      <w:r w:rsidR="00014B42">
        <w:rPr>
          <w:rFonts w:ascii="Verdana" w:hAnsi="Verdana" w:cs="Verdana"/>
          <w:sz w:val="17"/>
          <w:szCs w:val="17"/>
        </w:rPr>
        <w:t>1</w:t>
      </w:r>
      <w:r w:rsidRPr="008C3EF9">
        <w:rPr>
          <w:rFonts w:ascii="Verdana" w:hAnsi="Verdana" w:cs="Verdana"/>
          <w:sz w:val="17"/>
          <w:szCs w:val="17"/>
        </w:rPr>
        <w:t>.06.2021 do 3.0</w:t>
      </w:r>
      <w:r w:rsidR="00014B42">
        <w:rPr>
          <w:rFonts w:ascii="Verdana" w:hAnsi="Verdana" w:cs="Verdana"/>
          <w:sz w:val="17"/>
          <w:szCs w:val="17"/>
        </w:rPr>
        <w:t>6.2021</w:t>
      </w:r>
      <w:r w:rsidRPr="008C3EF9">
        <w:rPr>
          <w:rFonts w:ascii="Verdana" w:hAnsi="Verdana" w:cs="Verdana"/>
          <w:sz w:val="17"/>
          <w:szCs w:val="17"/>
        </w:rPr>
        <w:t xml:space="preserve"> z dôvodu zrušenia spoločnosti likvidáciou 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17"/>
          <w:szCs w:val="17"/>
        </w:rPr>
      </w:pPr>
      <w:r w:rsidRPr="008C3EF9">
        <w:rPr>
          <w:rFonts w:ascii="Verdana-Bold" w:hAnsi="Verdana-Bold" w:cs="Verdana-Bold"/>
          <w:b/>
          <w:bCs/>
          <w:sz w:val="17"/>
          <w:szCs w:val="17"/>
        </w:rPr>
        <w:t>5. Schválenie účtovnej závierky za rok 2021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Účtovná závierka za predchádzajúce účtovné obdobie bola schválená 27.03.2021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17"/>
          <w:szCs w:val="17"/>
        </w:rPr>
      </w:pPr>
      <w:r w:rsidRPr="008C3EF9">
        <w:rPr>
          <w:rFonts w:ascii="Verdana-Bold" w:hAnsi="Verdana-Bold" w:cs="Verdana-Bold"/>
          <w:b/>
          <w:bCs/>
          <w:sz w:val="17"/>
          <w:szCs w:val="17"/>
        </w:rPr>
        <w:t>6. Spoločníci Spoločnosti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 xml:space="preserve">Ing. Jozef </w:t>
      </w:r>
      <w:proofErr w:type="spellStart"/>
      <w:r w:rsidRPr="008C3EF9">
        <w:rPr>
          <w:rFonts w:ascii="Verdana" w:hAnsi="Verdana" w:cs="Verdana"/>
          <w:sz w:val="17"/>
          <w:szCs w:val="17"/>
        </w:rPr>
        <w:t>Bachleda</w:t>
      </w:r>
      <w:proofErr w:type="spellEnd"/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J. Záborského 2418/12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Kežmarok 060 01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 xml:space="preserve">Ing. Ladislav </w:t>
      </w:r>
      <w:proofErr w:type="spellStart"/>
      <w:r w:rsidRPr="008C3EF9">
        <w:rPr>
          <w:rFonts w:ascii="Verdana" w:hAnsi="Verdana" w:cs="Verdana"/>
          <w:sz w:val="17"/>
          <w:szCs w:val="17"/>
        </w:rPr>
        <w:t>Volák</w:t>
      </w:r>
      <w:proofErr w:type="spellEnd"/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Kamenná Baňa 783/7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Kežmarok 060 01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 xml:space="preserve">Ing. Anna </w:t>
      </w:r>
      <w:proofErr w:type="spellStart"/>
      <w:r w:rsidRPr="008C3EF9">
        <w:rPr>
          <w:rFonts w:ascii="Verdana" w:hAnsi="Verdana" w:cs="Verdana"/>
          <w:sz w:val="17"/>
          <w:szCs w:val="17"/>
        </w:rPr>
        <w:t>Bachledová</w:t>
      </w:r>
      <w:proofErr w:type="spellEnd"/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 xml:space="preserve">Námestie Svätého </w:t>
      </w:r>
      <w:proofErr w:type="spellStart"/>
      <w:r w:rsidRPr="008C3EF9">
        <w:rPr>
          <w:rFonts w:ascii="Verdana" w:hAnsi="Verdana" w:cs="Verdana"/>
          <w:sz w:val="17"/>
          <w:szCs w:val="17"/>
        </w:rPr>
        <w:t>Egídia</w:t>
      </w:r>
      <w:proofErr w:type="spellEnd"/>
      <w:r w:rsidRPr="008C3EF9">
        <w:rPr>
          <w:rFonts w:ascii="Verdana" w:hAnsi="Verdana" w:cs="Verdana"/>
          <w:sz w:val="17"/>
          <w:szCs w:val="17"/>
        </w:rPr>
        <w:t xml:space="preserve"> 3004/110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Poprad 058 01</w:t>
      </w:r>
    </w:p>
    <w:p w:rsid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17"/>
          <w:szCs w:val="17"/>
        </w:rPr>
      </w:pPr>
      <w:r w:rsidRPr="008C3EF9">
        <w:rPr>
          <w:rFonts w:ascii="Verdana-Bold" w:hAnsi="Verdana-Bold" w:cs="Verdana-Bold"/>
          <w:b/>
          <w:bCs/>
          <w:sz w:val="17"/>
          <w:szCs w:val="17"/>
        </w:rPr>
        <w:t>7. Konsolidovaná účtovná závierka</w:t>
      </w: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17"/>
          <w:szCs w:val="17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17"/>
          <w:szCs w:val="17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17"/>
          <w:szCs w:val="17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17"/>
          <w:szCs w:val="17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17"/>
          <w:szCs w:val="17"/>
        </w:rPr>
      </w:pPr>
    </w:p>
    <w:p w:rsidR="00014B42" w:rsidRPr="008C3EF9" w:rsidRDefault="00014B42" w:rsidP="008C3EF9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17"/>
          <w:szCs w:val="17"/>
        </w:rPr>
      </w:pP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Poznámky </w:t>
      </w:r>
      <w:proofErr w:type="spellStart"/>
      <w:r w:rsidRPr="008C3EF9">
        <w:rPr>
          <w:rFonts w:ascii="Arial-BoldMT" w:hAnsi="Arial-BoldMT" w:cs="Arial-BoldMT"/>
          <w:b/>
          <w:bCs/>
          <w:sz w:val="20"/>
          <w:szCs w:val="20"/>
        </w:rPr>
        <w:t>Úč</w:t>
      </w:r>
      <w:proofErr w:type="spellEnd"/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 – </w:t>
      </w:r>
      <w:r w:rsidRPr="008C3EF9">
        <w:rPr>
          <w:rFonts w:ascii="Arial" w:hAnsi="Arial" w:cs="Arial"/>
          <w:b/>
          <w:bCs/>
          <w:sz w:val="20"/>
          <w:szCs w:val="20"/>
        </w:rPr>
        <w:t xml:space="preserve">PODV 3 </w:t>
      </w:r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– </w:t>
      </w:r>
      <w:r w:rsidRPr="008C3EF9">
        <w:rPr>
          <w:rFonts w:ascii="Arial" w:hAnsi="Arial" w:cs="Arial"/>
          <w:b/>
          <w:bCs/>
          <w:sz w:val="20"/>
          <w:szCs w:val="20"/>
        </w:rPr>
        <w:t xml:space="preserve">01 </w:t>
      </w:r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IČO: 17079551 DIČ: </w:t>
      </w:r>
      <w:r w:rsidRPr="008C3EF9">
        <w:rPr>
          <w:rFonts w:ascii="Arial" w:hAnsi="Arial" w:cs="Arial"/>
          <w:b/>
          <w:bCs/>
          <w:sz w:val="20"/>
          <w:szCs w:val="20"/>
        </w:rPr>
        <w:t>2020513154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0"/>
          <w:szCs w:val="20"/>
        </w:rPr>
      </w:pPr>
      <w:r w:rsidRPr="008C3EF9">
        <w:rPr>
          <w:rFonts w:ascii="Arial" w:hAnsi="Arial" w:cs="Arial"/>
          <w:b/>
          <w:bCs/>
          <w:sz w:val="20"/>
          <w:szCs w:val="20"/>
        </w:rPr>
        <w:t xml:space="preserve">QIUNTA, spol. s </w:t>
      </w:r>
      <w:r w:rsidRPr="008C3EF9">
        <w:rPr>
          <w:rFonts w:ascii="Arial-BoldMT" w:hAnsi="Arial-BoldMT" w:cs="Arial-BoldMT"/>
          <w:b/>
          <w:bCs/>
          <w:sz w:val="20"/>
          <w:szCs w:val="20"/>
        </w:rPr>
        <w:t>r.o. v likvidácii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Poznámky k účtovnej závierke zostavenej k </w:t>
      </w:r>
      <w:r w:rsidRPr="008C3EF9">
        <w:rPr>
          <w:rFonts w:ascii="Arial" w:hAnsi="Arial" w:cs="Arial"/>
          <w:b/>
          <w:bCs/>
          <w:sz w:val="20"/>
          <w:szCs w:val="20"/>
        </w:rPr>
        <w:t>3</w:t>
      </w:r>
      <w:r w:rsidR="00014B42">
        <w:rPr>
          <w:rFonts w:ascii="Arial" w:hAnsi="Arial" w:cs="Arial"/>
          <w:b/>
          <w:bCs/>
          <w:sz w:val="20"/>
          <w:szCs w:val="20"/>
        </w:rPr>
        <w:t>.06.2021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2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Spoločnosť nie je súčasťou žiadnej konsolidovanej skupiny a nezostavuje konsolidovanú účtovnú závierku.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18"/>
          <w:szCs w:val="18"/>
        </w:rPr>
      </w:pPr>
      <w:r w:rsidRPr="008C3EF9">
        <w:rPr>
          <w:rFonts w:ascii="Verdana-Bold" w:hAnsi="Verdana-Bold" w:cs="Verdana-Bold"/>
          <w:b/>
          <w:bCs/>
          <w:sz w:val="18"/>
          <w:szCs w:val="18"/>
        </w:rPr>
        <w:t>II. POUŽITÉ ÚČTOVNÉ ZÁSADY A ÚČTOVNÉ METÓDY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1. Spoločnosť uplatňuje účtovné princípy a postupy účtovania v súlade so zákonom o účtovníctve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a s postupmi účtovania pre podnikateľov, ktoré platia v Slovenskej republike. Účtovníctvo sa vedie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v peňažných jednotkách slovenskej meny, t. j. v eurách.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2. Účtovná závierka nebola spracovaná za predpokladu nepretržitého pokračovania činnosti. Spoločnosť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vstúpila do likvidácie dňa 04.06.2021.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3. Účtovníctvo sa vedie na základe dodržania časovej a vecnej súvislosti nákladov a výnosov. Za základ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sa berú všetky náklady a výnosy, ktoré sa vzťahujú na účtovné obdobie bez ohľadu na dátum ich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platenia.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4. Pri oceňovaní majetku a záväzkov sa uplatňuje zásada opatrnosti, t. j. berú sa za základ všetky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riziká, straty a zníženia hodnoty, ktoré sa týkajú majetku a záväzkov a ktoré sú známe ku dňu,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ku ktorému sa zostavuje účtovná závierka.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5. Moment zaúčtovania výnosov – výnosy sa účtujú pri splnení dodacích podmienok, nakoľko v tomto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okamihu prechádzajú na odberateľa významné riziká a vlastnícke práva.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6. Dlhodobé a krátkodobé pohľadávky, záväzky, úvery a pôžičky – pohľadávky a záväzky sa v súvahe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vykazujú ako dlhodobé alebo krátkodobé podľa zostatkovej doby splatnosti ku dňu, ku ktorému sa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zostavuje účtovná závierka. Časť dlhodobej pohľadávky a časť dlhodobého záväzku, ktorých splatnosť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nie je dlhšia ako jeden rok odo dňa, ku ktorému sa zostavuje účtovná závierka, sa vykazujú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v súvahe ako krátkodobá pohľadávka alebo krátkodobý záväzok.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7. Použitie odhadov – zostavenie účtovnej závierky si vyžaduje, aby vedenie spoločnosti vypracovalo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odhady a predpoklady, ktoré majú vplyv na vykazované sumy aktív a pasív, uvedenie možných budúcich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aktív a pasív k dátumu, ku ktorému sa zostavuje účtovná závierka, ako aj na vykazovanú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výšku výnosov a nákladov počas roka. Skutočné výsledky sa môžu od takýchto odhadov líšiť.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8. Vykázané dane – slovenské daňové právo je relatívne mladé s nedostatkom existujúcich precedensov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a podlieha neustálym novelizáciám. Nakoľko existujú rôzne interpretácie daňových zákonov a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predpisov pri uplatňovaní v rôznych typoch transakcií, sumy vykázané v účtovnej závierke sa môžu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neskôr zmeniť podľa konečného stanoviska daňových úradov.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17"/>
          <w:szCs w:val="17"/>
        </w:rPr>
      </w:pPr>
      <w:r w:rsidRPr="008C3EF9">
        <w:rPr>
          <w:rFonts w:ascii="Verdana-Bold" w:hAnsi="Verdana-Bold" w:cs="Verdana-Bold"/>
          <w:b/>
          <w:bCs/>
          <w:sz w:val="17"/>
          <w:szCs w:val="17"/>
        </w:rPr>
        <w:t>9. Spôsob ocenenia jednotlivých zložiek majetku a záväzkov – prvé ocenenie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Pri obstaraní majetku sa uplatňuje princíp obstarávacích cien (t. j. historických cien). Ocenenie jednotlivých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položiek majetku a záväzkov je takéto: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a) Dlhodobý hmotný a nehmotný majetok obstaraný kúpou – obstarávacou cenou. Obstarávacia cena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je cena, za ktorú sa majetok obstaral, a náklady súvisiace s jeho obstaraním (prepravné a clo).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b) Dlhodobý nehmotný majetok vytvorený vlastnou činnosťou – vlastnými nákladmi alebo reálnou hodnotou,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ak sú vlastné náklady vyššie ako reálna hodnota tohto majetku. Vlastné náklady zahŕňajú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priame náklady vynaložené na výrobu alebo inú činnosť a nepriame náklady, ktoré sa vzťahujú na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výrobu alebo inú činnosť. Reálna hodnota je cena, za ktorú by sa majetok obstaral v čase, keď sa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o ňom účtuje.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c) Dlhodobý hmotný majetok vytvorený vlastnou činnosťou – vlastnými nákladmi. Vlastné náklady zahŕňajú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priame náklady vynaložené na výrobu alebo inú činnosť, a nepriame náklady, ktoré sa vzťahujú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na výrobu alebo inú činnosť.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d) Dlhodobý nehmotný a hmotný majetok obstaraný iným spôsobom – reálnou hodnotou v prípade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bezodplatného nadobudnutia majetku alebo majetku novo zisteného pri inventarizácii, t. j. cenou,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za ktorú by sa majetok obstaral v čase, keď sa o ňom účtuje.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Arial Unicode MS" w:eastAsia="Arial Unicode MS" w:hAnsi="Arial Unicode MS" w:cs="Arial Unicode MS" w:hint="eastAsia"/>
          <w:sz w:val="17"/>
          <w:szCs w:val="17"/>
        </w:rPr>
        <w:t></w:t>
      </w:r>
      <w:r w:rsidRPr="008C3EF9">
        <w:rPr>
          <w:rFonts w:ascii="SymbolMT" w:eastAsia="SymbolMT" w:hAnsi="Arial-BoldMT" w:cs="SymbolMT"/>
          <w:sz w:val="17"/>
          <w:szCs w:val="17"/>
        </w:rPr>
        <w:t xml:space="preserve"> </w:t>
      </w:r>
      <w:r w:rsidRPr="008C3EF9">
        <w:rPr>
          <w:rFonts w:ascii="Verdana" w:hAnsi="Verdana" w:cs="Verdana"/>
          <w:sz w:val="17"/>
          <w:szCs w:val="17"/>
        </w:rPr>
        <w:t>Plán odpisov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Dlhodobý hmotný a nehmotný majetok sa odpisuje podľa plánu odpisov, ktorý bol stanovený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vzhľadom na odhad reálnej ekonomickej životnosti. Majetok sa odpisuje počas predpokladanej</w:t>
      </w:r>
    </w:p>
    <w:p w:rsid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doby používania zodpovedajúcej spotrebe budúcich ekonomických úžitkov z majetku. Účtovné</w:t>
      </w: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</w:p>
    <w:p w:rsidR="00014B42" w:rsidRPr="008C3EF9" w:rsidRDefault="00014B42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Poznámky </w:t>
      </w:r>
      <w:proofErr w:type="spellStart"/>
      <w:r w:rsidRPr="008C3EF9">
        <w:rPr>
          <w:rFonts w:ascii="Arial-BoldMT" w:hAnsi="Arial-BoldMT" w:cs="Arial-BoldMT"/>
          <w:b/>
          <w:bCs/>
          <w:sz w:val="20"/>
          <w:szCs w:val="20"/>
        </w:rPr>
        <w:t>Úč</w:t>
      </w:r>
      <w:proofErr w:type="spellEnd"/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 – </w:t>
      </w:r>
      <w:r w:rsidRPr="008C3EF9">
        <w:rPr>
          <w:rFonts w:ascii="Arial" w:hAnsi="Arial" w:cs="Arial"/>
          <w:b/>
          <w:bCs/>
          <w:sz w:val="20"/>
          <w:szCs w:val="20"/>
        </w:rPr>
        <w:t xml:space="preserve">PODV 3 </w:t>
      </w:r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– </w:t>
      </w:r>
      <w:r w:rsidRPr="008C3EF9">
        <w:rPr>
          <w:rFonts w:ascii="Arial" w:hAnsi="Arial" w:cs="Arial"/>
          <w:b/>
          <w:bCs/>
          <w:sz w:val="20"/>
          <w:szCs w:val="20"/>
        </w:rPr>
        <w:t xml:space="preserve">01 </w:t>
      </w:r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IČO: 17079551 DIČ: </w:t>
      </w:r>
      <w:r w:rsidRPr="008C3EF9">
        <w:rPr>
          <w:rFonts w:ascii="Arial" w:hAnsi="Arial" w:cs="Arial"/>
          <w:b/>
          <w:bCs/>
          <w:sz w:val="20"/>
          <w:szCs w:val="20"/>
        </w:rPr>
        <w:t>2020513154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0"/>
          <w:szCs w:val="20"/>
        </w:rPr>
      </w:pPr>
      <w:r w:rsidRPr="008C3EF9">
        <w:rPr>
          <w:rFonts w:ascii="Arial" w:hAnsi="Arial" w:cs="Arial"/>
          <w:b/>
          <w:bCs/>
          <w:sz w:val="20"/>
          <w:szCs w:val="20"/>
        </w:rPr>
        <w:t xml:space="preserve">QIUNTA, spol. s </w:t>
      </w:r>
      <w:r w:rsidRPr="008C3EF9">
        <w:rPr>
          <w:rFonts w:ascii="Arial-BoldMT" w:hAnsi="Arial-BoldMT" w:cs="Arial-BoldMT"/>
          <w:b/>
          <w:bCs/>
          <w:sz w:val="20"/>
          <w:szCs w:val="20"/>
        </w:rPr>
        <w:t>r.o. v likvidácii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Poznámky k účtovnej závierke zostavenej k </w:t>
      </w:r>
      <w:r w:rsidRPr="008C3EF9">
        <w:rPr>
          <w:rFonts w:ascii="Arial" w:hAnsi="Arial" w:cs="Arial"/>
          <w:b/>
          <w:bCs/>
          <w:sz w:val="20"/>
          <w:szCs w:val="20"/>
        </w:rPr>
        <w:t>3.0</w:t>
      </w:r>
      <w:r w:rsidR="00014B42">
        <w:rPr>
          <w:rFonts w:ascii="Arial" w:hAnsi="Arial" w:cs="Arial"/>
          <w:b/>
          <w:bCs/>
          <w:sz w:val="20"/>
          <w:szCs w:val="20"/>
        </w:rPr>
        <w:t>6.2021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odpisy sú rovnomerné. Majetok</w:t>
      </w:r>
      <w:r w:rsidR="00014B42">
        <w:rPr>
          <w:rFonts w:ascii="Verdana" w:hAnsi="Verdana" w:cs="Verdana"/>
          <w:sz w:val="17"/>
          <w:szCs w:val="17"/>
        </w:rPr>
        <w:t xml:space="preserve"> nebol nadobudnutý .  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Daňové odpisy sa uplatňujú podľa sadzieb uvedených v zákone o dani z príjmov platných pre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-Bold" w:hAnsi="Verdana-Bold" w:cs="Verdana-Bold"/>
          <w:b/>
          <w:bCs/>
          <w:sz w:val="17"/>
          <w:szCs w:val="17"/>
        </w:rPr>
        <w:t xml:space="preserve">rovnomerné </w:t>
      </w:r>
      <w:r w:rsidRPr="008C3EF9">
        <w:rPr>
          <w:rFonts w:ascii="Verdana" w:hAnsi="Verdana" w:cs="Verdana"/>
          <w:sz w:val="17"/>
          <w:szCs w:val="17"/>
        </w:rPr>
        <w:t>odpisovanie.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17"/>
          <w:szCs w:val="17"/>
        </w:rPr>
      </w:pPr>
      <w:r w:rsidRPr="008C3EF9">
        <w:rPr>
          <w:rFonts w:ascii="Verdana-Bold" w:hAnsi="Verdana-Bold" w:cs="Verdana-Bold"/>
          <w:b/>
          <w:bCs/>
          <w:sz w:val="17"/>
          <w:szCs w:val="17"/>
        </w:rPr>
        <w:t>Druh majetku Doba odpisovania Sadzba odpisov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Účtovná jednotka nedisponovala v období dlhodobým majetkom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e) Zásoby obstarané kúpou: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proofErr w:type="gramStart"/>
      <w:r w:rsidRPr="008C3EF9">
        <w:rPr>
          <w:rFonts w:ascii="Arial Unicode MS" w:eastAsia="Arial Unicode MS" w:hAnsi="Arial Unicode MS" w:cs="Arial Unicode MS" w:hint="eastAsia"/>
          <w:sz w:val="17"/>
          <w:szCs w:val="17"/>
        </w:rPr>
        <w:t></w:t>
      </w:r>
      <w:r w:rsidRPr="008C3EF9">
        <w:rPr>
          <w:rFonts w:ascii="SymbolMT" w:eastAsia="SymbolMT" w:hAnsi="Arial-BoldMT" w:cs="SymbolMT"/>
          <w:sz w:val="17"/>
          <w:szCs w:val="17"/>
        </w:rPr>
        <w:t xml:space="preserve"> </w:t>
      </w:r>
      <w:r w:rsidRPr="008C3EF9">
        <w:rPr>
          <w:rFonts w:ascii="Verdana" w:hAnsi="Verdana" w:cs="Verdana"/>
          <w:sz w:val="17"/>
          <w:szCs w:val="17"/>
        </w:rPr>
        <w:t>Nakupovaný materiál – obstarávacou cenou.</w:t>
      </w:r>
      <w:proofErr w:type="gramEnd"/>
      <w:r w:rsidRPr="008C3EF9">
        <w:rPr>
          <w:rFonts w:ascii="Verdana" w:hAnsi="Verdana" w:cs="Verdana"/>
          <w:sz w:val="17"/>
          <w:szCs w:val="17"/>
        </w:rPr>
        <w:t xml:space="preserve"> Pri úbytku rovnakého druhu zásob sa používa metóda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-Bold" w:hAnsi="Verdana-Bold" w:cs="Verdana-Bold"/>
          <w:b/>
          <w:bCs/>
          <w:sz w:val="17"/>
          <w:szCs w:val="17"/>
        </w:rPr>
        <w:t>váženého aritmetického priemeru</w:t>
      </w:r>
      <w:r w:rsidRPr="008C3EF9">
        <w:rPr>
          <w:rFonts w:ascii="Verdana" w:hAnsi="Verdana" w:cs="Verdana"/>
          <w:sz w:val="17"/>
          <w:szCs w:val="17"/>
        </w:rPr>
        <w:t>. Do vedľajších nákladov vstupuje clo, prepravné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a provízie. Vedľajšie náklady sa rozvrhujú ako odchýlka podľa podielu súčtu stavu a prírastku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odchýlky na súčte stavu a prírastku zásob. Zľava z ceny poskytnutá k už predaným alebo spotrebovaným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 xml:space="preserve">zásobám sa účtuje ako </w:t>
      </w:r>
      <w:proofErr w:type="spellStart"/>
      <w:r w:rsidRPr="008C3EF9">
        <w:rPr>
          <w:rFonts w:ascii="Verdana" w:hAnsi="Verdana" w:cs="Verdana"/>
          <w:sz w:val="17"/>
          <w:szCs w:val="17"/>
        </w:rPr>
        <w:t>znížnie</w:t>
      </w:r>
      <w:proofErr w:type="spellEnd"/>
      <w:r w:rsidRPr="008C3EF9">
        <w:rPr>
          <w:rFonts w:ascii="Verdana" w:hAnsi="Verdana" w:cs="Verdana"/>
          <w:sz w:val="17"/>
          <w:szCs w:val="17"/>
        </w:rPr>
        <w:t xml:space="preserve"> nákladov na predané alebo spotrebované zásoby.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Ak je obstarávacia cena zásob vyššia než ich čistá realizačná hodnota ku dňu, ku ktorému sa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zostavuje účtovná závierka, vytvára sa opravná položka k zásobám vo výške rozdielu medzi ich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ocenením v účtovníctve a ich čistou realizačnou hodnotou. Čistá realizačná hodnota je predpokladaná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predajná cena zásob znížená o predpokladané náklady na ich dokončenie a náklady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 xml:space="preserve">súvisiace s ich predajom. Účtovná jednotka v </w:t>
      </w:r>
      <w:proofErr w:type="spellStart"/>
      <w:r w:rsidRPr="008C3EF9">
        <w:rPr>
          <w:rFonts w:ascii="Verdana" w:hAnsi="Verdana" w:cs="Verdana"/>
          <w:sz w:val="17"/>
          <w:szCs w:val="17"/>
        </w:rPr>
        <w:t>v</w:t>
      </w:r>
      <w:proofErr w:type="spellEnd"/>
      <w:r w:rsidRPr="008C3EF9">
        <w:rPr>
          <w:rFonts w:ascii="Verdana" w:hAnsi="Verdana" w:cs="Verdana"/>
          <w:sz w:val="17"/>
          <w:szCs w:val="17"/>
        </w:rPr>
        <w:t xml:space="preserve"> účtovnom období nenakupovala zásoby.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proofErr w:type="gramStart"/>
      <w:r w:rsidRPr="008C3EF9">
        <w:rPr>
          <w:rFonts w:ascii="Arial Unicode MS" w:eastAsia="Arial Unicode MS" w:hAnsi="Arial Unicode MS" w:cs="Arial Unicode MS" w:hint="eastAsia"/>
          <w:sz w:val="17"/>
          <w:szCs w:val="17"/>
        </w:rPr>
        <w:t></w:t>
      </w:r>
      <w:r w:rsidRPr="008C3EF9">
        <w:rPr>
          <w:rFonts w:ascii="SymbolMT" w:eastAsia="SymbolMT" w:hAnsi="Arial-BoldMT" w:cs="SymbolMT"/>
          <w:sz w:val="17"/>
          <w:szCs w:val="17"/>
        </w:rPr>
        <w:t xml:space="preserve"> </w:t>
      </w:r>
      <w:r w:rsidRPr="008C3EF9">
        <w:rPr>
          <w:rFonts w:ascii="Verdana" w:hAnsi="Verdana" w:cs="Verdana"/>
          <w:sz w:val="17"/>
          <w:szCs w:val="17"/>
        </w:rPr>
        <w:t>Nakupovaný tovar – obstarávacou cenou.</w:t>
      </w:r>
      <w:proofErr w:type="gramEnd"/>
      <w:r w:rsidRPr="008C3EF9">
        <w:rPr>
          <w:rFonts w:ascii="Verdana" w:hAnsi="Verdana" w:cs="Verdana"/>
          <w:sz w:val="17"/>
          <w:szCs w:val="17"/>
        </w:rPr>
        <w:t xml:space="preserve"> Pri úbytku rovnakého druhu zásob sa používa metóda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-Bold" w:hAnsi="Verdana-Bold" w:cs="Verdana-Bold"/>
          <w:b/>
          <w:bCs/>
          <w:sz w:val="17"/>
          <w:szCs w:val="17"/>
        </w:rPr>
        <w:t>váženého aritmetického priemeru</w:t>
      </w:r>
      <w:r w:rsidRPr="008C3EF9">
        <w:rPr>
          <w:rFonts w:ascii="Verdana" w:hAnsi="Verdana" w:cs="Verdana"/>
          <w:sz w:val="17"/>
          <w:szCs w:val="17"/>
        </w:rPr>
        <w:t>. Do vedľajších nákladov patrí prepravné, clo a provízie.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Účtovná jednotka vo vykazovanom období nenakupovala tovar.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f) Pohľadávky: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Pohľadávky sa pri ich vzniku oceňujú ich menovitou hodnotou. Opravná položka sa vytvára k pochybným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a nedobytným pohľadávkam, kde existuje riziko nevymožiteľnosti pohľadávok.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g) Krátkodobý finančný majetok – obstarávacou cenou. Obstarávacia cena je cena, za ktorú sa majetok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obstaral, a náklady súvisiace s jeho obstaraním (poplatky a provízie maklérom, poradcom, burzám).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h) Časové rozlíšenie na strane aktív súvahy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Náklady budúcich období a príjmy budúcich období sú vykázané vo výške, ktorá je potrebná na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dodržanie zásady vecnej a časovej súvislosti s účtovným obdobím.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i) Záväzky: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Arial Unicode MS" w:eastAsia="Arial Unicode MS" w:hAnsi="Arial Unicode MS" w:cs="Arial Unicode MS" w:hint="eastAsia"/>
          <w:sz w:val="17"/>
          <w:szCs w:val="17"/>
        </w:rPr>
        <w:t></w:t>
      </w:r>
      <w:r w:rsidRPr="008C3EF9">
        <w:rPr>
          <w:rFonts w:ascii="SymbolMT" w:eastAsia="SymbolMT" w:hAnsi="Arial-BoldMT" w:cs="SymbolMT"/>
          <w:sz w:val="17"/>
          <w:szCs w:val="17"/>
        </w:rPr>
        <w:t xml:space="preserve"> </w:t>
      </w:r>
      <w:proofErr w:type="gramStart"/>
      <w:r w:rsidRPr="008C3EF9">
        <w:rPr>
          <w:rFonts w:ascii="Verdana" w:hAnsi="Verdana" w:cs="Verdana"/>
          <w:sz w:val="17"/>
          <w:szCs w:val="17"/>
        </w:rPr>
        <w:t>pri</w:t>
      </w:r>
      <w:proofErr w:type="gramEnd"/>
      <w:r w:rsidRPr="008C3EF9">
        <w:rPr>
          <w:rFonts w:ascii="Verdana" w:hAnsi="Verdana" w:cs="Verdana"/>
          <w:sz w:val="17"/>
          <w:szCs w:val="17"/>
        </w:rPr>
        <w:t xml:space="preserve"> ich vzniku – menovitou hodnotou.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Ak sa pri inventarizácii zistí, že suma záväzkov je iná ako ich výška v účtovníctve, uvedú sa záväzky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v účtovníctve a v účtovnej závierke v tomto zistenom ocenení.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j) Rezervy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Rezerva je záväzok predstavujúci existujúcu povinnosť Spoločnosti, ktorá vznikla z minulých udalostí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a je pravdepodobné, že v budúcnosti zníži jej ekonomické úžitky. Rezervy sú záväzky s neurčitým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časovým vymedzením alebo výškou a oceňujú sa odhadom v sume potrebnej na splnenie existujúcej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povinnosti ku dňu, ku ktorému sa zostavuje účtovná závierka.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Tvorba rezervy sa účtuje na vecne príslušný nákladový alebo majetkový účet, ku ktorému záväzok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prislúcha. Použitie rezervy sa účtuje na ťarchu vecne príslušného účtu rezerv so súvzťažným zápisom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v prospech vecne príslušného účtu záväzkov. Rozpustenie nepotrebnej rezervy alebo jej časti sa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účtuje opačným účtovným zápisom ako sa účtovala tvorba rezervy. Účtovná jednotka nevytvárala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v rezervy vo vykazovanom období.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 xml:space="preserve">k) </w:t>
      </w:r>
      <w:proofErr w:type="spellStart"/>
      <w:r w:rsidRPr="008C3EF9">
        <w:rPr>
          <w:rFonts w:ascii="Verdana" w:hAnsi="Verdana" w:cs="Verdana"/>
          <w:sz w:val="17"/>
          <w:szCs w:val="17"/>
        </w:rPr>
        <w:t>Zamestanecké</w:t>
      </w:r>
      <w:proofErr w:type="spellEnd"/>
      <w:r w:rsidRPr="008C3EF9">
        <w:rPr>
          <w:rFonts w:ascii="Verdana" w:hAnsi="Verdana" w:cs="Verdana"/>
          <w:sz w:val="17"/>
          <w:szCs w:val="17"/>
        </w:rPr>
        <w:t xml:space="preserve"> požitky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Platy, mzdy, príspevky do štátnych dôchodkových a poistných fondov, platená ročná dovolenka a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platená zdravotná dovolenka, bonusy a ostatné nepeňažné požitky (napr. zdravotná starostlivosť)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sa účtujú v účtovnom období, s ktorým vecne a časovo súvisia.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l) Opravné položky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Opravné položky sa tvoria na základe zásady opatrnosti, ak je opodstatnené predpokladať, že došlo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k zníženiu hodnoty majetku oproti jeho oceneniu v účtovníctve. Opravná položka sa účtuje v sume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opodstatneného predpokladu zníženia hodnoty majetku oproti jeho oceneniu v účtovníctve.</w:t>
      </w: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0"/>
          <w:szCs w:val="20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0"/>
          <w:szCs w:val="20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0"/>
          <w:szCs w:val="20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0"/>
          <w:szCs w:val="20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0"/>
          <w:szCs w:val="20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0"/>
          <w:szCs w:val="20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0"/>
          <w:szCs w:val="20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0"/>
          <w:szCs w:val="20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0"/>
          <w:szCs w:val="20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0"/>
          <w:szCs w:val="20"/>
        </w:rPr>
      </w:pPr>
    </w:p>
    <w:p w:rsidR="00014B42" w:rsidRDefault="00014B42" w:rsidP="008C3EF9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0"/>
          <w:szCs w:val="20"/>
        </w:rPr>
      </w:pPr>
    </w:p>
    <w:p w:rsid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Poznámky </w:t>
      </w:r>
      <w:proofErr w:type="spellStart"/>
      <w:r w:rsidRPr="008C3EF9">
        <w:rPr>
          <w:rFonts w:ascii="Arial-BoldMT" w:hAnsi="Arial-BoldMT" w:cs="Arial-BoldMT"/>
          <w:b/>
          <w:bCs/>
          <w:sz w:val="20"/>
          <w:szCs w:val="20"/>
        </w:rPr>
        <w:t>Úč</w:t>
      </w:r>
      <w:proofErr w:type="spellEnd"/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 – </w:t>
      </w:r>
      <w:r w:rsidRPr="008C3EF9">
        <w:rPr>
          <w:rFonts w:ascii="Arial" w:hAnsi="Arial" w:cs="Arial"/>
          <w:b/>
          <w:bCs/>
          <w:sz w:val="20"/>
          <w:szCs w:val="20"/>
        </w:rPr>
        <w:t xml:space="preserve">PODV 3 </w:t>
      </w:r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– </w:t>
      </w:r>
      <w:r w:rsidRPr="008C3EF9">
        <w:rPr>
          <w:rFonts w:ascii="Arial" w:hAnsi="Arial" w:cs="Arial"/>
          <w:b/>
          <w:bCs/>
          <w:sz w:val="20"/>
          <w:szCs w:val="20"/>
        </w:rPr>
        <w:t xml:space="preserve">01 </w:t>
      </w:r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IČO: 17079551 DIČ: </w:t>
      </w:r>
      <w:r w:rsidRPr="008C3EF9">
        <w:rPr>
          <w:rFonts w:ascii="Arial" w:hAnsi="Arial" w:cs="Arial"/>
          <w:b/>
          <w:bCs/>
          <w:sz w:val="20"/>
          <w:szCs w:val="20"/>
        </w:rPr>
        <w:t>2020513154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0"/>
          <w:szCs w:val="20"/>
        </w:rPr>
      </w:pPr>
      <w:r w:rsidRPr="008C3EF9">
        <w:rPr>
          <w:rFonts w:ascii="Arial" w:hAnsi="Arial" w:cs="Arial"/>
          <w:b/>
          <w:bCs/>
          <w:sz w:val="20"/>
          <w:szCs w:val="20"/>
        </w:rPr>
        <w:t xml:space="preserve">QIUNTA, spol. s </w:t>
      </w:r>
      <w:r w:rsidRPr="008C3EF9">
        <w:rPr>
          <w:rFonts w:ascii="Arial-BoldMT" w:hAnsi="Arial-BoldMT" w:cs="Arial-BoldMT"/>
          <w:b/>
          <w:bCs/>
          <w:sz w:val="20"/>
          <w:szCs w:val="20"/>
        </w:rPr>
        <w:t>r.o. v likvidácii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Poznámky k účtovnej závierke zostavenej k </w:t>
      </w:r>
      <w:r w:rsidRPr="008C3EF9">
        <w:rPr>
          <w:rFonts w:ascii="Arial" w:hAnsi="Arial" w:cs="Arial"/>
          <w:b/>
          <w:bCs/>
          <w:sz w:val="20"/>
          <w:szCs w:val="20"/>
        </w:rPr>
        <w:t>3</w:t>
      </w:r>
      <w:r w:rsidR="00014B42">
        <w:rPr>
          <w:rFonts w:ascii="Arial" w:hAnsi="Arial" w:cs="Arial"/>
          <w:b/>
          <w:bCs/>
          <w:sz w:val="20"/>
          <w:szCs w:val="20"/>
        </w:rPr>
        <w:t>.06.2021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4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m) Časové rozlíšenie na strane pasív súvahy – výdavky budúcich období a výnosy budúcich období sú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 xml:space="preserve">vykázané vo výške, ktorá je </w:t>
      </w:r>
      <w:proofErr w:type="spellStart"/>
      <w:r w:rsidRPr="008C3EF9">
        <w:rPr>
          <w:rFonts w:ascii="Verdana" w:hAnsi="Verdana" w:cs="Verdana"/>
          <w:sz w:val="17"/>
          <w:szCs w:val="17"/>
        </w:rPr>
        <w:t>porebná</w:t>
      </w:r>
      <w:proofErr w:type="spellEnd"/>
      <w:r w:rsidRPr="008C3EF9">
        <w:rPr>
          <w:rFonts w:ascii="Verdana" w:hAnsi="Verdana" w:cs="Verdana"/>
          <w:sz w:val="17"/>
          <w:szCs w:val="17"/>
        </w:rPr>
        <w:t xml:space="preserve"> na dodržanie zásady vecnej a časovej súvislosti s účtovným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obdobím. Účtovná jednotka v sledovanom období neúčtovala o časovom rozlíšení na strane pasív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súvahy.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n) Daň z príjmov splatná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 xml:space="preserve">Daň z </w:t>
      </w:r>
      <w:proofErr w:type="spellStart"/>
      <w:r w:rsidRPr="008C3EF9">
        <w:rPr>
          <w:rFonts w:ascii="Verdana" w:hAnsi="Verdana" w:cs="Verdana"/>
          <w:sz w:val="17"/>
          <w:szCs w:val="17"/>
        </w:rPr>
        <w:t>prijmov</w:t>
      </w:r>
      <w:proofErr w:type="spellEnd"/>
      <w:r w:rsidRPr="008C3EF9">
        <w:rPr>
          <w:rFonts w:ascii="Verdana" w:hAnsi="Verdana" w:cs="Verdana"/>
          <w:sz w:val="17"/>
          <w:szCs w:val="17"/>
        </w:rPr>
        <w:t xml:space="preserve"> sa účtuje do nákladov Spoločnosti v období vzniku daňovej povinnosti a v priloženom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výkaze ziskov a strát Spoločnosti je vypočítaná zo základu vyplývajúceho z hospodárskeho výsledku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pred zdanením, ktorý bol upravený o pripočítateľné a odpočítateľné položky z titulu trvalých a dočasných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úprav daňového základu a umorenia straty. Daňový záväzok je uvedený po znížení o preddavky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na daň z príjmov, ktoré Spoločnosť uhradila v priebehu roka. V prípade, že uhradené preddavky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na daň z príjmu v priebehu roka sú vyššie ako daňová povinnosť za tento rok, Spoločnosť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vykazuje výslednú daňovú pohľadávku.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o) Daň z príjmov odložená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Odložená daň z príjmu vyplýva z: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a) rozdielov medzi účtovnou hodnotou majetku a účtovnou hodnotou záväzkov vykázanou v súvahe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a ich daňovou základňou,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b) možnosti umorovať daňovú stratu v budúcnosti, pod ktorou sa rozumie možnosť odpočítať daňovú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stratu od základu dane v budúcnosti,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c) možnosti previesť nevyužité daňové odpočty a iné daňové nároky do budúcich období.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Odložená daňová pohľadávka sa účtuje iba do takej výšky, do akej je pravdepodobné, že bude možné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dočasné rozdiely vyrovnať voči budúcemu základu dane.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Pri výpočte odloženej dane sa použije sadzba dane z príjmov, o ktorej sa predpokladá, že bude platiť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v čase vyrovnania odloženej dane.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17"/>
          <w:szCs w:val="17"/>
        </w:rPr>
      </w:pPr>
      <w:r w:rsidRPr="008C3EF9">
        <w:rPr>
          <w:rFonts w:ascii="Verdana-Bold" w:hAnsi="Verdana-Bold" w:cs="Verdana-Bold"/>
          <w:b/>
          <w:bCs/>
          <w:sz w:val="17"/>
          <w:szCs w:val="17"/>
        </w:rPr>
        <w:t>10. Prepočet údajov v cudzích menách na slovenskú menu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Majetok a záväzky vyjadrené v cudzej mene sa prepočítavajú na eurá referenčným výmenným kurzom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určeným a vyhláseným Európskou centrálnou bankou (ECB) alebo Národnou bankou Slovenska (NBS)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v deň predchádzajúci dňu uskutočnenia účtovného prípadu a v deň, ku ktorému sa zostavuje účtovná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závierka. Prijaté a poskytnuté preddavky v cudzej mene sa ku dňu, ku ktorému sa zostavuje účtovná závierka,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neprepočítavajú. Pri kúpe a predaji cudzej meny za menu euro a pri prevode peňažných prostriedkov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z účtu zriadeného v cudzej mene na účet zriadený v eurách a z účtu zriadeného v eurách na účet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zriadený v cudzej mene sa použil kurz, za ktorý boli tieto hodnoty nakúpené alebo predané. Ak sa predaj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alebo kúpa cudzej meny uskutoční za iný kurz ako ponúka komerčná banka v kurzovom lístku, použije sa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 xml:space="preserve">kurz, ktorý komerčná banka v deň </w:t>
      </w:r>
      <w:proofErr w:type="spellStart"/>
      <w:r w:rsidRPr="008C3EF9">
        <w:rPr>
          <w:rFonts w:ascii="Verdana" w:hAnsi="Verdana" w:cs="Verdana"/>
          <w:sz w:val="17"/>
          <w:szCs w:val="17"/>
        </w:rPr>
        <w:t>vysporiadania</w:t>
      </w:r>
      <w:proofErr w:type="spellEnd"/>
      <w:r w:rsidRPr="008C3EF9">
        <w:rPr>
          <w:rFonts w:ascii="Verdana" w:hAnsi="Verdana" w:cs="Verdana"/>
          <w:sz w:val="17"/>
          <w:szCs w:val="17"/>
        </w:rPr>
        <w:t xml:space="preserve"> obchodu ponúka v kurzovom lístku. Ak sa kúpa alebo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predaj neuskutočňuje s komerčnou bankou, použije sa referenčný výmenný kurz určený a vyhlásený ECB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 xml:space="preserve">alebo NBS v deň predchádzajúci dňu </w:t>
      </w:r>
      <w:proofErr w:type="spellStart"/>
      <w:r w:rsidRPr="008C3EF9">
        <w:rPr>
          <w:rFonts w:ascii="Verdana" w:hAnsi="Verdana" w:cs="Verdana"/>
          <w:sz w:val="17"/>
          <w:szCs w:val="17"/>
        </w:rPr>
        <w:t>vysporiadania</w:t>
      </w:r>
      <w:proofErr w:type="spellEnd"/>
      <w:r w:rsidRPr="008C3EF9">
        <w:rPr>
          <w:rFonts w:ascii="Verdana" w:hAnsi="Verdana" w:cs="Verdana"/>
          <w:sz w:val="17"/>
          <w:szCs w:val="17"/>
        </w:rPr>
        <w:t xml:space="preserve"> obchodu.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17"/>
          <w:szCs w:val="17"/>
        </w:rPr>
      </w:pPr>
      <w:r w:rsidRPr="008C3EF9">
        <w:rPr>
          <w:rFonts w:ascii="Verdana-Bold" w:hAnsi="Verdana-Bold" w:cs="Verdana-Bold"/>
          <w:b/>
          <w:bCs/>
          <w:sz w:val="17"/>
          <w:szCs w:val="17"/>
        </w:rPr>
        <w:t>11. Zmeny účtovných zásad a účtovných metód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Účtovné metódy a všeobecné účtovné zásady aplikovala Spoločnosť konzistentne s predchádzajúcim účtovným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obdobím, t.j. neboli v kalendárnom roku 2021 uplatnené zmeny v účtovných zásadách a účtovných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17"/>
          <w:szCs w:val="17"/>
        </w:rPr>
      </w:pPr>
      <w:r w:rsidRPr="008C3EF9">
        <w:rPr>
          <w:rFonts w:ascii="Verdana" w:hAnsi="Verdana" w:cs="Verdana"/>
          <w:sz w:val="17"/>
          <w:szCs w:val="17"/>
        </w:rPr>
        <w:t>metódach.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Poznámky </w:t>
      </w:r>
      <w:proofErr w:type="spellStart"/>
      <w:r w:rsidRPr="008C3EF9">
        <w:rPr>
          <w:rFonts w:ascii="Arial-BoldMT" w:hAnsi="Arial-BoldMT" w:cs="Arial-BoldMT"/>
          <w:b/>
          <w:bCs/>
          <w:sz w:val="20"/>
          <w:szCs w:val="20"/>
        </w:rPr>
        <w:t>Úč</w:t>
      </w:r>
      <w:proofErr w:type="spellEnd"/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 – </w:t>
      </w:r>
      <w:r w:rsidRPr="008C3EF9">
        <w:rPr>
          <w:rFonts w:ascii="Arial" w:hAnsi="Arial" w:cs="Arial"/>
          <w:b/>
          <w:bCs/>
          <w:sz w:val="20"/>
          <w:szCs w:val="20"/>
        </w:rPr>
        <w:t xml:space="preserve">PODV 3 </w:t>
      </w:r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– </w:t>
      </w:r>
      <w:r w:rsidRPr="008C3EF9">
        <w:rPr>
          <w:rFonts w:ascii="Arial" w:hAnsi="Arial" w:cs="Arial"/>
          <w:b/>
          <w:bCs/>
          <w:sz w:val="20"/>
          <w:szCs w:val="20"/>
        </w:rPr>
        <w:t xml:space="preserve">01 </w:t>
      </w:r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IČO: 17079551 DIČ: </w:t>
      </w:r>
      <w:r w:rsidRPr="008C3EF9">
        <w:rPr>
          <w:rFonts w:ascii="Arial" w:hAnsi="Arial" w:cs="Arial"/>
          <w:b/>
          <w:bCs/>
          <w:sz w:val="20"/>
          <w:szCs w:val="20"/>
        </w:rPr>
        <w:t>2020513154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0"/>
          <w:szCs w:val="20"/>
        </w:rPr>
      </w:pPr>
      <w:r w:rsidRPr="008C3EF9">
        <w:rPr>
          <w:rFonts w:ascii="Arial" w:hAnsi="Arial" w:cs="Arial"/>
          <w:b/>
          <w:bCs/>
          <w:sz w:val="20"/>
          <w:szCs w:val="20"/>
        </w:rPr>
        <w:t xml:space="preserve">QIUNTA, spol. s </w:t>
      </w:r>
      <w:r w:rsidRPr="008C3EF9">
        <w:rPr>
          <w:rFonts w:ascii="Arial-BoldMT" w:hAnsi="Arial-BoldMT" w:cs="Arial-BoldMT"/>
          <w:b/>
          <w:bCs/>
          <w:sz w:val="20"/>
          <w:szCs w:val="20"/>
        </w:rPr>
        <w:t>r.o. v likvidácii</w:t>
      </w:r>
    </w:p>
    <w:p w:rsidR="008C3EF9" w:rsidRPr="008C3EF9" w:rsidRDefault="008C3EF9" w:rsidP="008C3EF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8C3EF9">
        <w:rPr>
          <w:rFonts w:ascii="Arial-BoldMT" w:hAnsi="Arial-BoldMT" w:cs="Arial-BoldMT"/>
          <w:b/>
          <w:bCs/>
          <w:sz w:val="20"/>
          <w:szCs w:val="20"/>
        </w:rPr>
        <w:t xml:space="preserve">Poznámky k účtovnej závierke zostavenej k </w:t>
      </w:r>
      <w:r w:rsidRPr="008C3EF9">
        <w:rPr>
          <w:rFonts w:ascii="Arial" w:hAnsi="Arial" w:cs="Arial"/>
          <w:b/>
          <w:bCs/>
          <w:sz w:val="20"/>
          <w:szCs w:val="20"/>
        </w:rPr>
        <w:t>3.0</w:t>
      </w:r>
      <w:r w:rsidR="00014B42">
        <w:rPr>
          <w:rFonts w:ascii="Arial" w:hAnsi="Arial" w:cs="Arial"/>
          <w:b/>
          <w:bCs/>
          <w:sz w:val="20"/>
          <w:szCs w:val="20"/>
        </w:rPr>
        <w:t>6</w:t>
      </w:r>
      <w:r w:rsidRPr="008C3EF9">
        <w:rPr>
          <w:rFonts w:ascii="Arial" w:hAnsi="Arial" w:cs="Arial"/>
          <w:b/>
          <w:bCs/>
          <w:sz w:val="20"/>
          <w:szCs w:val="20"/>
        </w:rPr>
        <w:t>.202</w:t>
      </w:r>
      <w:r w:rsidR="00014B42">
        <w:rPr>
          <w:rFonts w:ascii="Arial" w:hAnsi="Arial" w:cs="Arial"/>
          <w:b/>
          <w:bCs/>
          <w:sz w:val="20"/>
          <w:szCs w:val="20"/>
        </w:rPr>
        <w:t>1</w:t>
      </w:r>
    </w:p>
    <w:sectPr w:rsidR="008C3EF9" w:rsidRPr="008C3EF9" w:rsidSect="000224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Verdana-Bold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Verdana-BoldItalic">
    <w:altName w:val="Times New Roman"/>
    <w:panose1 w:val="00000000000000000000"/>
    <w:charset w:val="EE"/>
    <w:family w:val="auto"/>
    <w:notTrueType/>
    <w:pitch w:val="default"/>
    <w:sig w:usb0="00000001" w:usb1="00000000" w:usb2="00000000" w:usb3="00000000" w:csb0="0000000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MT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B615C"/>
    <w:rsid w:val="00014B42"/>
    <w:rsid w:val="000224F1"/>
    <w:rsid w:val="002A016E"/>
    <w:rsid w:val="004C2016"/>
    <w:rsid w:val="005A093A"/>
    <w:rsid w:val="00691759"/>
    <w:rsid w:val="008C3EF9"/>
    <w:rsid w:val="00A002FE"/>
    <w:rsid w:val="00BB615C"/>
    <w:rsid w:val="00D76A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24F1"/>
  </w:style>
  <w:style w:type="paragraph" w:styleId="Nadpis3">
    <w:name w:val="heading 3"/>
    <w:basedOn w:val="Normlny"/>
    <w:link w:val="Nadpis3Char"/>
    <w:uiPriority w:val="9"/>
    <w:qFormat/>
    <w:rsid w:val="00BB615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BB615C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qu">
    <w:name w:val="qu"/>
    <w:basedOn w:val="Predvolenpsmoodseku"/>
    <w:rsid w:val="00BB615C"/>
  </w:style>
  <w:style w:type="character" w:customStyle="1" w:styleId="gd">
    <w:name w:val="gd"/>
    <w:basedOn w:val="Predvolenpsmoodseku"/>
    <w:rsid w:val="00BB615C"/>
  </w:style>
  <w:style w:type="character" w:customStyle="1" w:styleId="go">
    <w:name w:val="go"/>
    <w:basedOn w:val="Predvolenpsmoodseku"/>
    <w:rsid w:val="00BB615C"/>
  </w:style>
  <w:style w:type="character" w:customStyle="1" w:styleId="g3">
    <w:name w:val="g3"/>
    <w:basedOn w:val="Predvolenpsmoodseku"/>
    <w:rsid w:val="00BB615C"/>
  </w:style>
  <w:style w:type="character" w:customStyle="1" w:styleId="hb">
    <w:name w:val="hb"/>
    <w:basedOn w:val="Predvolenpsmoodseku"/>
    <w:rsid w:val="00BB615C"/>
  </w:style>
  <w:style w:type="character" w:customStyle="1" w:styleId="g2">
    <w:name w:val="g2"/>
    <w:basedOn w:val="Predvolenpsmoodseku"/>
    <w:rsid w:val="00BB615C"/>
  </w:style>
  <w:style w:type="paragraph" w:styleId="Normlnywebov">
    <w:name w:val="Normal (Web)"/>
    <w:basedOn w:val="Normlny"/>
    <w:uiPriority w:val="99"/>
    <w:semiHidden/>
    <w:unhideWhenUsed/>
    <w:rsid w:val="00BB61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Zvraznenie">
    <w:name w:val="Emphasis"/>
    <w:basedOn w:val="Predvolenpsmoodseku"/>
    <w:uiPriority w:val="20"/>
    <w:qFormat/>
    <w:rsid w:val="00BB615C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B61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B615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626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00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292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199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4261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987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7660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30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586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829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070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1157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607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2012</Words>
  <Characters>11475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PERSONALISTA-PC</dc:creator>
  <cp:lastModifiedBy>PERSONALISTA-PC</cp:lastModifiedBy>
  <cp:revision>2</cp:revision>
  <cp:lastPrinted>2021-10-29T14:57:00Z</cp:lastPrinted>
  <dcterms:created xsi:type="dcterms:W3CDTF">2022-03-22T17:21:00Z</dcterms:created>
  <dcterms:modified xsi:type="dcterms:W3CDTF">2022-03-22T17:21:00Z</dcterms:modified>
</cp:coreProperties>
</file>