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BE9" w:rsidRDefault="00173BE9">
      <w:pPr>
        <w:pStyle w:val="Zkladntext"/>
        <w:spacing w:before="9"/>
        <w:rPr>
          <w:rFonts w:ascii="Times New Roman"/>
          <w:sz w:val="29"/>
        </w:rPr>
      </w:pPr>
    </w:p>
    <w:p w:rsidR="00173BE9" w:rsidRDefault="00765BD7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88.75pt;height:71.6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173BE9" w:rsidRDefault="00BC776F">
                  <w:pPr>
                    <w:spacing w:before="17"/>
                    <w:ind w:left="134" w:right="133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Poznámky k mik</w:t>
                  </w:r>
                  <w:r w:rsidR="00400795">
                    <w:rPr>
                      <w:b/>
                    </w:rPr>
                    <w:t>ro účtovnej závierke za rok 2021</w:t>
                  </w:r>
                </w:p>
                <w:p w:rsidR="00173BE9" w:rsidRDefault="00BC776F">
                  <w:pPr>
                    <w:pStyle w:val="Zkladntext"/>
                    <w:spacing w:before="121" w:line="252" w:lineRule="exact"/>
                    <w:ind w:left="134" w:right="134"/>
                    <w:jc w:val="center"/>
                  </w:pPr>
                  <w:r>
                    <w:rPr>
                      <w:w w:val="90"/>
                    </w:rPr>
                    <w:t>zostavené podľa Opatrenia Ministerstva financií SR č.MF/15464/2013-74, ktorým sa ustanovujú podrobnosti</w:t>
                  </w:r>
                </w:p>
                <w:p w:rsidR="00173BE9" w:rsidRDefault="00BC776F">
                  <w:pPr>
                    <w:pStyle w:val="Zkladntext"/>
                    <w:ind w:left="206" w:firstLine="281"/>
                  </w:pPr>
                  <w:r>
                    <w:rPr>
                      <w:w w:val="85"/>
                    </w:rPr>
                    <w:t>o</w:t>
                  </w:r>
                  <w:r>
                    <w:rPr>
                      <w:spacing w:val="-2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usporiadaní,</w:t>
                  </w:r>
                  <w:r>
                    <w:rPr>
                      <w:spacing w:val="-2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označovaní</w:t>
                  </w:r>
                  <w:r>
                    <w:rPr>
                      <w:spacing w:val="-2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a</w:t>
                  </w:r>
                  <w:r>
                    <w:rPr>
                      <w:spacing w:val="-2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obsahovom</w:t>
                  </w:r>
                  <w:r>
                    <w:rPr>
                      <w:spacing w:val="-22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vymedzení</w:t>
                  </w:r>
                  <w:r>
                    <w:rPr>
                      <w:spacing w:val="-2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položiek</w:t>
                  </w:r>
                  <w:r>
                    <w:rPr>
                      <w:spacing w:val="-2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individuálnej</w:t>
                  </w:r>
                  <w:r>
                    <w:rPr>
                      <w:spacing w:val="-20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účtovnej</w:t>
                  </w:r>
                  <w:r>
                    <w:rPr>
                      <w:spacing w:val="-2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závierky</w:t>
                  </w:r>
                  <w:r>
                    <w:rPr>
                      <w:spacing w:val="-2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a</w:t>
                  </w:r>
                  <w:r>
                    <w:rPr>
                      <w:spacing w:val="-1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rozsahu</w:t>
                  </w:r>
                  <w:r>
                    <w:rPr>
                      <w:spacing w:val="-20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údajov určených</w:t>
                  </w:r>
                  <w:r>
                    <w:rPr>
                      <w:spacing w:val="-26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</w:t>
                  </w:r>
                  <w:r>
                    <w:rPr>
                      <w:spacing w:val="-27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individuálnej</w:t>
                  </w:r>
                  <w:r>
                    <w:rPr>
                      <w:spacing w:val="-26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účtovnej</w:t>
                  </w:r>
                  <w:r>
                    <w:rPr>
                      <w:spacing w:val="-26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závierky</w:t>
                  </w:r>
                  <w:r>
                    <w:rPr>
                      <w:spacing w:val="-2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na</w:t>
                  </w:r>
                  <w:r>
                    <w:rPr>
                      <w:spacing w:val="-26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zverejnenie</w:t>
                  </w:r>
                  <w:r>
                    <w:rPr>
                      <w:spacing w:val="-26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pre</w:t>
                  </w:r>
                  <w:r>
                    <w:rPr>
                      <w:spacing w:val="-24"/>
                      <w:w w:val="85"/>
                    </w:rPr>
                    <w:t xml:space="preserve"> </w:t>
                  </w:r>
                  <w:r>
                    <w:rPr>
                      <w:b/>
                      <w:w w:val="85"/>
                    </w:rPr>
                    <w:t>mikro</w:t>
                  </w:r>
                  <w:r>
                    <w:rPr>
                      <w:b/>
                      <w:spacing w:val="-26"/>
                      <w:w w:val="85"/>
                    </w:rPr>
                    <w:t xml:space="preserve"> </w:t>
                  </w:r>
                  <w:r>
                    <w:rPr>
                      <w:b/>
                      <w:w w:val="85"/>
                    </w:rPr>
                    <w:t>účtovné</w:t>
                  </w:r>
                  <w:r>
                    <w:rPr>
                      <w:b/>
                      <w:spacing w:val="-28"/>
                      <w:w w:val="85"/>
                    </w:rPr>
                    <w:t xml:space="preserve"> </w:t>
                  </w:r>
                  <w:r>
                    <w:rPr>
                      <w:b/>
                      <w:w w:val="85"/>
                    </w:rPr>
                    <w:t>jednotky</w:t>
                  </w:r>
                  <w:r>
                    <w:rPr>
                      <w:b/>
                      <w:spacing w:val="-27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v</w:t>
                  </w:r>
                  <w:r>
                    <w:rPr>
                      <w:spacing w:val="-27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znení</w:t>
                  </w:r>
                  <w:r>
                    <w:rPr>
                      <w:spacing w:val="-2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neskorších</w:t>
                  </w:r>
                  <w:r>
                    <w:rPr>
                      <w:spacing w:val="-26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predpisov</w:t>
                  </w:r>
                </w:p>
                <w:p w:rsidR="00173BE9" w:rsidRDefault="00BC776F">
                  <w:pPr>
                    <w:pStyle w:val="Zkladntext"/>
                    <w:spacing w:line="251" w:lineRule="exact"/>
                    <w:ind w:left="2738"/>
                  </w:pPr>
                  <w:r>
                    <w:t>(ostatná novela č.MF/18008/2014-74 – FS č.10/2014)</w:t>
                  </w:r>
                </w:p>
              </w:txbxContent>
            </v:textbox>
            <w10:wrap type="none"/>
            <w10:anchorlock/>
          </v:shape>
        </w:pict>
      </w:r>
    </w:p>
    <w:p w:rsidR="00173BE9" w:rsidRDefault="00173BE9">
      <w:pPr>
        <w:pStyle w:val="Zkladntext"/>
        <w:spacing w:before="8"/>
        <w:rPr>
          <w:rFonts w:ascii="Times New Roman"/>
          <w:sz w:val="15"/>
        </w:rPr>
      </w:pPr>
    </w:p>
    <w:p w:rsidR="00173BE9" w:rsidRDefault="00BC776F">
      <w:pPr>
        <w:pStyle w:val="Nadpis1"/>
        <w:spacing w:before="93"/>
        <w:ind w:right="4511"/>
      </w:pPr>
      <w:r>
        <w:t>Článok I Všeobecné údaje</w:t>
      </w:r>
    </w:p>
    <w:p w:rsidR="00173BE9" w:rsidRDefault="00173BE9">
      <w:pPr>
        <w:pStyle w:val="Zkladntext"/>
        <w:spacing w:before="7"/>
        <w:rPr>
          <w:b/>
          <w:sz w:val="21"/>
        </w:rPr>
      </w:pPr>
    </w:p>
    <w:p w:rsidR="00173BE9" w:rsidRDefault="00BC776F">
      <w:pPr>
        <w:pStyle w:val="Odsekzoznamu"/>
        <w:numPr>
          <w:ilvl w:val="0"/>
          <w:numId w:val="5"/>
        </w:numPr>
        <w:tabs>
          <w:tab w:val="left" w:pos="467"/>
        </w:tabs>
        <w:ind w:hanging="247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Identifikácia účtovnej jednotky (názov, IČO,</w:t>
      </w:r>
      <w:r>
        <w:rPr>
          <w:spacing w:val="-2"/>
          <w:u w:val="single"/>
        </w:rPr>
        <w:t xml:space="preserve"> </w:t>
      </w:r>
      <w:r>
        <w:rPr>
          <w:u w:val="single"/>
        </w:rPr>
        <w:t>sídlo):</w:t>
      </w:r>
    </w:p>
    <w:p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3"/>
      </w:tblGrid>
      <w:tr w:rsidR="00173BE9">
        <w:trPr>
          <w:trHeight w:val="258"/>
        </w:trPr>
        <w:tc>
          <w:tcPr>
            <w:tcW w:w="3085" w:type="dxa"/>
          </w:tcPr>
          <w:p w:rsidR="00173BE9" w:rsidRDefault="00BC776F">
            <w:pPr>
              <w:pStyle w:val="TableParagraph"/>
              <w:spacing w:before="2" w:line="237" w:lineRule="exact"/>
            </w:pPr>
            <w:r>
              <w:t>Názov:</w:t>
            </w:r>
          </w:p>
        </w:tc>
        <w:tc>
          <w:tcPr>
            <w:tcW w:w="6603" w:type="dxa"/>
          </w:tcPr>
          <w:p w:rsidR="00173BE9" w:rsidRDefault="00BC776F">
            <w:pPr>
              <w:pStyle w:val="TableParagraph"/>
              <w:spacing w:before="2" w:line="237" w:lineRule="exact"/>
            </w:pPr>
            <w:r>
              <w:t>DEJE Operations s.r.o.</w:t>
            </w:r>
          </w:p>
        </w:tc>
      </w:tr>
      <w:tr w:rsidR="00173BE9">
        <w:trPr>
          <w:trHeight w:val="261"/>
        </w:trPr>
        <w:tc>
          <w:tcPr>
            <w:tcW w:w="3085" w:type="dxa"/>
          </w:tcPr>
          <w:p w:rsidR="00173BE9" w:rsidRDefault="00BC776F">
            <w:pPr>
              <w:pStyle w:val="TableParagraph"/>
              <w:spacing w:before="4" w:line="237" w:lineRule="exact"/>
            </w:pPr>
            <w:r>
              <w:t>IČO:</w:t>
            </w:r>
          </w:p>
        </w:tc>
        <w:tc>
          <w:tcPr>
            <w:tcW w:w="6603" w:type="dxa"/>
          </w:tcPr>
          <w:p w:rsidR="00173BE9" w:rsidRDefault="00BC776F">
            <w:pPr>
              <w:pStyle w:val="TableParagraph"/>
              <w:spacing w:before="4" w:line="237" w:lineRule="exact"/>
            </w:pPr>
            <w:r>
              <w:t>47159715</w:t>
            </w:r>
          </w:p>
        </w:tc>
      </w:tr>
      <w:tr w:rsidR="00173BE9">
        <w:trPr>
          <w:trHeight w:val="261"/>
        </w:trPr>
        <w:tc>
          <w:tcPr>
            <w:tcW w:w="3085" w:type="dxa"/>
          </w:tcPr>
          <w:p w:rsidR="00173BE9" w:rsidRDefault="00BC776F">
            <w:pPr>
              <w:pStyle w:val="TableParagraph"/>
              <w:spacing w:before="2" w:line="239" w:lineRule="exact"/>
            </w:pPr>
            <w:r>
              <w:t>Sídlo:</w:t>
            </w:r>
          </w:p>
        </w:tc>
        <w:tc>
          <w:tcPr>
            <w:tcW w:w="6603" w:type="dxa"/>
          </w:tcPr>
          <w:p w:rsidR="00173BE9" w:rsidRDefault="00BC776F">
            <w:pPr>
              <w:pStyle w:val="TableParagraph"/>
              <w:spacing w:before="2" w:line="239" w:lineRule="exact"/>
            </w:pPr>
            <w:r>
              <w:t>Odborárov 1323/62, 945 01 Komárno</w:t>
            </w:r>
          </w:p>
        </w:tc>
      </w:tr>
    </w:tbl>
    <w:p w:rsidR="00173BE9" w:rsidRDefault="00173BE9">
      <w:pPr>
        <w:pStyle w:val="Zkladntext"/>
        <w:rPr>
          <w:sz w:val="24"/>
        </w:rPr>
      </w:pPr>
    </w:p>
    <w:p w:rsidR="00173BE9" w:rsidRDefault="00173BE9">
      <w:pPr>
        <w:pStyle w:val="Zkladntext"/>
        <w:spacing w:before="10"/>
        <w:rPr>
          <w:sz w:val="20"/>
        </w:rPr>
      </w:pPr>
    </w:p>
    <w:p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spacing w:line="252" w:lineRule="exact"/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173BE9" w:rsidRDefault="00BC776F">
      <w:pPr>
        <w:pStyle w:val="Nadpis1"/>
        <w:spacing w:line="252" w:lineRule="exact"/>
        <w:ind w:left="559" w:right="0"/>
        <w:jc w:val="left"/>
      </w:pPr>
      <w:r>
        <w:t>Bez obsahu</w:t>
      </w:r>
    </w:p>
    <w:p w:rsidR="00173BE9" w:rsidRDefault="00173BE9">
      <w:pPr>
        <w:pStyle w:val="Zkladntext"/>
        <w:spacing w:before="7"/>
        <w:rPr>
          <w:b/>
        </w:rPr>
      </w:pPr>
    </w:p>
    <w:p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ind w:left="468" w:hanging="249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127"/>
        <w:gridCol w:w="3342"/>
      </w:tblGrid>
      <w:tr w:rsidR="00173BE9">
        <w:trPr>
          <w:trHeight w:val="780"/>
        </w:trPr>
        <w:tc>
          <w:tcPr>
            <w:tcW w:w="4220" w:type="dxa"/>
          </w:tcPr>
          <w:p w:rsidR="00173BE9" w:rsidRDefault="00BC776F">
            <w:pPr>
              <w:pStyle w:val="TableParagraph"/>
              <w:spacing w:before="2" w:line="240" w:lineRule="auto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7" w:type="dxa"/>
          </w:tcPr>
          <w:p w:rsidR="00173BE9" w:rsidRDefault="00BC776F">
            <w:pPr>
              <w:pStyle w:val="TableParagraph"/>
              <w:spacing w:before="2" w:line="249" w:lineRule="auto"/>
              <w:ind w:left="636" w:right="259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2" w:type="dxa"/>
          </w:tcPr>
          <w:p w:rsidR="00173BE9" w:rsidRDefault="00BC776F">
            <w:pPr>
              <w:pStyle w:val="TableParagraph"/>
              <w:spacing w:before="2" w:line="240" w:lineRule="auto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:rsidR="00173BE9" w:rsidRDefault="00BC776F">
            <w:pPr>
              <w:pStyle w:val="TableParagraph"/>
              <w:spacing w:before="2" w:line="260" w:lineRule="atLeast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173BE9">
        <w:trPr>
          <w:trHeight w:val="520"/>
        </w:trPr>
        <w:tc>
          <w:tcPr>
            <w:tcW w:w="4220" w:type="dxa"/>
          </w:tcPr>
          <w:p w:rsidR="00173BE9" w:rsidRDefault="00BC776F">
            <w:pPr>
              <w:pStyle w:val="TableParagraph"/>
              <w:spacing w:before="3" w:line="260" w:lineRule="exact"/>
              <w:ind w:right="1270"/>
            </w:pPr>
            <w:r>
              <w:t>Priemerný prepočítaný počet zamestnancov</w:t>
            </w:r>
          </w:p>
        </w:tc>
        <w:tc>
          <w:tcPr>
            <w:tcW w:w="2127" w:type="dxa"/>
          </w:tcPr>
          <w:p w:rsidR="00173BE9" w:rsidRDefault="00BC776F">
            <w:pPr>
              <w:pStyle w:val="TableParagraph"/>
              <w:spacing w:before="4" w:line="240" w:lineRule="auto"/>
              <w:ind w:left="108"/>
            </w:pPr>
            <w:r>
              <w:t>0</w:t>
            </w:r>
          </w:p>
        </w:tc>
        <w:tc>
          <w:tcPr>
            <w:tcW w:w="3342" w:type="dxa"/>
          </w:tcPr>
          <w:p w:rsidR="00173BE9" w:rsidRDefault="00BC776F">
            <w:pPr>
              <w:pStyle w:val="TableParagraph"/>
              <w:spacing w:before="4" w:line="240" w:lineRule="auto"/>
              <w:ind w:left="105"/>
            </w:pPr>
            <w:r>
              <w:t>0</w:t>
            </w:r>
          </w:p>
        </w:tc>
      </w:tr>
    </w:tbl>
    <w:p w:rsidR="00173BE9" w:rsidRDefault="00173BE9">
      <w:pPr>
        <w:pStyle w:val="Zkladntext"/>
        <w:rPr>
          <w:sz w:val="24"/>
        </w:rPr>
      </w:pPr>
    </w:p>
    <w:p w:rsidR="00173BE9" w:rsidRDefault="00173BE9">
      <w:pPr>
        <w:pStyle w:val="Zkladntext"/>
        <w:spacing w:before="8"/>
      </w:pPr>
    </w:p>
    <w:p w:rsidR="00173BE9" w:rsidRDefault="00BC776F">
      <w:pPr>
        <w:pStyle w:val="Nadpis1"/>
        <w:spacing w:line="252" w:lineRule="exact"/>
        <w:ind w:left="3678" w:right="4511"/>
      </w:pPr>
      <w:r>
        <w:t>Článok II</w:t>
      </w:r>
    </w:p>
    <w:p w:rsidR="00173BE9" w:rsidRDefault="00BC776F">
      <w:pPr>
        <w:spacing w:line="252" w:lineRule="exact"/>
        <w:ind w:left="611" w:right="1437"/>
        <w:jc w:val="center"/>
        <w:rPr>
          <w:b/>
        </w:rPr>
      </w:pPr>
      <w:r>
        <w:rPr>
          <w:b/>
        </w:rPr>
        <w:t>Informácie o prijatých postupoch</w:t>
      </w:r>
    </w:p>
    <w:p w:rsidR="00173BE9" w:rsidRDefault="00173BE9">
      <w:pPr>
        <w:pStyle w:val="Zkladntext"/>
        <w:spacing w:before="8"/>
        <w:rPr>
          <w:b/>
          <w:sz w:val="23"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91"/>
        </w:tabs>
        <w:spacing w:before="1"/>
        <w:ind w:right="211" w:firstLine="0"/>
        <w:rPr>
          <w:b/>
        </w:rPr>
      </w:pPr>
      <w:r>
        <w:t xml:space="preserve">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 </w:t>
      </w:r>
      <w:r>
        <w:rPr>
          <w:b/>
        </w:rPr>
        <w:t>nešpecializovaný</w:t>
      </w:r>
      <w:r>
        <w:rPr>
          <w:b/>
          <w:spacing w:val="-6"/>
        </w:rPr>
        <w:t xml:space="preserve"> </w:t>
      </w:r>
      <w:r>
        <w:rPr>
          <w:b/>
        </w:rPr>
        <w:t>veľkoobchod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69"/>
        </w:tabs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Spôsob oceňovania</w:t>
      </w:r>
      <w:r>
        <w:t xml:space="preserve"> jednotlivých položiek majetku a záväzkov, a</w:t>
      </w:r>
      <w:r>
        <w:rPr>
          <w:spacing w:val="-8"/>
        </w:rPr>
        <w:t xml:space="preserve"> </w:t>
      </w:r>
      <w:r>
        <w:t>to:</w:t>
      </w:r>
    </w:p>
    <w:p w:rsidR="00173BE9" w:rsidRDefault="00173BE9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  <w:ind w:left="1637" w:right="1628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Dlhodobý nehmotný majetok: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Dlhodobý hmotný majetok: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>
        <w:trPr>
          <w:trHeight w:val="254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Dlhodobý finančný majetok: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Zásoby obstarané kúpou: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Vlastné náklady</w:t>
            </w:r>
          </w:p>
        </w:tc>
      </w:tr>
      <w:tr w:rsidR="00173BE9">
        <w:trPr>
          <w:trHeight w:val="254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Vlastné pohľadávky: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Kúpené pohľadávky: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Krátkodobý finančný majetok: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Záväzky vrátane rezerv: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Dlhopisy: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Pôžičky a úvery: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Derivátové operácie: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Menovitá hodnota</w:t>
            </w:r>
          </w:p>
        </w:tc>
      </w:tr>
    </w:tbl>
    <w:p w:rsidR="00173BE9" w:rsidRDefault="00173BE9">
      <w:pPr>
        <w:pStyle w:val="Zkladntext"/>
        <w:rPr>
          <w:sz w:val="24"/>
        </w:rPr>
      </w:pPr>
    </w:p>
    <w:p w:rsidR="00173BE9" w:rsidRDefault="00173BE9">
      <w:pPr>
        <w:pStyle w:val="Zkladntext"/>
        <w:spacing w:before="9"/>
        <w:rPr>
          <w:sz w:val="19"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91"/>
        </w:tabs>
        <w:ind w:right="211" w:firstLine="0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</w:t>
      </w:r>
      <w:r>
        <w:rPr>
          <w:spacing w:val="49"/>
        </w:rPr>
        <w:t xml:space="preserve"> </w:t>
      </w:r>
      <w:r>
        <w:t>sadzby</w:t>
      </w:r>
    </w:p>
    <w:p w:rsidR="00173BE9" w:rsidRDefault="00173BE9">
      <w:pPr>
        <w:sectPr w:rsidR="00173BE9">
          <w:headerReference w:type="default" r:id="rId7"/>
          <w:footerReference w:type="default" r:id="rId8"/>
          <w:type w:val="continuous"/>
          <w:pgSz w:w="11910" w:h="16860"/>
          <w:pgMar w:top="1660" w:right="1080" w:bottom="760" w:left="840" w:header="806" w:footer="566" w:gutter="0"/>
          <w:pgNumType w:start="1"/>
          <w:cols w:space="708"/>
        </w:sectPr>
      </w:pPr>
    </w:p>
    <w:p w:rsidR="00173BE9" w:rsidRDefault="00173BE9">
      <w:pPr>
        <w:pStyle w:val="Zkladntext"/>
        <w:spacing w:before="10"/>
        <w:rPr>
          <w:sz w:val="8"/>
        </w:rPr>
      </w:pPr>
    </w:p>
    <w:p w:rsidR="00173BE9" w:rsidRDefault="00BC776F">
      <w:pPr>
        <w:pStyle w:val="Zkladntext"/>
        <w:spacing w:before="94"/>
        <w:ind w:left="220"/>
        <w:rPr>
          <w:b/>
        </w:rPr>
      </w:pPr>
      <w:r>
        <w:t xml:space="preserve">odpisov a odpisové metódy pri určení odpisov: </w:t>
      </w:r>
      <w:r>
        <w:rPr>
          <w:b/>
        </w:rPr>
        <w:t>bez obsahu</w:t>
      </w:r>
    </w:p>
    <w:p w:rsidR="00173BE9" w:rsidRDefault="00173BE9">
      <w:pPr>
        <w:pStyle w:val="Zkladntext"/>
        <w:spacing w:before="5"/>
        <w:rPr>
          <w:b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83"/>
        </w:tabs>
        <w:spacing w:line="237" w:lineRule="auto"/>
        <w:ind w:right="211" w:firstLine="0"/>
        <w:jc w:val="both"/>
        <w:rPr>
          <w:b/>
        </w:rPr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 vplyvu  na  finančnú  hodnotu  majetku,  záväzkov,  základného  imania  a výsledku hospodárenia účtovnej jednotky: </w:t>
      </w:r>
      <w:r>
        <w:rPr>
          <w:b/>
          <w:spacing w:val="-4"/>
        </w:rPr>
        <w:t>bez</w:t>
      </w:r>
      <w:r>
        <w:rPr>
          <w:b/>
          <w:spacing w:val="-22"/>
        </w:rPr>
        <w:t xml:space="preserve"> </w:t>
      </w:r>
      <w:r>
        <w:rPr>
          <w:b/>
          <w:spacing w:val="-6"/>
        </w:rPr>
        <w:t>obsahu</w:t>
      </w:r>
    </w:p>
    <w:p w:rsidR="00173BE9" w:rsidRDefault="00173BE9">
      <w:pPr>
        <w:pStyle w:val="Zkladntext"/>
        <w:spacing w:before="1"/>
        <w:rPr>
          <w:b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52"/>
        </w:tabs>
        <w:spacing w:before="1"/>
        <w:ind w:left="451" w:hanging="232"/>
        <w:jc w:val="both"/>
        <w:rPr>
          <w:b/>
        </w:rPr>
      </w:pPr>
      <w:r>
        <w:rPr>
          <w:u w:val="single"/>
        </w:rPr>
        <w:t>Informácie o</w:t>
      </w:r>
      <w:r w:rsidR="0078413F">
        <w:rPr>
          <w:u w:val="single"/>
        </w:rPr>
        <w:t> </w:t>
      </w:r>
      <w:r>
        <w:rPr>
          <w:u w:val="single"/>
        </w:rPr>
        <w:t>dotáciách</w:t>
      </w:r>
      <w:r w:rsidR="0078413F">
        <w:t xml:space="preserve">: </w:t>
      </w:r>
      <w:r w:rsidR="0078413F" w:rsidRPr="0078413F">
        <w:rPr>
          <w:b/>
        </w:rPr>
        <w:t>Spoločnosti bola poskytnutá dotácia zo štátneho rozpočtu vo výške 27.225,00€ na pokrytie nákladov v súvislosti s nepriaznivým vplyvom pandémie koronavírusu. Dotácia bola poskytnutá Ministerstvom dopravy a výstavby Slovenskej republiky.</w:t>
      </w:r>
      <w:r w:rsidR="0078413F">
        <w:t xml:space="preserve"> </w:t>
      </w:r>
    </w:p>
    <w:p w:rsidR="00173BE9" w:rsidRDefault="00173BE9">
      <w:pPr>
        <w:pStyle w:val="Zkladntext"/>
        <w:spacing w:before="2"/>
        <w:rPr>
          <w:b/>
        </w:rPr>
      </w:pPr>
      <w:bookmarkStart w:id="0" w:name="_GoBack"/>
      <w:bookmarkEnd w:id="0"/>
    </w:p>
    <w:p w:rsidR="00173BE9" w:rsidRDefault="00BC776F">
      <w:pPr>
        <w:pStyle w:val="Odsekzoznamu"/>
        <w:numPr>
          <w:ilvl w:val="0"/>
          <w:numId w:val="4"/>
        </w:numPr>
        <w:tabs>
          <w:tab w:val="left" w:pos="522"/>
        </w:tabs>
        <w:spacing w:before="1"/>
        <w:ind w:right="211" w:firstLine="0"/>
        <w:jc w:val="both"/>
        <w:rPr>
          <w:b/>
        </w:rPr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</w:t>
      </w:r>
      <w:r>
        <w:rPr>
          <w:spacing w:val="-3"/>
        </w:rPr>
        <w:t xml:space="preserve">vplyvu </w:t>
      </w:r>
      <w:r>
        <w:t xml:space="preserve">na výsledok hospodárenia bežného účtovného obdobia: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2"/>
        <w:rPr>
          <w:b/>
          <w:sz w:val="24"/>
        </w:rPr>
      </w:pPr>
    </w:p>
    <w:p w:rsidR="00173BE9" w:rsidRDefault="00BC776F">
      <w:pPr>
        <w:pStyle w:val="Nadpis1"/>
        <w:ind w:right="3830"/>
      </w:pPr>
      <w:r>
        <w:t>Článok III</w:t>
      </w:r>
    </w:p>
    <w:p w:rsidR="00173BE9" w:rsidRDefault="00BC776F">
      <w:pPr>
        <w:spacing w:before="2"/>
        <w:ind w:left="1287" w:right="1437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:rsidR="00173BE9" w:rsidRDefault="00173BE9">
      <w:pPr>
        <w:pStyle w:val="Zkladntext"/>
        <w:spacing w:before="5"/>
        <w:rPr>
          <w:b/>
          <w:sz w:val="23"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79"/>
        </w:tabs>
        <w:spacing w:before="1"/>
        <w:ind w:right="328" w:firstLine="0"/>
        <w:jc w:val="both"/>
        <w:rPr>
          <w:b/>
        </w:rPr>
      </w:pPr>
      <w:r>
        <w:t xml:space="preserve">Informácia o sume a dôvodoch vzniku jednotlivých položiek </w:t>
      </w:r>
      <w:r>
        <w:rPr>
          <w:b/>
        </w:rPr>
        <w:t>nákladov alebo  výnosov</w:t>
      </w:r>
      <w:r>
        <w:t xml:space="preserve">,  ktoré majú </w:t>
      </w:r>
      <w:r>
        <w:rPr>
          <w:u w:val="single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b/>
        </w:rPr>
        <w:t>bez</w:t>
      </w:r>
      <w:r>
        <w:rPr>
          <w:b/>
          <w:spacing w:val="-1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55"/>
        </w:tabs>
        <w:ind w:left="554" w:hanging="234"/>
        <w:jc w:val="both"/>
      </w:pPr>
      <w:r>
        <w:rPr>
          <w:u w:val="single"/>
        </w:rPr>
        <w:t>Informácie o záväzkoch</w:t>
      </w:r>
      <w:r>
        <w:t>, a to:</w:t>
      </w:r>
    </w:p>
    <w:p w:rsidR="00173BE9" w:rsidRDefault="00173BE9">
      <w:pPr>
        <w:pStyle w:val="Zkladntext"/>
        <w:spacing w:before="10"/>
        <w:rPr>
          <w:sz w:val="21"/>
        </w:rPr>
      </w:pPr>
    </w:p>
    <w:p w:rsidR="00173BE9" w:rsidRDefault="00BC776F">
      <w:pPr>
        <w:pStyle w:val="Odsekzoznamu"/>
        <w:numPr>
          <w:ilvl w:val="0"/>
          <w:numId w:val="3"/>
        </w:numPr>
        <w:tabs>
          <w:tab w:val="left" w:pos="457"/>
        </w:tabs>
        <w:ind w:left="456" w:right="199" w:hanging="457"/>
        <w:jc w:val="left"/>
        <w:rPr>
          <w:b/>
        </w:rPr>
      </w:pPr>
      <w:r>
        <w:t xml:space="preserve">celkovej sume záväzkov so zostatkovou dobou splatnosti dlhšou ako päť rokov: </w:t>
      </w:r>
      <w:r>
        <w:rPr>
          <w:b/>
        </w:rPr>
        <w:t>bez</w:t>
      </w:r>
      <w:r>
        <w:rPr>
          <w:b/>
          <w:spacing w:val="-21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rPr>
          <w:b/>
        </w:rPr>
      </w:pPr>
    </w:p>
    <w:p w:rsidR="00173BE9" w:rsidRDefault="00BC776F">
      <w:pPr>
        <w:pStyle w:val="Odsekzoznamu"/>
        <w:numPr>
          <w:ilvl w:val="0"/>
          <w:numId w:val="3"/>
        </w:numPr>
        <w:tabs>
          <w:tab w:val="left" w:pos="531"/>
        </w:tabs>
        <w:ind w:right="332" w:firstLine="0"/>
        <w:jc w:val="left"/>
        <w:rPr>
          <w:b/>
        </w:rPr>
      </w:pPr>
      <w:r>
        <w:t xml:space="preserve">celkovej sume zabezpečených záväzkov, opis a spôsoby zabezpečenia záväzkov: </w:t>
      </w:r>
      <w:r>
        <w:rPr>
          <w:b/>
        </w:rPr>
        <w:t>bez 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96"/>
        </w:tabs>
        <w:ind w:right="326" w:firstLine="0"/>
        <w:jc w:val="both"/>
        <w:rPr>
          <w:b/>
        </w:rPr>
      </w:pPr>
      <w:r>
        <w:rPr>
          <w:u w:val="single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 za  ktorú  sa  vlastné  akcie  nadobudli  a ktoré účtovná jednotka má v držbe k poslednému dňu účtovného obdobia; uvádza sa aj ich percentuálny podiel na upísanom základnom imaní: </w:t>
      </w:r>
      <w:r>
        <w:rPr>
          <w:b/>
        </w:rPr>
        <w:t>bez</w:t>
      </w:r>
      <w:r>
        <w:rPr>
          <w:b/>
          <w:spacing w:val="-4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10"/>
        <w:rPr>
          <w:b/>
          <w:sz w:val="21"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spacing w:before="1"/>
        <w:ind w:left="569" w:hanging="249"/>
        <w:jc w:val="both"/>
      </w:pPr>
      <w:r>
        <w:rPr>
          <w:u w:val="single"/>
        </w:rPr>
        <w:t>Informácie o orgánoch účtovnej jednotky</w:t>
      </w:r>
      <w:r>
        <w:t>, a</w:t>
      </w:r>
      <w:r>
        <w:rPr>
          <w:spacing w:val="-4"/>
        </w:rPr>
        <w:t xml:space="preserve"> </w:t>
      </w:r>
      <w:r>
        <w:t>to:</w:t>
      </w:r>
    </w:p>
    <w:p w:rsidR="00173BE9" w:rsidRDefault="00173BE9">
      <w:pPr>
        <w:pStyle w:val="Zkladntext"/>
      </w:pPr>
    </w:p>
    <w:p w:rsidR="00173BE9" w:rsidRDefault="00BC776F">
      <w:pPr>
        <w:pStyle w:val="Odsekzoznamu"/>
        <w:numPr>
          <w:ilvl w:val="0"/>
          <w:numId w:val="2"/>
        </w:numPr>
        <w:tabs>
          <w:tab w:val="left" w:pos="651"/>
        </w:tabs>
        <w:ind w:right="329" w:firstLine="0"/>
        <w:jc w:val="both"/>
        <w:rPr>
          <w:b/>
        </w:rPr>
      </w:pPr>
      <w:r>
        <w:t xml:space="preserve">výške jednotlivých druhov záruk alebo </w:t>
      </w:r>
      <w:r>
        <w:rPr>
          <w:spacing w:val="-3"/>
        </w:rPr>
        <w:t xml:space="preserve">iných </w:t>
      </w:r>
      <w:r>
        <w:t xml:space="preserve">zabezpečení poskytnutých pre členov štatutárneho  orgánu,  dozorného  orgánu  a  iného   orgánu   účtovnej   jednotky,   a to v členení za jednotlivé orgány: </w:t>
      </w:r>
      <w:r>
        <w:rPr>
          <w:b/>
        </w:rPr>
        <w:t>bez</w:t>
      </w:r>
      <w:r>
        <w:rPr>
          <w:b/>
          <w:spacing w:val="-12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1"/>
        <w:rPr>
          <w:b/>
        </w:rPr>
      </w:pPr>
    </w:p>
    <w:p w:rsidR="00173BE9" w:rsidRDefault="00BC776F">
      <w:pPr>
        <w:pStyle w:val="Odsekzoznamu"/>
        <w:numPr>
          <w:ilvl w:val="0"/>
          <w:numId w:val="2"/>
        </w:numPr>
        <w:tabs>
          <w:tab w:val="left" w:pos="617"/>
        </w:tabs>
        <w:ind w:right="326" w:firstLine="0"/>
        <w:jc w:val="both"/>
        <w:rPr>
          <w:b/>
        </w:rPr>
      </w:pPr>
      <w:r>
        <w:t xml:space="preserve">pôžičkách  poskytnutých  členom  štatutárneho  orgánu,  dozorného  orgánu  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 a odpísaných  pôžičiek  k poslednému  dňu účtovného obdobia v  členení za jednotlivé orgány: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3"/>
        <w:rPr>
          <w:b/>
        </w:rPr>
      </w:pPr>
    </w:p>
    <w:p w:rsidR="00173BE9" w:rsidRDefault="00BC776F">
      <w:pPr>
        <w:pStyle w:val="Odsekzoznamu"/>
        <w:numPr>
          <w:ilvl w:val="0"/>
          <w:numId w:val="2"/>
        </w:numPr>
        <w:tabs>
          <w:tab w:val="left" w:pos="625"/>
        </w:tabs>
        <w:spacing w:line="237" w:lineRule="auto"/>
        <w:ind w:right="329" w:firstLine="0"/>
        <w:jc w:val="both"/>
        <w:rPr>
          <w:b/>
        </w:rPr>
      </w:pPr>
      <w:r>
        <w:t xml:space="preserve">hlavných podmienkach, na základe ktorých im boli záruky alebo iné zabezpečenie  a  </w:t>
      </w:r>
      <w:r>
        <w:lastRenderedPageBreak/>
        <w:t xml:space="preserve">pôžičky poskytnuté; pri pôžičkách sa uvádzajú úrokové sadzby: </w:t>
      </w:r>
      <w:r>
        <w:rPr>
          <w:b/>
        </w:rPr>
        <w:t>bez</w:t>
      </w:r>
      <w:r>
        <w:rPr>
          <w:b/>
          <w:spacing w:val="-24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0"/>
          <w:numId w:val="2"/>
        </w:numPr>
        <w:tabs>
          <w:tab w:val="left" w:pos="579"/>
        </w:tabs>
        <w:ind w:left="578" w:hanging="258"/>
        <w:jc w:val="both"/>
      </w:pPr>
      <w:r>
        <w:t>celkovej</w:t>
      </w:r>
      <w:r>
        <w:rPr>
          <w:spacing w:val="47"/>
        </w:rPr>
        <w:t xml:space="preserve"> </w:t>
      </w:r>
      <w:r>
        <w:t>sume</w:t>
      </w:r>
      <w:r>
        <w:rPr>
          <w:spacing w:val="47"/>
        </w:rPr>
        <w:t xml:space="preserve"> </w:t>
      </w:r>
      <w:r>
        <w:t>použitých</w:t>
      </w:r>
      <w:r>
        <w:rPr>
          <w:spacing w:val="46"/>
        </w:rPr>
        <w:t xml:space="preserve"> </w:t>
      </w:r>
      <w:r>
        <w:t>finančných</w:t>
      </w:r>
      <w:r>
        <w:rPr>
          <w:spacing w:val="44"/>
        </w:rPr>
        <w:t xml:space="preserve"> </w:t>
      </w:r>
      <w:r>
        <w:t>prostriedkov</w:t>
      </w:r>
      <w:r>
        <w:rPr>
          <w:spacing w:val="44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iného</w:t>
      </w:r>
      <w:r>
        <w:rPr>
          <w:spacing w:val="46"/>
        </w:rPr>
        <w:t xml:space="preserve"> </w:t>
      </w:r>
      <w:r>
        <w:t>plnenia</w:t>
      </w:r>
      <w:r>
        <w:rPr>
          <w:spacing w:val="43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súkromné</w:t>
      </w:r>
      <w:r>
        <w:rPr>
          <w:spacing w:val="10"/>
        </w:rPr>
        <w:t xml:space="preserve"> </w:t>
      </w:r>
      <w:r>
        <w:t>účely</w:t>
      </w:r>
    </w:p>
    <w:p w:rsidR="00173BE9" w:rsidRDefault="00173BE9">
      <w:pPr>
        <w:jc w:val="both"/>
        <w:sectPr w:rsidR="00173BE9">
          <w:pgSz w:w="11910" w:h="16860"/>
          <w:pgMar w:top="1660" w:right="1080" w:bottom="840" w:left="840" w:header="806" w:footer="566" w:gutter="0"/>
          <w:cols w:space="708"/>
        </w:sectPr>
      </w:pPr>
    </w:p>
    <w:p w:rsidR="00173BE9" w:rsidRDefault="00173BE9">
      <w:pPr>
        <w:pStyle w:val="Zkladntext"/>
        <w:spacing w:before="1"/>
        <w:rPr>
          <w:sz w:val="9"/>
        </w:rPr>
      </w:pPr>
    </w:p>
    <w:p w:rsidR="00173BE9" w:rsidRDefault="00BC776F">
      <w:pPr>
        <w:pStyle w:val="Zkladntext"/>
        <w:spacing w:before="96" w:line="237" w:lineRule="auto"/>
        <w:ind w:left="321" w:right="112"/>
        <w:rPr>
          <w:b/>
        </w:rPr>
      </w:pPr>
      <w:r>
        <w:t xml:space="preserve">členmi štatutárneho orgánu, dozorného orgánu a iného orgánu účtovnej jednotky, ktoré je potrebné vyúčtovať: </w:t>
      </w:r>
      <w:r>
        <w:rPr>
          <w:b/>
        </w:rPr>
        <w:t>bez obsahu</w:t>
      </w:r>
    </w:p>
    <w:p w:rsidR="00173BE9" w:rsidRDefault="00173BE9">
      <w:pPr>
        <w:pStyle w:val="Zkladntext"/>
        <w:rPr>
          <w:b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ind w:left="569" w:hanging="249"/>
        <w:jc w:val="both"/>
        <w:rPr>
          <w:b/>
        </w:rPr>
      </w:pPr>
      <w:r>
        <w:rPr>
          <w:u w:val="single"/>
        </w:rPr>
        <w:t>Informácie o povinnostiach</w:t>
      </w:r>
      <w:r>
        <w:t xml:space="preserve"> účtovnej jednotky, a to: </w:t>
      </w:r>
      <w:r>
        <w:rPr>
          <w:b/>
        </w:rPr>
        <w:t>bez</w:t>
      </w:r>
      <w:r>
        <w:rPr>
          <w:b/>
          <w:spacing w:val="-5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3"/>
        <w:rPr>
          <w:b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608"/>
        </w:tabs>
        <w:ind w:right="327" w:firstLine="0"/>
        <w:jc w:val="both"/>
        <w:rPr>
          <w:b/>
        </w:rPr>
      </w:pPr>
      <w:r>
        <w:t xml:space="preserve">celkovej sume </w:t>
      </w:r>
      <w:r>
        <w:rPr>
          <w:u w:val="single"/>
        </w:rPr>
        <w:t>finančných povinností</w:t>
      </w:r>
      <w:r>
        <w:t xml:space="preserve">,  ktoré  sa  nevykazujú  v  súvahe,  ale  sú významné na posúdenie finančnej situácie účtovnej jednotky,  napríklad  povinnosti nájomcu vyplývajúce  z operatívneho prenájmu, z uzatvorených zmlúv na poskytnutie úveru alebo  pôžičky,  ktoré ešte neboli poskytnuté, finančné povinnosti vyplývajúce z licenčných a  koncesionárskych zmlúv s uvedením sumy poplatku za celé zostávajúce obdobie platnosti </w:t>
      </w:r>
      <w:r>
        <w:rPr>
          <w:spacing w:val="-3"/>
        </w:rPr>
        <w:t xml:space="preserve">zmluvy: </w:t>
      </w:r>
      <w:r>
        <w:rPr>
          <w:b/>
        </w:rPr>
        <w:t>bez</w:t>
      </w:r>
      <w:r>
        <w:rPr>
          <w:b/>
          <w:spacing w:val="41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11"/>
        <w:rPr>
          <w:b/>
          <w:sz w:val="21"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575"/>
        </w:tabs>
        <w:ind w:right="327" w:firstLine="0"/>
        <w:jc w:val="both"/>
        <w:rPr>
          <w:b/>
        </w:rPr>
      </w:pPr>
      <w:r>
        <w:t xml:space="preserve">celkovej sume významných </w:t>
      </w:r>
      <w:r>
        <w:rPr>
          <w:u w:val="single"/>
        </w:rPr>
        <w:t>podmienených záväzkov</w:t>
      </w:r>
      <w:r>
        <w:t xml:space="preserve"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</w:rPr>
        <w:t>bez</w:t>
      </w:r>
      <w:r>
        <w:rPr>
          <w:b/>
          <w:spacing w:val="1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8"/>
        <w:rPr>
          <w:b/>
          <w:sz w:val="21"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644"/>
        </w:tabs>
        <w:spacing w:before="1"/>
        <w:ind w:right="329" w:firstLine="0"/>
        <w:jc w:val="both"/>
        <w:rPr>
          <w:b/>
        </w:rPr>
      </w:pP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  <w:r>
        <w:t xml:space="preserve"> </w:t>
      </w:r>
      <w:r>
        <w:rPr>
          <w:b/>
        </w:rPr>
        <w:t>bez obsahu</w:t>
      </w:r>
    </w:p>
    <w:p w:rsidR="00173BE9" w:rsidRDefault="00173BE9">
      <w:pPr>
        <w:pStyle w:val="Zkladntext"/>
        <w:spacing w:before="4"/>
        <w:rPr>
          <w:b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707"/>
        </w:tabs>
        <w:ind w:right="329" w:firstLine="0"/>
        <w:jc w:val="both"/>
        <w:rPr>
          <w:b/>
        </w:rPr>
      </w:pPr>
      <w:r>
        <w:t xml:space="preserve">celkovej sume významných finančných povinností a významných podmienených  záväzkoch voči dcérskej účtovnej jednotke a účtovnej jednotke s podstatným vplyvom: </w:t>
      </w:r>
      <w:r>
        <w:rPr>
          <w:b/>
        </w:rPr>
        <w:t>bez obsahu</w:t>
      </w:r>
    </w:p>
    <w:p w:rsidR="00173BE9" w:rsidRDefault="00173BE9">
      <w:pPr>
        <w:pStyle w:val="Zkladntext"/>
        <w:spacing w:before="10"/>
        <w:rPr>
          <w:b/>
          <w:sz w:val="21"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582"/>
        </w:tabs>
        <w:ind w:right="327" w:firstLine="0"/>
        <w:jc w:val="both"/>
        <w:rPr>
          <w:b/>
        </w:rPr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 zamestnancov: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631"/>
        </w:tabs>
        <w:ind w:right="332" w:firstLine="0"/>
        <w:jc w:val="both"/>
      </w:pPr>
      <w:r>
        <w:t xml:space="preserve">Informácie o udelení výlučného práva alebo osobitného práva, ktorým sa udelilo právo poskytovať </w:t>
      </w:r>
      <w:r>
        <w:rPr>
          <w:u w:val="thick"/>
        </w:rPr>
        <w:t xml:space="preserve"> </w:t>
      </w:r>
      <w:r>
        <w:rPr>
          <w:b/>
          <w:u w:val="thick"/>
        </w:rPr>
        <w:t>služby  vo   verejnom  záujme</w:t>
      </w:r>
      <w:r>
        <w:t>,   pričom   sa  uvádza  náhrada  za  túto  činnosť   v</w:t>
      </w:r>
      <w:r>
        <w:rPr>
          <w:spacing w:val="-3"/>
        </w:rPr>
        <w:t xml:space="preserve"> </w:t>
      </w:r>
      <w:r>
        <w:t>akejkoľvek</w:t>
      </w:r>
      <w:r>
        <w:rPr>
          <w:spacing w:val="51"/>
        </w:rPr>
        <w:t xml:space="preserve"> </w:t>
      </w:r>
      <w:r>
        <w:t>forme,</w:t>
      </w:r>
      <w:r>
        <w:rPr>
          <w:spacing w:val="52"/>
        </w:rPr>
        <w:t xml:space="preserve"> </w:t>
      </w:r>
      <w:r>
        <w:t>a ak</w:t>
      </w:r>
      <w:r>
        <w:rPr>
          <w:spacing w:val="54"/>
        </w:rPr>
        <w:t xml:space="preserve"> </w:t>
      </w:r>
      <w:r>
        <w:t>sa</w:t>
      </w:r>
      <w:r>
        <w:rPr>
          <w:spacing w:val="50"/>
        </w:rPr>
        <w:t xml:space="preserve"> </w:t>
      </w:r>
      <w:r>
        <w:t>zároveň</w:t>
      </w:r>
      <w:r>
        <w:rPr>
          <w:spacing w:val="51"/>
        </w:rPr>
        <w:t xml:space="preserve"> </w:t>
      </w:r>
      <w:r>
        <w:t>vykonávajú</w:t>
      </w:r>
      <w:r>
        <w:rPr>
          <w:spacing w:val="51"/>
        </w:rPr>
        <w:t xml:space="preserve"> </w:t>
      </w:r>
      <w:r>
        <w:t>aj</w:t>
      </w:r>
      <w:r>
        <w:rPr>
          <w:spacing w:val="51"/>
        </w:rPr>
        <w:t xml:space="preserve"> </w:t>
      </w:r>
      <w:r>
        <w:t>iné</w:t>
      </w:r>
      <w:r>
        <w:rPr>
          <w:spacing w:val="51"/>
        </w:rPr>
        <w:t xml:space="preserve"> </w:t>
      </w:r>
      <w:r>
        <w:t>činnosti,</w:t>
      </w:r>
      <w:r>
        <w:rPr>
          <w:spacing w:val="52"/>
        </w:rPr>
        <w:t xml:space="preserve"> </w:t>
      </w:r>
      <w:r>
        <w:t>uvádzajú</w:t>
      </w:r>
      <w:r>
        <w:rPr>
          <w:spacing w:val="50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informácie</w:t>
      </w:r>
    </w:p>
    <w:p w:rsidR="00173BE9" w:rsidRDefault="00BC776F">
      <w:pPr>
        <w:pStyle w:val="Zkladntext"/>
        <w:spacing w:before="2" w:line="237" w:lineRule="auto"/>
        <w:ind w:left="321" w:right="336"/>
        <w:jc w:val="both"/>
        <w:rPr>
          <w:b/>
        </w:rPr>
      </w:pPr>
      <w:r>
        <w:t xml:space="preserve">o všetkých formách prijatej náhrady, účtovných zásadách použitých pri prideľovaní nákladov    a výnosov, všetkých druhoch činnosti účtovnej jednotky: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sectPr w:rsidR="00173BE9">
      <w:pgSz w:w="11910" w:h="16860"/>
      <w:pgMar w:top="1660" w:right="1080" w:bottom="840" w:left="840" w:header="806" w:footer="5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BD7" w:rsidRDefault="00765BD7">
      <w:r>
        <w:separator/>
      </w:r>
    </w:p>
  </w:endnote>
  <w:endnote w:type="continuationSeparator" w:id="0">
    <w:p w:rsidR="00765BD7" w:rsidRDefault="0076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BE9" w:rsidRDefault="00765BD7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799.05pt;width:43.5pt;height:15.3pt;z-index:-15858176;mso-position-horizontal-relative:page;mso-position-vertical-relative:page" filled="f" stroked="f">
          <v:textbox inset="0,0,0,0">
            <w:txbxContent>
              <w:p w:rsidR="00173BE9" w:rsidRDefault="00BC776F">
                <w:pPr>
                  <w:spacing w:before="10"/>
                  <w:ind w:left="2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8413F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BD7" w:rsidRDefault="00765BD7">
      <w:r>
        <w:separator/>
      </w:r>
    </w:p>
  </w:footnote>
  <w:footnote w:type="continuationSeparator" w:id="0">
    <w:p w:rsidR="00765BD7" w:rsidRDefault="00765B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BE9" w:rsidRDefault="00765BD7">
    <w:pPr>
      <w:pStyle w:val="Zkladntext"/>
      <w:spacing w:line="14" w:lineRule="auto"/>
      <w:rPr>
        <w:sz w:val="20"/>
      </w:rPr>
    </w:pPr>
    <w:r>
      <w:pict>
        <v:shape id="_x0000_s2054" style="position:absolute;margin-left:91pt;margin-top:40.3pt;width:127.85pt;height:13.6pt;z-index:-15860736;mso-position-horizontal-relative:page;mso-position-vertical-relative:page" coordorigin="1820,806" coordsize="2557,272" o:spt="100" adj="0,,0" path="m4366,806r-2537,l1820,806r,272l1829,1078r2537,l4366,1068r-2537,l1829,816r2537,l4366,806xm4376,806r-9,l4367,1078r9,l4376,80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53" style="position:absolute;margin-left:298.35pt;margin-top:40.3pt;width:81.4pt;height:13.6pt;z-index:-15860224;mso-position-horizontal-relative:page;mso-position-vertical-relative:page" coordorigin="5967,806" coordsize="1628,272" o:spt="100" adj="0,,0" path="m5977,806r-10,l5967,1078r10,l5977,806xm7595,806r-10,l7585,806r-1608,l5977,816r1608,l7585,1068r-1608,l5977,1078r1608,l7585,1078r10,l7595,80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52" style="position:absolute;margin-left:382.75pt;margin-top:40.3pt;width:90.05pt;height:13.6pt;z-index:-15859712;mso-position-horizontal-relative:page;mso-position-vertical-relative:page" coordorigin="7655,806" coordsize="1801,272" o:spt="100" adj="0,,0" path="m7665,806r-10,l7655,1078r10,l7665,806xm9446,1068r-1781,l7665,1078r1781,l9446,1068xm9446,806r-1781,l7665,816r1781,l9446,806xm9456,806r-10,l9446,1078r10,l9456,80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90.45pt;margin-top:40pt;width:128.75pt;height:14.35pt;z-index:-15859200;mso-position-horizontal-relative:page;mso-position-vertical-relative:page" filled="f" stroked="f">
          <v:textbox inset="0,0,0,0">
            <w:txbxContent>
              <w:p w:rsidR="00173BE9" w:rsidRDefault="00BC776F">
                <w:pPr>
                  <w:pStyle w:val="Zkladntext"/>
                  <w:spacing w:before="13"/>
                  <w:ind w:left="20"/>
                </w:pPr>
                <w:r>
                  <w:t>Poznámky Úč MÚJ 3 – 01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00.95pt;margin-top:40pt;width:172.35pt;height:14.35pt;z-index:-15858688;mso-position-horizontal-relative:page;mso-position-vertical-relative:page" filled="f" stroked="f">
          <v:textbox inset="0,0,0,0">
            <w:txbxContent>
              <w:p w:rsidR="00173BE9" w:rsidRDefault="00BC776F">
                <w:pPr>
                  <w:pStyle w:val="Zkladntext"/>
                  <w:tabs>
                    <w:tab w:val="left" w:pos="1707"/>
                  </w:tabs>
                  <w:spacing w:before="13"/>
                  <w:ind w:left="20"/>
                </w:pPr>
                <w:r>
                  <w:rPr>
                    <w:spacing w:val="-3"/>
                  </w:rPr>
                  <w:t>IČO:</w:t>
                </w:r>
                <w:r>
                  <w:t xml:space="preserve"> 47159715</w:t>
                </w:r>
                <w:r>
                  <w:tab/>
                </w:r>
                <w:r>
                  <w:rPr>
                    <w:spacing w:val="-3"/>
                  </w:rPr>
                  <w:t>DIČ:</w:t>
                </w:r>
                <w:r>
                  <w:rPr>
                    <w:spacing w:val="1"/>
                  </w:rPr>
                  <w:t xml:space="preserve"> </w:t>
                </w:r>
                <w:r>
                  <w:t>2023765150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4932"/>
    <w:multiLevelType w:val="hybridMultilevel"/>
    <w:tmpl w:val="B3A8D462"/>
    <w:lvl w:ilvl="0" w:tplc="57A6CC80">
      <w:start w:val="1"/>
      <w:numFmt w:val="lowerLetter"/>
      <w:lvlText w:val="%1)"/>
      <w:lvlJc w:val="left"/>
      <w:pPr>
        <w:ind w:left="321" w:hanging="287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en-US" w:bidi="ar-SA"/>
      </w:rPr>
    </w:lvl>
    <w:lvl w:ilvl="1" w:tplc="EF8A4658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F19A43B8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524244D4">
      <w:numFmt w:val="bullet"/>
      <w:lvlText w:val="•"/>
      <w:lvlJc w:val="left"/>
      <w:pPr>
        <w:ind w:left="3219" w:hanging="287"/>
      </w:pPr>
      <w:rPr>
        <w:rFonts w:hint="default"/>
        <w:lang w:val="sk-SK" w:eastAsia="en-US" w:bidi="ar-SA"/>
      </w:rPr>
    </w:lvl>
    <w:lvl w:ilvl="4" w:tplc="D78220F6">
      <w:numFmt w:val="bullet"/>
      <w:lvlText w:val="•"/>
      <w:lvlJc w:val="left"/>
      <w:pPr>
        <w:ind w:left="4186" w:hanging="287"/>
      </w:pPr>
      <w:rPr>
        <w:rFonts w:hint="default"/>
        <w:lang w:val="sk-SK" w:eastAsia="en-US" w:bidi="ar-SA"/>
      </w:rPr>
    </w:lvl>
    <w:lvl w:ilvl="5" w:tplc="DEAAE09E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B3C06762">
      <w:numFmt w:val="bullet"/>
      <w:lvlText w:val="•"/>
      <w:lvlJc w:val="left"/>
      <w:pPr>
        <w:ind w:left="6119" w:hanging="287"/>
      </w:pPr>
      <w:rPr>
        <w:rFonts w:hint="default"/>
        <w:lang w:val="sk-SK" w:eastAsia="en-US" w:bidi="ar-SA"/>
      </w:rPr>
    </w:lvl>
    <w:lvl w:ilvl="7" w:tplc="8A4E6534">
      <w:numFmt w:val="bullet"/>
      <w:lvlText w:val="•"/>
      <w:lvlJc w:val="left"/>
      <w:pPr>
        <w:ind w:left="7086" w:hanging="287"/>
      </w:pPr>
      <w:rPr>
        <w:rFonts w:hint="default"/>
        <w:lang w:val="sk-SK" w:eastAsia="en-US" w:bidi="ar-SA"/>
      </w:rPr>
    </w:lvl>
    <w:lvl w:ilvl="8" w:tplc="1C705124">
      <w:numFmt w:val="bullet"/>
      <w:lvlText w:val="•"/>
      <w:lvlJc w:val="left"/>
      <w:pPr>
        <w:ind w:left="8053" w:hanging="287"/>
      </w:pPr>
      <w:rPr>
        <w:rFonts w:hint="default"/>
        <w:lang w:val="sk-SK" w:eastAsia="en-US" w:bidi="ar-SA"/>
      </w:rPr>
    </w:lvl>
  </w:abstractNum>
  <w:abstractNum w:abstractNumId="1" w15:restartNumberingAfterBreak="0">
    <w:nsid w:val="14ED7431"/>
    <w:multiLevelType w:val="hybridMultilevel"/>
    <w:tmpl w:val="752454D0"/>
    <w:lvl w:ilvl="0" w:tplc="1C5676AA">
      <w:start w:val="1"/>
      <w:numFmt w:val="lowerLetter"/>
      <w:lvlText w:val="%1)"/>
      <w:lvlJc w:val="left"/>
      <w:pPr>
        <w:ind w:left="321" w:hanging="330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BCE4010A">
      <w:numFmt w:val="bullet"/>
      <w:lvlText w:val="•"/>
      <w:lvlJc w:val="left"/>
      <w:pPr>
        <w:ind w:left="1286" w:hanging="330"/>
      </w:pPr>
      <w:rPr>
        <w:rFonts w:hint="default"/>
        <w:lang w:val="sk-SK" w:eastAsia="en-US" w:bidi="ar-SA"/>
      </w:rPr>
    </w:lvl>
    <w:lvl w:ilvl="2" w:tplc="41108604">
      <w:numFmt w:val="bullet"/>
      <w:lvlText w:val="•"/>
      <w:lvlJc w:val="left"/>
      <w:pPr>
        <w:ind w:left="2253" w:hanging="330"/>
      </w:pPr>
      <w:rPr>
        <w:rFonts w:hint="default"/>
        <w:lang w:val="sk-SK" w:eastAsia="en-US" w:bidi="ar-SA"/>
      </w:rPr>
    </w:lvl>
    <w:lvl w:ilvl="3" w:tplc="BED814A4">
      <w:numFmt w:val="bullet"/>
      <w:lvlText w:val="•"/>
      <w:lvlJc w:val="left"/>
      <w:pPr>
        <w:ind w:left="3219" w:hanging="330"/>
      </w:pPr>
      <w:rPr>
        <w:rFonts w:hint="default"/>
        <w:lang w:val="sk-SK" w:eastAsia="en-US" w:bidi="ar-SA"/>
      </w:rPr>
    </w:lvl>
    <w:lvl w:ilvl="4" w:tplc="5396236C">
      <w:numFmt w:val="bullet"/>
      <w:lvlText w:val="•"/>
      <w:lvlJc w:val="left"/>
      <w:pPr>
        <w:ind w:left="4186" w:hanging="330"/>
      </w:pPr>
      <w:rPr>
        <w:rFonts w:hint="default"/>
        <w:lang w:val="sk-SK" w:eastAsia="en-US" w:bidi="ar-SA"/>
      </w:rPr>
    </w:lvl>
    <w:lvl w:ilvl="5" w:tplc="3EEE9C30">
      <w:numFmt w:val="bullet"/>
      <w:lvlText w:val="•"/>
      <w:lvlJc w:val="left"/>
      <w:pPr>
        <w:ind w:left="5153" w:hanging="330"/>
      </w:pPr>
      <w:rPr>
        <w:rFonts w:hint="default"/>
        <w:lang w:val="sk-SK" w:eastAsia="en-US" w:bidi="ar-SA"/>
      </w:rPr>
    </w:lvl>
    <w:lvl w:ilvl="6" w:tplc="6F8A58B6">
      <w:numFmt w:val="bullet"/>
      <w:lvlText w:val="•"/>
      <w:lvlJc w:val="left"/>
      <w:pPr>
        <w:ind w:left="6119" w:hanging="330"/>
      </w:pPr>
      <w:rPr>
        <w:rFonts w:hint="default"/>
        <w:lang w:val="sk-SK" w:eastAsia="en-US" w:bidi="ar-SA"/>
      </w:rPr>
    </w:lvl>
    <w:lvl w:ilvl="7" w:tplc="B0BCB142">
      <w:numFmt w:val="bullet"/>
      <w:lvlText w:val="•"/>
      <w:lvlJc w:val="left"/>
      <w:pPr>
        <w:ind w:left="7086" w:hanging="330"/>
      </w:pPr>
      <w:rPr>
        <w:rFonts w:hint="default"/>
        <w:lang w:val="sk-SK" w:eastAsia="en-US" w:bidi="ar-SA"/>
      </w:rPr>
    </w:lvl>
    <w:lvl w:ilvl="8" w:tplc="AD96059C">
      <w:numFmt w:val="bullet"/>
      <w:lvlText w:val="•"/>
      <w:lvlJc w:val="left"/>
      <w:pPr>
        <w:ind w:left="8053" w:hanging="330"/>
      </w:pPr>
      <w:rPr>
        <w:rFonts w:hint="default"/>
        <w:lang w:val="sk-SK" w:eastAsia="en-US" w:bidi="ar-SA"/>
      </w:rPr>
    </w:lvl>
  </w:abstractNum>
  <w:abstractNum w:abstractNumId="2" w15:restartNumberingAfterBreak="0">
    <w:nsid w:val="44941C01"/>
    <w:multiLevelType w:val="hybridMultilevel"/>
    <w:tmpl w:val="2EAAA962"/>
    <w:lvl w:ilvl="0" w:tplc="C29C7B40">
      <w:start w:val="1"/>
      <w:numFmt w:val="decimal"/>
      <w:lvlText w:val="%1."/>
      <w:lvlJc w:val="left"/>
      <w:pPr>
        <w:ind w:left="220" w:hanging="270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A3F8EDFC">
      <w:start w:val="1"/>
      <w:numFmt w:val="decimal"/>
      <w:lvlText w:val="%2."/>
      <w:lvlJc w:val="left"/>
      <w:pPr>
        <w:ind w:left="321" w:hanging="258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2" w:tplc="99E8EE5C">
      <w:numFmt w:val="bullet"/>
      <w:lvlText w:val="•"/>
      <w:lvlJc w:val="left"/>
      <w:pPr>
        <w:ind w:left="1394" w:hanging="258"/>
      </w:pPr>
      <w:rPr>
        <w:rFonts w:hint="default"/>
        <w:lang w:val="sk-SK" w:eastAsia="en-US" w:bidi="ar-SA"/>
      </w:rPr>
    </w:lvl>
    <w:lvl w:ilvl="3" w:tplc="F780808E">
      <w:numFmt w:val="bullet"/>
      <w:lvlText w:val="•"/>
      <w:lvlJc w:val="left"/>
      <w:pPr>
        <w:ind w:left="2468" w:hanging="258"/>
      </w:pPr>
      <w:rPr>
        <w:rFonts w:hint="default"/>
        <w:lang w:val="sk-SK" w:eastAsia="en-US" w:bidi="ar-SA"/>
      </w:rPr>
    </w:lvl>
    <w:lvl w:ilvl="4" w:tplc="57B2C970">
      <w:numFmt w:val="bullet"/>
      <w:lvlText w:val="•"/>
      <w:lvlJc w:val="left"/>
      <w:pPr>
        <w:ind w:left="3542" w:hanging="258"/>
      </w:pPr>
      <w:rPr>
        <w:rFonts w:hint="default"/>
        <w:lang w:val="sk-SK" w:eastAsia="en-US" w:bidi="ar-SA"/>
      </w:rPr>
    </w:lvl>
    <w:lvl w:ilvl="5" w:tplc="6144D53C">
      <w:numFmt w:val="bullet"/>
      <w:lvlText w:val="•"/>
      <w:lvlJc w:val="left"/>
      <w:pPr>
        <w:ind w:left="4616" w:hanging="258"/>
      </w:pPr>
      <w:rPr>
        <w:rFonts w:hint="default"/>
        <w:lang w:val="sk-SK" w:eastAsia="en-US" w:bidi="ar-SA"/>
      </w:rPr>
    </w:lvl>
    <w:lvl w:ilvl="6" w:tplc="F2400540">
      <w:numFmt w:val="bullet"/>
      <w:lvlText w:val="•"/>
      <w:lvlJc w:val="left"/>
      <w:pPr>
        <w:ind w:left="5690" w:hanging="258"/>
      </w:pPr>
      <w:rPr>
        <w:rFonts w:hint="default"/>
        <w:lang w:val="sk-SK" w:eastAsia="en-US" w:bidi="ar-SA"/>
      </w:rPr>
    </w:lvl>
    <w:lvl w:ilvl="7" w:tplc="E6A4DB14">
      <w:numFmt w:val="bullet"/>
      <w:lvlText w:val="•"/>
      <w:lvlJc w:val="left"/>
      <w:pPr>
        <w:ind w:left="6764" w:hanging="258"/>
      </w:pPr>
      <w:rPr>
        <w:rFonts w:hint="default"/>
        <w:lang w:val="sk-SK" w:eastAsia="en-US" w:bidi="ar-SA"/>
      </w:rPr>
    </w:lvl>
    <w:lvl w:ilvl="8" w:tplc="3926D182">
      <w:numFmt w:val="bullet"/>
      <w:lvlText w:val="•"/>
      <w:lvlJc w:val="left"/>
      <w:pPr>
        <w:ind w:left="7838" w:hanging="258"/>
      </w:pPr>
      <w:rPr>
        <w:rFonts w:hint="default"/>
        <w:lang w:val="sk-SK" w:eastAsia="en-US" w:bidi="ar-SA"/>
      </w:rPr>
    </w:lvl>
  </w:abstractNum>
  <w:abstractNum w:abstractNumId="3" w15:restartNumberingAfterBreak="0">
    <w:nsid w:val="45BC748B"/>
    <w:multiLevelType w:val="hybridMultilevel"/>
    <w:tmpl w:val="AF003EF4"/>
    <w:lvl w:ilvl="0" w:tplc="6D20FA3A">
      <w:numFmt w:val="bullet"/>
      <w:lvlText w:val="-"/>
      <w:lvlJc w:val="left"/>
      <w:pPr>
        <w:ind w:left="321" w:hanging="135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463E1E64">
      <w:numFmt w:val="bullet"/>
      <w:lvlText w:val="•"/>
      <w:lvlJc w:val="left"/>
      <w:pPr>
        <w:ind w:left="1286" w:hanging="135"/>
      </w:pPr>
      <w:rPr>
        <w:rFonts w:hint="default"/>
        <w:lang w:val="sk-SK" w:eastAsia="en-US" w:bidi="ar-SA"/>
      </w:rPr>
    </w:lvl>
    <w:lvl w:ilvl="2" w:tplc="47AE2C72">
      <w:numFmt w:val="bullet"/>
      <w:lvlText w:val="•"/>
      <w:lvlJc w:val="left"/>
      <w:pPr>
        <w:ind w:left="2253" w:hanging="135"/>
      </w:pPr>
      <w:rPr>
        <w:rFonts w:hint="default"/>
        <w:lang w:val="sk-SK" w:eastAsia="en-US" w:bidi="ar-SA"/>
      </w:rPr>
    </w:lvl>
    <w:lvl w:ilvl="3" w:tplc="644E69AA">
      <w:numFmt w:val="bullet"/>
      <w:lvlText w:val="•"/>
      <w:lvlJc w:val="left"/>
      <w:pPr>
        <w:ind w:left="3219" w:hanging="135"/>
      </w:pPr>
      <w:rPr>
        <w:rFonts w:hint="default"/>
        <w:lang w:val="sk-SK" w:eastAsia="en-US" w:bidi="ar-SA"/>
      </w:rPr>
    </w:lvl>
    <w:lvl w:ilvl="4" w:tplc="2BC0E8D4">
      <w:numFmt w:val="bullet"/>
      <w:lvlText w:val="•"/>
      <w:lvlJc w:val="left"/>
      <w:pPr>
        <w:ind w:left="4186" w:hanging="135"/>
      </w:pPr>
      <w:rPr>
        <w:rFonts w:hint="default"/>
        <w:lang w:val="sk-SK" w:eastAsia="en-US" w:bidi="ar-SA"/>
      </w:rPr>
    </w:lvl>
    <w:lvl w:ilvl="5" w:tplc="8D0CB1A2">
      <w:numFmt w:val="bullet"/>
      <w:lvlText w:val="•"/>
      <w:lvlJc w:val="left"/>
      <w:pPr>
        <w:ind w:left="5153" w:hanging="135"/>
      </w:pPr>
      <w:rPr>
        <w:rFonts w:hint="default"/>
        <w:lang w:val="sk-SK" w:eastAsia="en-US" w:bidi="ar-SA"/>
      </w:rPr>
    </w:lvl>
    <w:lvl w:ilvl="6" w:tplc="28C2FCAE">
      <w:numFmt w:val="bullet"/>
      <w:lvlText w:val="•"/>
      <w:lvlJc w:val="left"/>
      <w:pPr>
        <w:ind w:left="6119" w:hanging="135"/>
      </w:pPr>
      <w:rPr>
        <w:rFonts w:hint="default"/>
        <w:lang w:val="sk-SK" w:eastAsia="en-US" w:bidi="ar-SA"/>
      </w:rPr>
    </w:lvl>
    <w:lvl w:ilvl="7" w:tplc="5ED44974">
      <w:numFmt w:val="bullet"/>
      <w:lvlText w:val="•"/>
      <w:lvlJc w:val="left"/>
      <w:pPr>
        <w:ind w:left="7086" w:hanging="135"/>
      </w:pPr>
      <w:rPr>
        <w:rFonts w:hint="default"/>
        <w:lang w:val="sk-SK" w:eastAsia="en-US" w:bidi="ar-SA"/>
      </w:rPr>
    </w:lvl>
    <w:lvl w:ilvl="8" w:tplc="4C1A170C">
      <w:numFmt w:val="bullet"/>
      <w:lvlText w:val="•"/>
      <w:lvlJc w:val="left"/>
      <w:pPr>
        <w:ind w:left="8053" w:hanging="135"/>
      </w:pPr>
      <w:rPr>
        <w:rFonts w:hint="default"/>
        <w:lang w:val="sk-SK" w:eastAsia="en-US" w:bidi="ar-SA"/>
      </w:rPr>
    </w:lvl>
  </w:abstractNum>
  <w:abstractNum w:abstractNumId="4" w15:restartNumberingAfterBreak="0">
    <w:nsid w:val="7597638D"/>
    <w:multiLevelType w:val="hybridMultilevel"/>
    <w:tmpl w:val="BD7A91BE"/>
    <w:lvl w:ilvl="0" w:tplc="87F2B950">
      <w:start w:val="1"/>
      <w:numFmt w:val="decimal"/>
      <w:lvlText w:val="%1."/>
      <w:lvlJc w:val="left"/>
      <w:pPr>
        <w:ind w:left="466" w:hanging="246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E1446CC0">
      <w:numFmt w:val="bullet"/>
      <w:lvlText w:val="•"/>
      <w:lvlJc w:val="left"/>
      <w:pPr>
        <w:ind w:left="1412" w:hanging="246"/>
      </w:pPr>
      <w:rPr>
        <w:rFonts w:hint="default"/>
        <w:lang w:val="sk-SK" w:eastAsia="en-US" w:bidi="ar-SA"/>
      </w:rPr>
    </w:lvl>
    <w:lvl w:ilvl="2" w:tplc="9CFE598C">
      <w:numFmt w:val="bullet"/>
      <w:lvlText w:val="•"/>
      <w:lvlJc w:val="left"/>
      <w:pPr>
        <w:ind w:left="2365" w:hanging="246"/>
      </w:pPr>
      <w:rPr>
        <w:rFonts w:hint="default"/>
        <w:lang w:val="sk-SK" w:eastAsia="en-US" w:bidi="ar-SA"/>
      </w:rPr>
    </w:lvl>
    <w:lvl w:ilvl="3" w:tplc="D7020ACC">
      <w:numFmt w:val="bullet"/>
      <w:lvlText w:val="•"/>
      <w:lvlJc w:val="left"/>
      <w:pPr>
        <w:ind w:left="3317" w:hanging="246"/>
      </w:pPr>
      <w:rPr>
        <w:rFonts w:hint="default"/>
        <w:lang w:val="sk-SK" w:eastAsia="en-US" w:bidi="ar-SA"/>
      </w:rPr>
    </w:lvl>
    <w:lvl w:ilvl="4" w:tplc="B204FB30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E8E88ADA">
      <w:numFmt w:val="bullet"/>
      <w:lvlText w:val="•"/>
      <w:lvlJc w:val="left"/>
      <w:pPr>
        <w:ind w:left="5223" w:hanging="246"/>
      </w:pPr>
      <w:rPr>
        <w:rFonts w:hint="default"/>
        <w:lang w:val="sk-SK" w:eastAsia="en-US" w:bidi="ar-SA"/>
      </w:rPr>
    </w:lvl>
    <w:lvl w:ilvl="6" w:tplc="2E96914E">
      <w:numFmt w:val="bullet"/>
      <w:lvlText w:val="•"/>
      <w:lvlJc w:val="left"/>
      <w:pPr>
        <w:ind w:left="6175" w:hanging="246"/>
      </w:pPr>
      <w:rPr>
        <w:rFonts w:hint="default"/>
        <w:lang w:val="sk-SK" w:eastAsia="en-US" w:bidi="ar-SA"/>
      </w:rPr>
    </w:lvl>
    <w:lvl w:ilvl="7" w:tplc="C638C80A">
      <w:numFmt w:val="bullet"/>
      <w:lvlText w:val="•"/>
      <w:lvlJc w:val="left"/>
      <w:pPr>
        <w:ind w:left="7128" w:hanging="246"/>
      </w:pPr>
      <w:rPr>
        <w:rFonts w:hint="default"/>
        <w:lang w:val="sk-SK" w:eastAsia="en-US" w:bidi="ar-SA"/>
      </w:rPr>
    </w:lvl>
    <w:lvl w:ilvl="8" w:tplc="E11ECC8C">
      <w:numFmt w:val="bullet"/>
      <w:lvlText w:val="•"/>
      <w:lvlJc w:val="left"/>
      <w:pPr>
        <w:ind w:left="8081" w:hanging="246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73BE9"/>
    <w:rsid w:val="00173BE9"/>
    <w:rsid w:val="00400795"/>
    <w:rsid w:val="00765BD7"/>
    <w:rsid w:val="0078413F"/>
    <w:rsid w:val="00BC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7460CAEE-00B3-414F-9641-588CD83C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left="3680" w:right="14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21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34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984</Words>
  <Characters>5610</Characters>
  <Application>Microsoft Office Word</Application>
  <DocSecurity>0</DocSecurity>
  <Lines>46</Lines>
  <Paragraphs>13</Paragraphs>
  <ScaleCrop>false</ScaleCrop>
  <Company/>
  <LinksUpToDate>false</LinksUpToDate>
  <CharactersWithSpaces>6581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dcterms:created xsi:type="dcterms:W3CDTF">2022-03-24T08:46:00Z</dcterms:created>
  <dcterms:modified xsi:type="dcterms:W3CDTF">2022-03-24T09:46:00Z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2022-03-24T00:00:00Z</vt:filetime>
  </property>
</Properties>
</file>