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800" w:type="dxa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FB0EBD" w:rsidTr="00CD03D7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bookmarkStart w:id="0" w:name="page2"/>
            <w:bookmarkEnd w:id="0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DIČ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 w:rsidP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FB0EBD" w:rsidTr="00CD03D7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</w:tbl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/>
          <w:sz w:val="24"/>
          <w:szCs w:val="24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Čl.1 Všeobecné údaje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sz w:val="24"/>
          <w:szCs w:val="24"/>
        </w:rPr>
      </w:pPr>
    </w:p>
    <w:p w:rsidR="00FB0EBD" w:rsidRDefault="00FB0EBD" w:rsidP="00EF6780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Čl.1.1 Názov právnickej osoby a jej sídlo alebo meno a priezvisko fyzickej osoby</w:t>
      </w:r>
      <w:r w:rsidR="00EF6780">
        <w:rPr>
          <w:rFonts w:ascii="Times New Roman" w:hAnsi="Times New Roman"/>
          <w:b/>
          <w:sz w:val="24"/>
          <w:szCs w:val="24"/>
        </w:rPr>
        <w:tab/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proofErr w:type="spellStart"/>
      <w:r w:rsidR="006B5C7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HaviarKovo</w:t>
      </w:r>
      <w:proofErr w:type="spellEnd"/>
      <w:r w:rsidR="006B5C7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s.r.o., Pružina 699, 018 22 Pružina</w:t>
      </w:r>
    </w:p>
    <w:p w:rsidR="00EF6780" w:rsidRDefault="00EF6780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Spoločnosť sa predovšetkým zaoberá:</w:t>
      </w:r>
    </w:p>
    <w:p w:rsidR="00484EF9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sz w:val="16"/>
          <w:szCs w:val="16"/>
        </w:rPr>
        <w:tab/>
      </w:r>
      <w:r w:rsidR="006B5C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Zámočníctvo</w:t>
      </w:r>
    </w:p>
    <w:p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proofErr w:type="spellStart"/>
      <w:r w:rsidR="006B5C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Kovoobrábanie</w:t>
      </w:r>
      <w:proofErr w:type="spellEnd"/>
    </w:p>
    <w:p w:rsidR="006B5C7B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 w:rsidR="006B5C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Výroba a opracovanie jednoduchých výrobkov z kovu</w:t>
      </w:r>
    </w:p>
    <w:p w:rsidR="006B5C7B" w:rsidRDefault="006B5C7B">
      <w:pPr>
        <w:widowControl w:val="0"/>
        <w:autoSpaceDE w:val="0"/>
        <w:autoSpaceDN w:val="0"/>
        <w:adjustRightInd w:val="0"/>
        <w:spacing w:after="0" w:line="375" w:lineRule="exact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         Vývoj, výroba zabezpečovacích systémov alebo poplachových systémov a zariadení umožňujúcich </w:t>
      </w:r>
    </w:p>
    <w:p w:rsidR="002F44DD" w:rsidRDefault="006B5C7B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         sledovanie pohybu a konania osoby v chránenom objekte, na chránenom mieste alebo v ich okolí </w:t>
      </w:r>
      <w:r w:rsidR="002F44DD" w:rsidRPr="002F44DD">
        <w:rPr>
          <w:rFonts w:ascii="Arial" w:hAnsi="Arial" w:cs="Arial"/>
          <w:b/>
          <w:bCs/>
          <w:color w:val="000000"/>
          <w:sz w:val="20"/>
        </w:rPr>
        <w:t> </w:t>
      </w:r>
    </w:p>
    <w:p w:rsidR="002F44DD" w:rsidRPr="00EF6780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Čl.1.2 Údaje o konsolidovanom celku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Čl.1.3 Priemerný prepočítaný počet zamestnancov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130"/>
        <w:tblW w:w="9451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CD03D7" w:rsidRPr="00CD03D7" w:rsidTr="00227D4B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</w:tr>
      <w:tr w:rsidR="00CD03D7" w:rsidRPr="00CD03D7" w:rsidTr="00227D4B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CD03D7" w:rsidRPr="00CD03D7" w:rsidRDefault="00CD03D7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CD03D7" w:rsidRPr="00CD03D7" w:rsidRDefault="00866186" w:rsidP="00FA596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2021</w:t>
            </w:r>
          </w:p>
        </w:tc>
      </w:tr>
      <w:tr w:rsidR="00CD03D7" w:rsidRPr="00CD03D7" w:rsidTr="00227D4B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D03D7" w:rsidRPr="00CD03D7" w:rsidRDefault="006B5C7B" w:rsidP="00227D4B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</w:tr>
    </w:tbl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Čl.2 Informácie o prijatých postupoch</w:t>
      </w: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b/>
          <w:sz w:val="24"/>
          <w:szCs w:val="24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b/>
          <w:sz w:val="24"/>
          <w:szCs w:val="24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Čl.2.1 Nepretržité pokračovanie v činnosti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:rsidR="00FB0EBD" w:rsidRDefault="00CD03D7" w:rsidP="00CD03D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/>
          <w:sz w:val="24"/>
          <w:szCs w:val="24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Čl.2.2 Spôsob oceňovania jednotlivých položiek majetku a záväzkov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60" w:right="4360" w:hanging="35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 w:rsidP="00731E9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</w:t>
      </w:r>
      <w:r w:rsidR="00731E9D">
        <w:rPr>
          <w:rFonts w:ascii="Arial" w:hAnsi="Arial" w:cs="Arial"/>
          <w:color w:val="000000"/>
          <w:sz w:val="16"/>
          <w:szCs w:val="16"/>
        </w:rPr>
        <w:t>inančný majetok obstaraný kúpou</w:t>
      </w: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:rsidR="00731E9D" w:rsidRP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2" w:name="page4"/>
      <w:bookmarkEnd w:id="2"/>
      <w:r w:rsidRPr="00731E9D">
        <w:rPr>
          <w:rFonts w:ascii="Arial" w:hAnsi="Arial" w:cs="Arial"/>
          <w:b/>
          <w:color w:val="000000"/>
          <w:sz w:val="20"/>
          <w:szCs w:val="20"/>
        </w:rPr>
        <w:t xml:space="preserve">Čl.2.3 Spôsob </w:t>
      </w:r>
      <w:r w:rsidR="00CD03D7" w:rsidRPr="00731E9D">
        <w:rPr>
          <w:rFonts w:ascii="Arial" w:hAnsi="Arial" w:cs="Arial"/>
          <w:b/>
          <w:color w:val="000000"/>
          <w:sz w:val="20"/>
          <w:szCs w:val="20"/>
        </w:rPr>
        <w:t>odpisovania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:rsidR="00FB0EBD" w:rsidRP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CD03D7"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Pr="00731E9D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731E9D">
        <w:rPr>
          <w:rFonts w:ascii="Arial" w:hAnsi="Arial" w:cs="Arial"/>
          <w:sz w:val="16"/>
          <w:szCs w:val="16"/>
        </w:rPr>
        <w:lastRenderedPageBreak/>
        <w:t>Predpokladaná doba používania, metóda odpisovania a odpisová sadzba sú uvedené v tabuľke:</w:t>
      </w:r>
    </w:p>
    <w:p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227D4B" w:rsidRDefault="00227D4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1701"/>
        <w:gridCol w:w="1418"/>
        <w:gridCol w:w="1843"/>
      </w:tblGrid>
      <w:tr w:rsidR="00227D4B" w:rsidRPr="00227D4B" w:rsidTr="00227D4B">
        <w:tc>
          <w:tcPr>
            <w:tcW w:w="4077" w:type="dxa"/>
            <w:vAlign w:val="center"/>
          </w:tcPr>
          <w:p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701" w:type="dxa"/>
            <w:vAlign w:val="center"/>
          </w:tcPr>
          <w:p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6B5C7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vozidlo</w:t>
            </w:r>
          </w:p>
        </w:tc>
        <w:tc>
          <w:tcPr>
            <w:tcW w:w="1701" w:type="dxa"/>
            <w:vAlign w:val="center"/>
          </w:tcPr>
          <w:p w:rsidR="00227D4B" w:rsidRPr="00EF6780" w:rsidRDefault="006B5C7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418" w:type="dxa"/>
            <w:vAlign w:val="center"/>
          </w:tcPr>
          <w:p w:rsidR="00227D4B" w:rsidRPr="00EF6780" w:rsidRDefault="0062376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66" w:lineRule="exact"/>
        <w:rPr>
          <w:rFonts w:ascii="Times New Roman" w:hAnsi="Times New Roman"/>
          <w:sz w:val="24"/>
          <w:szCs w:val="24"/>
        </w:rPr>
      </w:pPr>
    </w:p>
    <w:p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Čl.2.4 Zmeny účtovných zásad a zmeny účtovných metód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3" w:name="page5"/>
      <w:bookmarkEnd w:id="3"/>
      <w:r w:rsidRPr="00731E9D">
        <w:rPr>
          <w:rFonts w:ascii="Arial" w:hAnsi="Arial" w:cs="Arial"/>
          <w:b/>
          <w:color w:val="000000"/>
          <w:sz w:val="20"/>
          <w:szCs w:val="20"/>
        </w:rPr>
        <w:t>Čl.2.5 Informácie o dotáciách a ich oceňovanie v účtovníctve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  <w:bookmarkStart w:id="4" w:name="page6"/>
      <w:bookmarkEnd w:id="4"/>
    </w:p>
    <w:p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</w:rPr>
        <w:t>Čl.3. Informácie, ktoré vysvetľujú a dopĺňajú súvahu a výkaz ziskov a strát</w:t>
      </w:r>
    </w:p>
    <w:p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Čl.3.1 Informácia o sume a dôvodoch vzniku jednotlivých položiek nákladov alebo výnosov, ktoré majú výnimočný rozsa</w:t>
      </w:r>
      <w:r w:rsidR="00731E9D">
        <w:rPr>
          <w:rFonts w:ascii="Arial" w:hAnsi="Arial" w:cs="Arial"/>
          <w:b/>
          <w:color w:val="000000"/>
          <w:sz w:val="20"/>
          <w:szCs w:val="20"/>
        </w:rPr>
        <w:t>h</w:t>
      </w:r>
    </w:p>
    <w:p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FB0EBD" w:rsidRP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Čl.3.2 Informácie o záväzkoch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066"/>
        <w:gridCol w:w="4856"/>
      </w:tblGrid>
      <w:tr w:rsidR="00731E9D" w:rsidRPr="007A598F" w:rsidTr="007A598F">
        <w:trPr>
          <w:trHeight w:val="491"/>
        </w:trPr>
        <w:tc>
          <w:tcPr>
            <w:tcW w:w="5066" w:type="dxa"/>
            <w:vAlign w:val="center"/>
          </w:tcPr>
          <w:p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vAlign w:val="center"/>
          </w:tcPr>
          <w:p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Suma za bežné účtovné obdobie</w:t>
            </w:r>
          </w:p>
        </w:tc>
      </w:tr>
      <w:tr w:rsidR="00731E9D" w:rsidRPr="007A598F" w:rsidTr="007A598F">
        <w:trPr>
          <w:trHeight w:val="553"/>
        </w:trPr>
        <w:tc>
          <w:tcPr>
            <w:tcW w:w="5066" w:type="dxa"/>
            <w:vAlign w:val="center"/>
          </w:tcPr>
          <w:p w:rsidR="00731E9D" w:rsidRPr="007A598F" w:rsidRDefault="000B6624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Krátkodobé záväzky do lehoty</w:t>
            </w:r>
            <w:r w:rsidR="00542011" w:rsidRPr="007A598F">
              <w:rPr>
                <w:rFonts w:ascii="Arial" w:hAnsi="Arial" w:cs="Arial"/>
                <w:sz w:val="20"/>
                <w:szCs w:val="20"/>
              </w:rPr>
              <w:t xml:space="preserve"> splatnosti</w:t>
            </w:r>
          </w:p>
        </w:tc>
        <w:tc>
          <w:tcPr>
            <w:tcW w:w="4856" w:type="dxa"/>
            <w:vAlign w:val="center"/>
          </w:tcPr>
          <w:p w:rsidR="00731E9D" w:rsidRPr="007A598F" w:rsidRDefault="006B5C7B" w:rsidP="0062376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5.861,00</w:t>
            </w:r>
          </w:p>
        </w:tc>
      </w:tr>
      <w:tr w:rsidR="00731E9D" w:rsidRPr="007A598F" w:rsidTr="007A598F">
        <w:trPr>
          <w:trHeight w:val="627"/>
        </w:trPr>
        <w:tc>
          <w:tcPr>
            <w:tcW w:w="5066" w:type="dxa"/>
            <w:vAlign w:val="center"/>
          </w:tcPr>
          <w:p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:rsidR="00542011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vAlign w:val="center"/>
          </w:tcPr>
          <w:p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:rsidTr="007A598F">
        <w:trPr>
          <w:trHeight w:val="560"/>
        </w:trPr>
        <w:tc>
          <w:tcPr>
            <w:tcW w:w="5066" w:type="dxa"/>
            <w:vAlign w:val="center"/>
          </w:tcPr>
          <w:p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vAlign w:val="center"/>
          </w:tcPr>
          <w:p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:rsidTr="007A598F">
        <w:trPr>
          <w:trHeight w:val="470"/>
        </w:trPr>
        <w:tc>
          <w:tcPr>
            <w:tcW w:w="5066" w:type="dxa"/>
            <w:vAlign w:val="center"/>
          </w:tcPr>
          <w:p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vAlign w:val="center"/>
          </w:tcPr>
          <w:p w:rsidR="00731E9D" w:rsidRPr="007A598F" w:rsidRDefault="006B5C7B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5.861,00</w:t>
            </w:r>
          </w:p>
        </w:tc>
      </w:tr>
    </w:tbl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/>
          <w:sz w:val="24"/>
          <w:szCs w:val="24"/>
        </w:rPr>
      </w:pPr>
      <w:bookmarkStart w:id="5" w:name="page7"/>
      <w:bookmarkEnd w:id="5"/>
    </w:p>
    <w:p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Čl.3.3 Informácie o vlastných akciách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6" w:name="page8"/>
      <w:bookmarkEnd w:id="6"/>
    </w:p>
    <w:p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Čl.3.4 Informácie o orgánoch účtovnej jednotky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40"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</w:t>
      </w:r>
      <w:r w:rsidR="001A66F1">
        <w:rPr>
          <w:rFonts w:ascii="Arial" w:hAnsi="Arial" w:cs="Arial"/>
          <w:color w:val="000000"/>
          <w:sz w:val="16"/>
          <w:szCs w:val="16"/>
        </w:rPr>
        <w:t>e</w:t>
      </w:r>
      <w:r>
        <w:rPr>
          <w:rFonts w:ascii="Arial" w:hAnsi="Arial" w:cs="Arial"/>
          <w:color w:val="000000"/>
          <w:sz w:val="16"/>
          <w:szCs w:val="16"/>
        </w:rPr>
        <w:t>vyplácala príjmy a výhody členom štatutárnych orgánov, dozorných orgánov a iných orgánov.</w:t>
      </w:r>
    </w:p>
    <w:p w:rsidR="00FB0EBD" w:rsidRDefault="006237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7728" behindDoc="1" locked="0" layoutInCell="0" allowOverlap="1">
            <wp:simplePos x="0" y="0"/>
            <wp:positionH relativeFrom="column">
              <wp:posOffset>-354965</wp:posOffset>
            </wp:positionH>
            <wp:positionV relativeFrom="paragraph">
              <wp:posOffset>3206115</wp:posOffset>
            </wp:positionV>
            <wp:extent cx="7560310" cy="5039995"/>
            <wp:effectExtent l="19050" t="0" r="254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5039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7" w:name="page9"/>
      <w:bookmarkEnd w:id="7"/>
    </w:p>
    <w:p w:rsidR="00FB0EBD" w:rsidRPr="00227D4B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227D4B">
        <w:rPr>
          <w:rFonts w:ascii="Arial" w:hAnsi="Arial" w:cs="Arial"/>
          <w:b/>
          <w:color w:val="000000"/>
          <w:sz w:val="20"/>
          <w:szCs w:val="20"/>
        </w:rPr>
        <w:t>Čl.3.5 Informácie o povinnostiach účtovnej jednotky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nemá povinnosti, ktoré sa nevykazujú v súvahe.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 w:rsidP="00227D4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</w:t>
      </w:r>
      <w:r w:rsidR="00227D4B">
        <w:rPr>
          <w:rFonts w:ascii="Arial" w:hAnsi="Arial" w:cs="Arial"/>
          <w:color w:val="000000"/>
          <w:sz w:val="16"/>
          <w:szCs w:val="16"/>
        </w:rPr>
        <w:t>účtuje na podsúvahových účtoch.</w:t>
      </w:r>
    </w:p>
    <w:sectPr w:rsidR="00FB0EBD" w:rsidSect="007A28D5">
      <w:pgSz w:w="11900" w:h="18142"/>
      <w:pgMar w:top="257" w:right="560" w:bottom="1440" w:left="560" w:header="708" w:footer="708" w:gutter="0"/>
      <w:cols w:space="708" w:equalWidth="0">
        <w:col w:w="10780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</w:compat>
  <w:rsids>
    <w:rsidRoot w:val="00387BD2"/>
    <w:rsid w:val="000B6624"/>
    <w:rsid w:val="001A66F1"/>
    <w:rsid w:val="00227D4B"/>
    <w:rsid w:val="002725F2"/>
    <w:rsid w:val="002F44DD"/>
    <w:rsid w:val="003511B3"/>
    <w:rsid w:val="00386F60"/>
    <w:rsid w:val="00387BD2"/>
    <w:rsid w:val="00484EF9"/>
    <w:rsid w:val="00505B68"/>
    <w:rsid w:val="00542011"/>
    <w:rsid w:val="005F139C"/>
    <w:rsid w:val="005F722D"/>
    <w:rsid w:val="0062376B"/>
    <w:rsid w:val="006B5C7B"/>
    <w:rsid w:val="00731E9D"/>
    <w:rsid w:val="007A28D5"/>
    <w:rsid w:val="007A598F"/>
    <w:rsid w:val="00866186"/>
    <w:rsid w:val="00973FA2"/>
    <w:rsid w:val="009B653B"/>
    <w:rsid w:val="00A17EC9"/>
    <w:rsid w:val="00CD03D7"/>
    <w:rsid w:val="00CF0DEA"/>
    <w:rsid w:val="00E632EE"/>
    <w:rsid w:val="00EF6780"/>
    <w:rsid w:val="00F01F9A"/>
    <w:rsid w:val="00FA596C"/>
    <w:rsid w:val="00FB0E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A28D5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D03D7"/>
    <w:rPr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Predvolenpsmoodseku"/>
    <w:rsid w:val="00EF6780"/>
    <w:rPr>
      <w:rFonts w:cs="Times New Roman"/>
    </w:rPr>
  </w:style>
  <w:style w:type="character" w:customStyle="1" w:styleId="ra">
    <w:name w:val="ra"/>
    <w:basedOn w:val="Predvolenpsmoodseku"/>
    <w:rsid w:val="001A66F1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569</Words>
  <Characters>3248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3 - 01</vt:lpstr>
    </vt:vector>
  </TitlesOfParts>
  <Company/>
  <LinksUpToDate>false</LinksUpToDate>
  <CharactersWithSpaces>3810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KOREKCIA Trenčín</dc:creator>
  <cp:lastModifiedBy>hrobarikova.marianna@outlook.sk</cp:lastModifiedBy>
  <cp:revision>4</cp:revision>
  <cp:lastPrinted>2022-03-17T08:16:00Z</cp:lastPrinted>
  <dcterms:created xsi:type="dcterms:W3CDTF">2022-03-17T08:16:00Z</dcterms:created>
  <dcterms:modified xsi:type="dcterms:W3CDTF">2022-03-25T21:29:00Z</dcterms:modified>
</cp:coreProperties>
</file>