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565" w:type="dxa"/>
        <w:tblInd w:w="-49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65"/>
      </w:tblGrid>
      <w:tr w:rsidR="009537C4" w:rsidRPr="009537C4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tbl>
            <w:tblPr>
              <w:tblW w:w="0" w:type="auto"/>
              <w:tblBorders>
                <w:top w:val="single" w:sz="6" w:space="0" w:color="888888"/>
                <w:left w:val="single" w:sz="6" w:space="0" w:color="888888"/>
                <w:bottom w:val="single" w:sz="6" w:space="0" w:color="888888"/>
                <w:right w:val="single" w:sz="6" w:space="0" w:color="888888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50"/>
              <w:gridCol w:w="544"/>
              <w:gridCol w:w="330"/>
              <w:gridCol w:w="330"/>
              <w:gridCol w:w="330"/>
              <w:gridCol w:w="330"/>
              <w:gridCol w:w="330"/>
              <w:gridCol w:w="330"/>
              <w:gridCol w:w="390"/>
              <w:gridCol w:w="330"/>
              <w:gridCol w:w="531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</w:tblGrid>
            <w:tr w:rsidR="009537C4" w:rsidRPr="009537C4" w:rsidTr="006C0EA0"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6C0EA0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Poznámky Uč MUJ 3 – 01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6C0EA0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IČO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6C0EA0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9537C4"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5</w:t>
                  </w:r>
                  <w:r w:rsidR="009537C4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9537C4"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 xml:space="preserve">  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8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8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9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4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6C0EA0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9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6C0EA0" w:rsidP="006C0E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DIČ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7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6C0EA0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="009537C4"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3</w:t>
                  </w:r>
                  <w:r w:rsidR="009537C4"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7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888888"/>
                    <w:left w:val="single" w:sz="6" w:space="0" w:color="888888"/>
                    <w:bottom w:val="single" w:sz="6" w:space="0" w:color="888888"/>
                    <w:right w:val="single" w:sz="6" w:space="0" w:color="888888"/>
                  </w:tcBorders>
                  <w:tcMar>
                    <w:top w:w="30" w:type="dxa"/>
                    <w:left w:w="45" w:type="dxa"/>
                    <w:bottom w:w="30" w:type="dxa"/>
                    <w:right w:w="45" w:type="dxa"/>
                  </w:tcMar>
                  <w:vAlign w:val="center"/>
                  <w:hideMark/>
                </w:tcPr>
                <w:p w:rsidR="006C0EA0" w:rsidRPr="006C0EA0" w:rsidRDefault="009537C4" w:rsidP="009537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  <w:r w:rsidRPr="009537C4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1</w:t>
                  </w:r>
                  <w:r w:rsidRPr="006C0EA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6C0EA0" w:rsidRPr="006C0EA0" w:rsidRDefault="006C0EA0" w:rsidP="006C0EA0">
            <w:pPr>
              <w:spacing w:after="0" w:line="240" w:lineRule="auto"/>
              <w:ind w:right="1059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  <w:p w:rsidR="006C0EA0" w:rsidRPr="007047B7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</w:p>
          <w:p w:rsidR="006C0EA0" w:rsidRPr="006C0EA0" w:rsidRDefault="006C0EA0" w:rsidP="006C0EA0">
            <w:pPr>
              <w:spacing w:after="0" w:line="240" w:lineRule="auto"/>
              <w:ind w:right="1059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Čl. I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Všeobecné údaje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776" w:right="284" w:hanging="426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Názov právnickej osoby a jej sídlo alebo meno a priezvisko fyzickej osoby.</w:t>
            </w:r>
          </w:p>
          <w:p w:rsidR="00B668AB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proofErr w:type="spellStart"/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Drito</w:t>
            </w:r>
            <w:proofErr w:type="spellEnd"/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s.r.o</w:t>
            </w:r>
            <w:proofErr w:type="spellEnd"/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, Dubová 31, 010 07  Žilina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Údaje o konsolidovanom celku, a</w:t>
            </w:r>
            <w:r w:rsid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údaj, či účtovná jednotka je materskou účtovnou jednotkou a údaj, či je oslobodená od povinnosti zostaviť konsolidovanú účtovnú závierku a konsolidovanú výročnú správu podľa </w:t>
            </w:r>
            <w:hyperlink r:id="rId6" w:anchor="f2802843" w:history="1">
              <w:r w:rsidRPr="007047B7">
                <w:rPr>
                  <w:rStyle w:val="Hypertextovprepojenie"/>
                  <w:rFonts w:ascii="Trebuchet MS" w:eastAsia="Times New Roman" w:hAnsi="Trebuchet MS" w:cs="Times New Roman"/>
                  <w:b/>
                  <w:bCs/>
                  <w:color w:val="7F7F7F" w:themeColor="text1" w:themeTint="80"/>
                  <w:sz w:val="20"/>
                  <w:szCs w:val="20"/>
                  <w:lang w:eastAsia="sk-SK"/>
                </w:rPr>
                <w:t>§ 22 zákona</w:t>
              </w:r>
            </w:hyperlink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, pričom sa uvádzajú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 oslobodení podľa § 22 ods. 8 zákona obchodné meno a sídlo materskej účtovnej jednotky zostavujúcej konsolidovanú účtovnú závierku podľa osobitných predpisov,</w:t>
            </w:r>
            <w:hyperlink r:id="rId7" w:anchor="f4041014" w:history="1">
              <w:r w:rsidRPr="007047B7">
                <w:rPr>
                  <w:rStyle w:val="Hypertextovprepojenie"/>
                  <w:rFonts w:ascii="Trebuchet MS" w:eastAsia="Times New Roman" w:hAnsi="Trebuchet MS" w:cs="Times New Roman"/>
                  <w:b/>
                  <w:bCs/>
                  <w:color w:val="7F7F7F" w:themeColor="text1" w:themeTint="80"/>
                  <w:sz w:val="20"/>
                  <w:szCs w:val="20"/>
                  <w:lang w:eastAsia="sk-SK"/>
                </w:rPr>
                <w:t>4)</w:t>
              </w:r>
            </w:hyperlink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 oslobodení podľa § 22 ods. 12 zákona obchodné meno a sídlo dcérskych účtovných jednotiek.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Default="006C0EA0" w:rsidP="007047B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Priemerný prepočítaný počet zamestnancov.</w:t>
            </w:r>
          </w:p>
          <w:p w:rsidR="007047B7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  <w:p w:rsidR="006C0EA0" w:rsidRPr="006C0EA0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Čl. II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Informácie o prijatých postupoch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Informácia, či je účtovná závierka zostavená za splnenia predpokladu, že účtovná jednotka bude nepretržite pokračovať vo svojej činnosti.</w:t>
            </w:r>
          </w:p>
          <w:p w:rsidR="007047B7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Vzhľadom na rozsah činností vykonávaných účtovnou jednotkou a ich zameranie je predpoklad, že účtovná jednotka bude pokračovať vo svojej činnosti.</w:t>
            </w:r>
          </w:p>
          <w:p w:rsidR="00B668AB" w:rsidRPr="007047B7" w:rsidRDefault="00B668AB" w:rsidP="007047B7">
            <w:pPr>
              <w:pStyle w:val="Odsekzoznamu"/>
              <w:spacing w:after="0" w:line="240" w:lineRule="auto"/>
              <w:ind w:left="284" w:right="284" w:hanging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Spôsob oceňovania jednotlivých položiek majetku a záväzkov, a</w:t>
            </w:r>
            <w:r w:rsidR="00B668AB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dlhodobého nehmotného majetku, dlhodobého hmotného majetku a dlhodobého finančného majetku,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zásob obstaraných kúpou, zásob vytvorených vlastnou činnosťou,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pohľadávok,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krátkodobého finančného majetku,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záväzkov vrátane rezerv, dlhopisov, pôžičiek a úverov,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derivátových operácií.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Spôsob zostavenia odpisového plánu pre jednotlivé druhy dlhodobého hmotného majetku a dlhodobého nehmotného majetku, pričom sa uvádza doba odpisovania, použité sadzby odpisov a odpisové metódy pri určení odpisov.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Účtovná jednotka</w:t>
            </w:r>
            <w:r w:rsidR="00B668AB"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 xml:space="preserve">momentálne </w:t>
            </w:r>
            <w:r w:rsidR="00B668AB"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nedisponuje dlhodobým majetkom.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Zmeny účtovných zásad a zmeny účtovných metód s uvedením dôvodu týchto zmien a vyčíslením ich vplyvu na finančnú hodnotu majetku, záväzkov, základného imania a výsledku hospodárenia účtovnej jednotky.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dotáciách a ich oceňovanie v účtovníctve.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  <w:bookmarkStart w:id="0" w:name="_GoBack"/>
            <w:bookmarkEnd w:id="0"/>
          </w:p>
        </w:tc>
      </w:tr>
      <w:tr w:rsidR="007047B7" w:rsidRPr="006C0EA0" w:rsidTr="00567263">
        <w:trPr>
          <w:trHeight w:val="687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lastRenderedPageBreak/>
              <w:t>obdobia.</w:t>
            </w:r>
          </w:p>
          <w:p w:rsidR="006C0EA0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  <w:p w:rsidR="007047B7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  <w:tr w:rsidR="007047B7" w:rsidRPr="007047B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lastRenderedPageBreak/>
              <w:t>Čl. III</w:t>
            </w:r>
          </w:p>
        </w:tc>
      </w:tr>
      <w:tr w:rsidR="007047B7" w:rsidRPr="007047B7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6C0EA0" w:rsidRDefault="006C0EA0" w:rsidP="007047B7">
            <w:pPr>
              <w:spacing w:after="0" w:line="240" w:lineRule="auto"/>
              <w:ind w:right="284"/>
              <w:jc w:val="center"/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</w:pPr>
            <w:r w:rsidRPr="006C0EA0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Informácie, ktoré vysvetľujú a dopĺňajú súvahu a výkaz ziskov a strát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záväzkoch, a</w:t>
            </w:r>
            <w:r w:rsidR="00B668AB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záväzkov so zostatkovou dobou splatnosti dlhšou ako päť rokov,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zabezpečených záväzkov, opis a spôsoby zabezpečenia záväzkov.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vlastných akciách, a</w:t>
            </w:r>
            <w:r w:rsidR="00B668AB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dôvode nadobudnutia vlastných akcií počas účtovného obdobia,</w:t>
            </w:r>
          </w:p>
          <w:p w:rsidR="006C0EA0" w:rsidRPr="007047B7" w:rsidRDefault="00B668AB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informáciách, ktorými sú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počet a hodnota, za ktorú sa vlastné akcie počas účtovného obdobia nadobudli a počet a hodnota, za ktorú sa vlastné akcie počas účtovného obdobia previedli na inú osobu,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počte, menovitej hodnote a hodnote, za ktorú sa vlastné akcie nadobudli a ktoré účtovná jednotka má v držbe k poslednému dňu účtovného obdobia; uvádza sa aj ich percentuálny podiel na upísanom základnom imaní.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Informácia o tom, či účtovná jednotka vytvorila kapitálový fond z príspevkov podľa § 123 ods. 2 a 217a Obchodného zákonníka v znení neskorších predpisov.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orgánoch účtovnej jednotky, a</w:t>
            </w:r>
            <w:r w:rsidR="007047B7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výške jednotlivých druhov záruk alebo iných zabezpečení poskytnutých pre členov štatutárneho orgánu, dozorného orgánu a iného orgánu účtovnej jednotky, a to v členení za jednotlivé orgány,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pôžičkách poskytnutých členom štatutárneho orgánu, dozorného orgánu a iného orgánu účtovnej jednotky a</w:t>
            </w:r>
            <w:r w:rsidR="007047B7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celková suma poskytnutých pôžičiek k poslednému dňu účtovného obdobia v členení za jednotlivé orgány,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celková suma splatených pôžičiek k poslednému dňu účtovného obdobia v členení za jednotlivé orgány,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celková suma odpustených pôžičiek a odpísaných pôžičiek k poslednému dňu účtovného obdobia v členení za jednotlivé orgány,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hlavných podmienkach, na základe ktorých im boli záruky alebo iné zabezpečenie a pôžičky poskytnuté; pri pôžičkách sa uvádzajú úrokové sadzby,</w:t>
            </w:r>
          </w:p>
          <w:p w:rsidR="006C0EA0" w:rsidRPr="007047B7" w:rsidRDefault="00567263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použitých finančných prostriedkov alebo iného plnenia na súkromné účely členmi štatutárneho orgánu, dozorného orgánu a iného orgánu účtovnej jednotky, ktoré je potrebné vyúčtovať.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povinnostiach účtovnej jednotky, a</w:t>
            </w:r>
            <w:r w:rsidR="007047B7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to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</w:t>
            </w: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lastRenderedPageBreak/>
              <w:t>za celé zostávajúce obdobie platnosti zmluvy,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lastRenderedPageBreak/>
              <w:t>celkovej sume významných podmienených záväzkov, ktorými sa rozumie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existujúca povinnosť, ktorá vznikla ako dôsledok minulej udalosti, ale ktorá sa nevykazuje v súvahe, pretože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9537C4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            </w:t>
            </w:r>
            <w:r w:rsidR="006C0EA0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2a.</w:t>
            </w:r>
            <w:r w:rsidR="006C0EA0" w:rsidRPr="006C0EA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nie je pravdepodobné, že na splnenie tejto povinnosti bude potrebný úbytok ekonomických úžitkov, alebo</w:t>
            </w:r>
          </w:p>
          <w:p w:rsidR="006C0EA0" w:rsidRPr="006C0EA0" w:rsidRDefault="009537C4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 xml:space="preserve">            </w:t>
            </w:r>
            <w:r w:rsidR="007047B7"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Default="009537C4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 xml:space="preserve">            </w:t>
            </w:r>
            <w:r w:rsidR="006C0EA0"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2b.</w:t>
            </w:r>
            <w:r w:rsidR="006C0EA0" w:rsidRPr="006C0EA0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 výška tejto povinnosti sa nedá spoľahlivo oceniť,</w:t>
            </w:r>
          </w:p>
          <w:p w:rsidR="006C0EA0" w:rsidRPr="006C0EA0" w:rsidRDefault="009537C4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 xml:space="preserve">            </w:t>
            </w:r>
            <w:r w:rsidR="007047B7" w:rsidRPr="007047B7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opise významných finančných povinností a významných podmienených záväzkov,</w:t>
            </w:r>
          </w:p>
          <w:p w:rsidR="006C0EA0" w:rsidRPr="007047B7" w:rsidRDefault="007047B7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celkovej sume významných finančných povinností a významných podmienených záväzkoch voči dcérskej účtovnej jednotke a účtovnej jednotke s podstatným vplyvom,</w:t>
            </w:r>
          </w:p>
          <w:p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opise významných povinností účtovnej jednotky vyplývajúcich z dôchodkových programov pre zamestnancov.</w:t>
            </w:r>
          </w:p>
          <w:p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9537C4" w:rsidRDefault="006C0EA0" w:rsidP="009537C4">
            <w:pPr>
              <w:pStyle w:val="Odsekzoznamu"/>
              <w:numPr>
                <w:ilvl w:val="0"/>
                <w:numId w:val="6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všetkých formách prijatej náhrady,</w:t>
            </w:r>
          </w:p>
          <w:p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účtovných zásadách použitých pri prideľovaní nákladov a výnosov,</w:t>
            </w:r>
          </w:p>
          <w:p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7047B7" w:rsidRDefault="006C0EA0" w:rsidP="007047B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7047B7"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  <w:t>všetkých druhoch činností účtovnej jednotky.</w:t>
            </w:r>
          </w:p>
          <w:p w:rsidR="006C0EA0" w:rsidRPr="007047B7" w:rsidRDefault="009537C4" w:rsidP="007047B7">
            <w:pPr>
              <w:pStyle w:val="Odsekzoznamu"/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  <w:r w:rsidRPr="009537C4">
              <w:rPr>
                <w:rFonts w:ascii="Trebuchet MS" w:eastAsia="Times New Roman" w:hAnsi="Trebuchet MS" w:cs="Times New Roman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7047B7" w:rsidRPr="006C0EA0" w:rsidTr="007047B7">
        <w:trPr>
          <w:trHeight w:val="360"/>
        </w:trPr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</w:tcPr>
          <w:p w:rsidR="006C0EA0" w:rsidRPr="006C0EA0" w:rsidRDefault="006C0EA0" w:rsidP="007047B7">
            <w:pPr>
              <w:spacing w:after="0" w:line="240" w:lineRule="auto"/>
              <w:ind w:right="284"/>
              <w:jc w:val="both"/>
              <w:rPr>
                <w:rFonts w:ascii="Trebuchet MS" w:eastAsia="Times New Roman" w:hAnsi="Trebuchet MS" w:cs="Times New Roman"/>
                <w:b/>
                <w:bCs/>
                <w:color w:val="7F7F7F" w:themeColor="text1" w:themeTint="80"/>
                <w:sz w:val="20"/>
                <w:szCs w:val="20"/>
                <w:lang w:eastAsia="sk-SK"/>
              </w:rPr>
            </w:pPr>
          </w:p>
        </w:tc>
      </w:tr>
    </w:tbl>
    <w:p w:rsidR="005343C1" w:rsidRDefault="005343C1"/>
    <w:p w:rsidR="006C0EA0" w:rsidRDefault="006C0EA0"/>
    <w:p w:rsidR="006C0EA0" w:rsidRDefault="006C0EA0" w:rsidP="006C0EA0">
      <w:pPr>
        <w:pStyle w:val="Default"/>
      </w:pPr>
    </w:p>
    <w:sectPr w:rsidR="006C0EA0" w:rsidSect="00567263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E45C6"/>
    <w:multiLevelType w:val="hybridMultilevel"/>
    <w:tmpl w:val="0A2202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080A3B"/>
    <w:multiLevelType w:val="hybridMultilevel"/>
    <w:tmpl w:val="9A3A1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F908DE"/>
    <w:multiLevelType w:val="hybridMultilevel"/>
    <w:tmpl w:val="6D665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FC0E1B"/>
    <w:multiLevelType w:val="hybridMultilevel"/>
    <w:tmpl w:val="B7E672DC"/>
    <w:lvl w:ilvl="0" w:tplc="F37A28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9D2693"/>
    <w:multiLevelType w:val="hybridMultilevel"/>
    <w:tmpl w:val="355EDC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9A4904"/>
    <w:multiLevelType w:val="hybridMultilevel"/>
    <w:tmpl w:val="DC36AF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9D319B"/>
    <w:multiLevelType w:val="hybridMultilevel"/>
    <w:tmpl w:val="8536D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E15E2A"/>
    <w:multiLevelType w:val="hybridMultilevel"/>
    <w:tmpl w:val="4306C3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4E22C9"/>
    <w:multiLevelType w:val="hybridMultilevel"/>
    <w:tmpl w:val="1B2E13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3F5B2D"/>
    <w:multiLevelType w:val="hybridMultilevel"/>
    <w:tmpl w:val="235A89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025E2B"/>
    <w:multiLevelType w:val="hybridMultilevel"/>
    <w:tmpl w:val="1C1A52DE"/>
    <w:lvl w:ilvl="0" w:tplc="C21EA4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4E50C6"/>
    <w:multiLevelType w:val="hybridMultilevel"/>
    <w:tmpl w:val="958CC0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1C6D2A"/>
    <w:multiLevelType w:val="hybridMultilevel"/>
    <w:tmpl w:val="E93C35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C813C1"/>
    <w:multiLevelType w:val="hybridMultilevel"/>
    <w:tmpl w:val="FF6C9478"/>
    <w:lvl w:ilvl="0" w:tplc="86420C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1"/>
  </w:num>
  <w:num w:numId="3">
    <w:abstractNumId w:val="6"/>
  </w:num>
  <w:num w:numId="4">
    <w:abstractNumId w:val="3"/>
  </w:num>
  <w:num w:numId="5">
    <w:abstractNumId w:val="2"/>
  </w:num>
  <w:num w:numId="6">
    <w:abstractNumId w:val="13"/>
  </w:num>
  <w:num w:numId="7">
    <w:abstractNumId w:val="1"/>
  </w:num>
  <w:num w:numId="8">
    <w:abstractNumId w:val="5"/>
  </w:num>
  <w:num w:numId="9">
    <w:abstractNumId w:val="0"/>
  </w:num>
  <w:num w:numId="10">
    <w:abstractNumId w:val="12"/>
  </w:num>
  <w:num w:numId="11">
    <w:abstractNumId w:val="8"/>
  </w:num>
  <w:num w:numId="12">
    <w:abstractNumId w:val="4"/>
  </w:num>
  <w:num w:numId="13">
    <w:abstractNumId w:val="9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EA0"/>
    <w:rsid w:val="005343C1"/>
    <w:rsid w:val="00567263"/>
    <w:rsid w:val="006C0EA0"/>
    <w:rsid w:val="007047B7"/>
    <w:rsid w:val="009537C4"/>
    <w:rsid w:val="00B668AB"/>
    <w:rsid w:val="00D4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6C0EA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C0EA0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unhideWhenUsed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C0EA0"/>
    <w:rPr>
      <w:color w:val="0000FF"/>
      <w:u w:val="single"/>
    </w:rPr>
  </w:style>
  <w:style w:type="paragraph" w:customStyle="1" w:styleId="para">
    <w:name w:val="para"/>
    <w:basedOn w:val="Normlny"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6C0EA0"/>
    <w:rPr>
      <w:i/>
      <w:iCs/>
    </w:rPr>
  </w:style>
  <w:style w:type="paragraph" w:customStyle="1" w:styleId="clanek">
    <w:name w:val="clanek"/>
    <w:basedOn w:val="Normlny"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C0E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668A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6C0EA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C0EA0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unhideWhenUsed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C0EA0"/>
    <w:rPr>
      <w:color w:val="0000FF"/>
      <w:u w:val="single"/>
    </w:rPr>
  </w:style>
  <w:style w:type="paragraph" w:customStyle="1" w:styleId="para">
    <w:name w:val="para"/>
    <w:basedOn w:val="Normlny"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6C0EA0"/>
    <w:rPr>
      <w:i/>
      <w:iCs/>
    </w:rPr>
  </w:style>
  <w:style w:type="paragraph" w:customStyle="1" w:styleId="clanek">
    <w:name w:val="clanek"/>
    <w:basedOn w:val="Normlny"/>
    <w:rsid w:val="006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C0E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668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57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52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07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34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2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epi.sk/zz/2013-45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pi.sk/zz/2002-43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1084</Words>
  <Characters>6184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Porada</cp:lastModifiedBy>
  <cp:revision>2</cp:revision>
  <dcterms:created xsi:type="dcterms:W3CDTF">2021-03-22T10:11:00Z</dcterms:created>
  <dcterms:modified xsi:type="dcterms:W3CDTF">2022-02-23T18:08:00Z</dcterms:modified>
</cp:coreProperties>
</file>