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75" w:type="dxa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60"/>
        <w:gridCol w:w="2665"/>
        <w:gridCol w:w="341"/>
        <w:gridCol w:w="340"/>
        <w:gridCol w:w="340"/>
        <w:gridCol w:w="341"/>
        <w:gridCol w:w="340"/>
        <w:gridCol w:w="340"/>
        <w:gridCol w:w="341"/>
        <w:gridCol w:w="340"/>
        <w:gridCol w:w="565"/>
        <w:gridCol w:w="341"/>
        <w:gridCol w:w="340"/>
        <w:gridCol w:w="340"/>
        <w:gridCol w:w="341"/>
      </w:tblGrid>
      <w:tr>
        <w:trPr/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righ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Všeobecné údaje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>.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Zakladateľ neziskovej organizácie:</w:t>
      </w:r>
    </w:p>
    <w:p>
      <w:pPr>
        <w:pStyle w:val="Normal"/>
        <w:widowControl w:val="false"/>
        <w:suppressAutoHyphens w:val="true"/>
        <w:rPr/>
      </w:pPr>
      <w:r>
        <w:rPr/>
        <w:t>Obec Gajary, sídlo: 900 61 Gajary, ul. Hlavná 67, IČO: 00304743, v zastúpení: Mgr.Bc.Martin Rybecký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Malé Leváre, sídlo: 908 74 Malé Leváre č.177, IČO: 00309711, v zastúpení: Adrian Pernecký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Veľké Leváre, sídlo: 908 73 Veľké Leváre, ul. Štefánikova 747, IČO: 00310115, v zastúpení: Ing.Richard Nimsch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Jakubov, sídlo: 900 63 Jakubov č. 191, IČO: 00304816, v zastúpení: Mgr. Peter Gajdár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Studienka, sídlo: 908 75 Studienka č. 364, IČO: 00310042, v zastúpení: Ing. Boris Soukup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Závod, sídlo: 908 72 Závod, ul. Sokolská 243, IČO: 00310158, v zastúpení: Ing. Peter Vrablec</w:t>
      </w:r>
    </w:p>
    <w:p>
      <w:pPr>
        <w:pStyle w:val="Normal"/>
        <w:widowControl w:val="false"/>
        <w:suppressAutoHyphens w:val="true"/>
        <w:spacing w:lineRule="atLeast" w:line="200"/>
        <w:rPr>
          <w:b/>
          <w:b/>
          <w:bCs/>
        </w:rPr>
      </w:pPr>
      <w:r>
        <w:rPr/>
        <w:t>Obec Kostolište, sídlo: 900 62 Kostolište č. 66, IČO: 00304867, v zastúpení: Mgr. Hubert Danihel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 xml:space="preserve">            </w:t>
      </w:r>
    </w:p>
    <w:p>
      <w:pPr>
        <w:pStyle w:val="Normal"/>
        <w:widowControl w:val="false"/>
        <w:suppressAutoHyphens w:val="true"/>
        <w:rPr>
          <w:b/>
          <w:b/>
          <w:bCs/>
        </w:rPr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Dátum založenia neziskovej organizácie:</w:t>
      </w:r>
      <w:r>
        <w:rPr>
          <w:b/>
          <w:bCs/>
        </w:rPr>
        <w:t xml:space="preserve"> 19.1.2007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 xml:space="preserve">Riaditeľ: </w:t>
      </w:r>
      <w:r>
        <w:rPr>
          <w:rFonts w:cs="Arial" w:ascii="Arial" w:hAnsi="Arial"/>
          <w:b/>
          <w:bCs/>
        </w:rPr>
        <w:t>Zuzana Kuklovská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Správna rada:</w:t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>Predseda: Ing. Boris Soukup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 xml:space="preserve">Členovia: </w:t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>Mgr.Hubert Danihel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Mgr. Peter Gajdár</w:t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>Adrian Pernecký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1778" w:hanging="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BodyTextIndent2"/>
        <w:rPr>
          <w:rFonts w:ascii="Arial" w:hAnsi="Arial" w:cs="Arial"/>
        </w:rPr>
      </w:pPr>
      <w:r>
        <w:rPr>
          <w:rFonts w:cs="Arial" w:ascii="Arial" w:hAnsi="Arial"/>
        </w:rPr>
        <w:t>Nezisková organizácia bude poskytovať všeobecne prospešné služby v oblasti tvorby, rozvoja, ochrany, obnovy a prezentácie duchovných a kultúrnych hodnôt:</w:t>
      </w:r>
    </w:p>
    <w:p>
      <w:pPr>
        <w:pStyle w:val="BodyTextIndent2"/>
        <w:tabs>
          <w:tab w:val="left" w:pos="4111" w:leader="none"/>
        </w:tabs>
        <w:rPr>
          <w:rFonts w:ascii="Arial" w:hAnsi="Arial" w:cs="Arial"/>
        </w:rPr>
      </w:pPr>
      <w:r>
        <w:rPr>
          <w:rFonts w:cs="Arial" w:ascii="Arial" w:hAnsi="Arial"/>
        </w:rPr>
        <w:t>- služby organizovania kultúrnych, spoločenských podujatí, výstav, prezentácií, osvetových podujatí  a stretnutí a ďalšie služby v oblasti výskumu, vývoja, vedecko-technických služieb a informačných služieb so zameraním na informačné služby: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analýzy, rozbory, prieskumy, spracovanie a realizácia projektov,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informačné služby prostredníctvom  internetu.</w:t>
      </w:r>
    </w:p>
    <w:p>
      <w:pPr>
        <w:pStyle w:val="Normal"/>
        <w:spacing w:lineRule="auto" w:line="240" w:before="0" w:after="120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Tabuľka k čl. I ods.  4 o počte zamestnancov a dobrovoľníkov</w:t>
      </w:r>
    </w:p>
    <w:tbl>
      <w:tblPr>
        <w:tblW w:w="9923" w:type="dxa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61"/>
        <w:gridCol w:w="2410"/>
        <w:gridCol w:w="2552"/>
      </w:tblGrid>
      <w:tr>
        <w:trPr/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Textopatrenia"/>
              <w:spacing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6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    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 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 o účtovných zásadách a účtovných metódach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 ods.1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>Spoločnosť zostavila účtovnú závierku za predpokladu nepretržitého pokračovania vo svojej činnosti. Spoločnosť nepretržite pokračovala vo svojej činnosti od 1.1.2021 do 31.12.2021 a predpokladá túto činnosť vykonávať i naďalej.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  <w:t xml:space="preserve">II.odst.2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Účtovná jednotka nevykonala žiadne zmeny účtovných zásad a účtovných metód.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II.ods.3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 Účtovná jednotka oceňovala majetok a záväzky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ku dňu uskutočnenie účtovného prípadu</w:t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3.1.1 Ku dňu uskutočnenia účtovného prípadu oceňovala účtovná jednotka majetok a záväzky: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</w:t>
      </w:r>
      <w:r>
        <w:rPr>
          <w:rFonts w:cs="Arial" w:ascii="Arial" w:hAnsi="Arial"/>
          <w:sz w:val="16"/>
          <w:szCs w:val="16"/>
        </w:rPr>
        <w:t>a) obstarávacou cenou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nehmotný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finančný majetok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  <w:r>
        <w:rPr>
          <w:rFonts w:cs="Arial" w:ascii="Arial" w:hAnsi="Arial"/>
          <w:sz w:val="16"/>
          <w:szCs w:val="16"/>
        </w:rPr>
        <w:t>- zásoby obstarané kúpou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b)/menovitou hodnotou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pohľadávky pri odplatnom nadobudnutí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záväzky pri ich prevzatí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krátkodobý finančný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Obstarávacia cena je cena, za ktorú sa majetok obstaral a náklady súvisiace s jeho obstaraním.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Vyskytujúce sa náklady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súvisiace s obstaraním v účtovnej jednotke: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provízia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dopravné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sz w:val="16"/>
          <w:szCs w:val="16"/>
        </w:rPr>
        <w:t xml:space="preserve">  </w:t>
      </w:r>
      <w:r>
        <w:rPr>
          <w:rFonts w:cs="Arial" w:ascii="Arial" w:hAnsi="Arial"/>
          <w:b/>
          <w:bCs/>
          <w:sz w:val="18"/>
          <w:szCs w:val="18"/>
        </w:rPr>
        <w:t xml:space="preserve"> </w:t>
      </w:r>
      <w:r>
        <w:rPr>
          <w:rFonts w:cs="Arial" w:ascii="Arial" w:hAnsi="Arial"/>
          <w:b/>
          <w:bCs/>
          <w:sz w:val="18"/>
          <w:szCs w:val="18"/>
        </w:rPr>
        <w:t>II. ods.  4 Spôsob zostavovania odpisového plánu dlhodobého majetku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Účtovná jednotka stanovila interným predpisom pravidlá pre účtovanie dlhodobého majetku: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Nehmotný majetok, ktorého ocenenie sa rovná sume  2400 EUR, alebo nižšie sa účtuje na ťarchu 518 - Ostatné služby.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Nehmotný majetok, ktorého ocenenie je vyššie, zaradila účtovná jednotka do dlhodobého nehmotného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Hmotný majetok, ktorého ocenenie sa rovná sume   1700 EUR, alebo nižšie účtuje účtovná jednotka na ťarchu účtu zásob.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Hmotný majetok, ktorého ocenenie je vyššie, zaradila účtovná jednotka do dlhodobého 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zostavila pre bežné účtovné obdobie odpisový plán pre dlhodobý majetok, ktorý obsahuje dobu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</w:t>
      </w:r>
      <w:r>
        <w:rPr>
          <w:rFonts w:cs="Arial" w:ascii="Arial" w:hAnsi="Arial"/>
          <w:sz w:val="16"/>
          <w:szCs w:val="16"/>
        </w:rPr>
        <w:t>odpisovania, sadzby odpisov, odpisové metódy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stanovila interným predpisom, že účtovné odpisy dlhodobého majetku sa rovnajú daňovým odpisom.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460" w:hanging="0"/>
        <w:rPr/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76" w:type="dxa"/>
        <w:jc w:val="left"/>
        <w:tblInd w:w="2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1"/>
        <w:gridCol w:w="4914"/>
      </w:tblGrid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Opravné položky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  <w:highlight w:val="yellow"/>
        </w:rPr>
      </w:pPr>
      <w:r>
        <w:rPr>
          <w:rFonts w:cs="Arial" w:ascii="Arial" w:hAnsi="Arial"/>
          <w:sz w:val="16"/>
          <w:szCs w:val="16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Informácie, ktoré dopĺňajú a vysvetľujú údaje v súvahe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1 o stave a pohybe dlhodobého hmotného majetku</w:t>
      </w:r>
    </w:p>
    <w:tbl>
      <w:tblPr>
        <w:tblW w:w="7990" w:type="dxa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377"/>
        <w:gridCol w:w="1872"/>
        <w:gridCol w:w="1871"/>
        <w:gridCol w:w="1869"/>
      </w:tblGrid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Drobný hn.majetok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Prvotné ocenenie</w:t>
            </w:r>
            <w:r>
              <w:rPr>
                <w:rFonts w:cs="Arial"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515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presuny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 xml:space="preserve">Oprávky – </w:t>
            </w: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Zostatková hodnota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75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6 o položkách krátkodobého finančného majetku</w:t>
      </w:r>
    </w:p>
    <w:p>
      <w:pPr>
        <w:pStyle w:val="Normal"/>
        <w:spacing w:lineRule="auto" w:line="240" w:before="0" w:after="120"/>
        <w:ind w:left="567" w:hanging="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Tabuľka č. 1</w:t>
      </w:r>
    </w:p>
    <w:tbl>
      <w:tblPr>
        <w:tblW w:w="10382" w:type="dxa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317"/>
        <w:gridCol w:w="3602"/>
        <w:gridCol w:w="3463"/>
      </w:tblGrid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Pokladnica,ceniny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222,25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163,45</w:t>
            </w:r>
          </w:p>
        </w:tc>
      </w:tr>
      <w:tr>
        <w:trPr>
          <w:trHeight w:val="373" w:hRule="atLeast"/>
        </w:trPr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55209,90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43069,68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55432,15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43233,13</w:t>
            </w:r>
          </w:p>
        </w:tc>
      </w:tr>
    </w:tbl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 xml:space="preserve">Čl. III ods. 10  o pohľadávkach do lehoty splatnosti a po lehote splatnosti </w:t>
      </w:r>
    </w:p>
    <w:tbl>
      <w:tblPr>
        <w:tblW w:w="10682" w:type="dxa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35"/>
        <w:gridCol w:w="3141"/>
        <w:gridCol w:w="3806"/>
      </w:tblGrid>
      <w:tr>
        <w:trPr>
          <w:trHeight w:val="397" w:hRule="atLeast"/>
        </w:trPr>
        <w:tc>
          <w:tcPr>
            <w:tcW w:w="373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6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37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23631,83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1000,72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1000,72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23631,83</w:t>
            </w:r>
          </w:p>
        </w:tc>
      </w:tr>
    </w:tbl>
    <w:p>
      <w:pPr>
        <w:pStyle w:val="Normal"/>
        <w:spacing w:lineRule="auto" w:line="240" w:before="0" w:after="12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  <w:t>Čl.III.ods.11Prehľad významných položiek časového rozlíšenia nákladov budúcich období a príjmov budúcich období</w:t>
      </w:r>
    </w:p>
    <w:tbl>
      <w:tblPr>
        <w:tblW w:w="9284" w:type="dxa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465"/>
        <w:gridCol w:w="2818"/>
      </w:tblGrid>
      <w:tr>
        <w:trPr>
          <w:trHeight w:val="403" w:hRule="atLeast"/>
        </w:trPr>
        <w:tc>
          <w:tcPr>
            <w:tcW w:w="6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 NBO</w:t>
            </w:r>
          </w:p>
        </w:tc>
        <w:tc>
          <w:tcPr>
            <w:tcW w:w="2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Domena 2022</w:t>
            </w:r>
          </w:p>
        </w:tc>
        <w:tc>
          <w:tcPr>
            <w:tcW w:w="2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94,63</w:t>
            </w:r>
          </w:p>
        </w:tc>
      </w:tr>
      <w:tr>
        <w:trPr/>
        <w:tc>
          <w:tcPr>
            <w:tcW w:w="6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94,63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>Čl. III ods. 12 o zmenách vlastných zdrojov krytia neobežného majetku a obežného majetku</w:t>
      </w:r>
      <w:r>
        <w:rPr>
          <w:rFonts w:cs="Arial" w:ascii="Arial" w:hAnsi="Arial"/>
        </w:rPr>
        <w:t xml:space="preserve">    </w:t>
      </w:r>
    </w:p>
    <w:tbl>
      <w:tblPr>
        <w:tblW w:w="10383" w:type="dxa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40"/>
        <w:gridCol w:w="2325"/>
        <w:gridCol w:w="1229"/>
        <w:gridCol w:w="1336"/>
        <w:gridCol w:w="1457"/>
        <w:gridCol w:w="1995"/>
      </w:tblGrid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1038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Nevysp.výsledok hosp.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60361,90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+4177,66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64539,56</w:t>
            </w:r>
          </w:p>
        </w:tc>
      </w:tr>
      <w:tr>
        <w:trPr>
          <w:trHeight w:val="42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4177,66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-8663,99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-4177,66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-8663,99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64539,56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-8663,99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55875,57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b/>
          <w:bCs/>
        </w:rPr>
        <w:t>čl. III ods. 13 o rozdelení účtovného zisku alebo vysporiadaní účtovného zisku</w:t>
      </w:r>
    </w:p>
    <w:tbl>
      <w:tblPr>
        <w:tblW w:w="5000" w:type="pct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930"/>
        <w:gridCol w:w="4535"/>
      </w:tblGrid>
      <w:tr>
        <w:trPr>
          <w:trHeight w:val="765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Názov položky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Účtovný zisk 2020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4177,66</w:t>
            </w:r>
          </w:p>
        </w:tc>
      </w:tr>
      <w:tr>
        <w:trPr>
          <w:trHeight w:val="330" w:hRule="atLeast"/>
        </w:trPr>
        <w:tc>
          <w:tcPr>
            <w:tcW w:w="1046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Vysporiadanie účtovneho zisku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Do nevyspor. výsledku hospod. min. rokov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4177,66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c) a d) o záväzkoch</w:t>
      </w:r>
    </w:p>
    <w:tbl>
      <w:tblPr>
        <w:tblW w:w="5000" w:type="pct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1"/>
        <w:gridCol w:w="2825"/>
        <w:gridCol w:w="3210"/>
      </w:tblGrid>
      <w:tr>
        <w:trPr>
          <w:trHeight w:val="397" w:hRule="atLeast"/>
        </w:trPr>
        <w:tc>
          <w:tcPr>
            <w:tcW w:w="44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0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44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533,19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2252,85</w:t>
            </w:r>
          </w:p>
        </w:tc>
      </w:tr>
      <w:tr>
        <w:trPr>
          <w:trHeight w:val="447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533,19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2252,85</w:t>
            </w:r>
          </w:p>
        </w:tc>
      </w:tr>
      <w:tr>
        <w:trPr/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118,74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118,74</w:t>
            </w:r>
          </w:p>
        </w:tc>
      </w:tr>
      <w:tr>
        <w:trPr>
          <w:trHeight w:val="478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118,74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118,74</w:t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651,93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2371,59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e) o vývoji sociálneho fondu</w:t>
      </w:r>
    </w:p>
    <w:tbl>
      <w:tblPr>
        <w:tblW w:w="10240" w:type="dxa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22"/>
        <w:gridCol w:w="3221"/>
        <w:gridCol w:w="3197"/>
      </w:tblGrid>
      <w:tr>
        <w:trPr/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118,74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112,82</w:t>
            </w:r>
          </w:p>
        </w:tc>
      </w:tr>
      <w:tr>
        <w:trPr>
          <w:trHeight w:val="375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5,92</w:t>
            </w:r>
          </w:p>
        </w:tc>
      </w:tr>
      <w:tr>
        <w:trPr>
          <w:trHeight w:val="411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Čerpanie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557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118,74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118,74</w:t>
            </w:r>
          </w:p>
        </w:tc>
      </w:tr>
    </w:tbl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bookmarkStart w:id="0" w:name="_GoBack"/>
      <w:bookmarkStart w:id="1" w:name="_GoBack"/>
      <w:bookmarkEnd w:id="1"/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Čl.IV informácie ,ktoré dopĺňajú a vysvetľujú údaje vo výkaze ziskov a strát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/>
      </w:pPr>
      <w:r>
        <w:rPr>
          <w:b/>
          <w:bCs/>
        </w:rPr>
        <w:t>Čl. IV. odst.2o položkách významných výnosov</w:t>
      </w:r>
    </w:p>
    <w:tbl>
      <w:tblPr>
        <w:tblW w:w="9284" w:type="dxa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Významné výnosy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Príjem členského 2021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4586,70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4586,70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b/>
          <w:bCs/>
          <w:sz w:val="18"/>
          <w:szCs w:val="18"/>
        </w:rPr>
        <w:t>IV. ods. 5 o významných položkách nákladov</w:t>
      </w:r>
    </w:p>
    <w:tbl>
      <w:tblPr>
        <w:tblW w:w="10396" w:type="dxa"/>
        <w:jc w:val="left"/>
        <w:tblInd w:w="-20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50"/>
        <w:gridCol w:w="3300"/>
        <w:gridCol w:w="3246"/>
      </w:tblGrid>
      <w:tr>
        <w:trPr/>
        <w:tc>
          <w:tcPr>
            <w:tcW w:w="3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2613,87</w:t>
            </w:r>
          </w:p>
        </w:tc>
        <w:tc>
          <w:tcPr>
            <w:tcW w:w="3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2553,59</w:t>
            </w:r>
          </w:p>
        </w:tc>
      </w:tr>
      <w:tr>
        <w:trPr>
          <w:trHeight w:val="375" w:hRule="atLeast"/>
        </w:trPr>
        <w:tc>
          <w:tcPr>
            <w:tcW w:w="3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Náklady voči audítorovi,účto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1228,00</w:t>
            </w:r>
          </w:p>
        </w:tc>
        <w:tc>
          <w:tcPr>
            <w:tcW w:w="3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1180,97</w:t>
            </w:r>
          </w:p>
        </w:tc>
      </w:tr>
      <w:tr>
        <w:trPr>
          <w:trHeight w:val="279" w:hRule="atLeast"/>
        </w:trPr>
        <w:tc>
          <w:tcPr>
            <w:tcW w:w="3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10636,82</w:t>
            </w:r>
          </w:p>
        </w:tc>
        <w:tc>
          <w:tcPr>
            <w:tcW w:w="3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29444,23</w:t>
            </w:r>
          </w:p>
        </w:tc>
      </w:tr>
      <w:tr>
        <w:trPr>
          <w:trHeight w:val="411" w:hRule="atLeast"/>
        </w:trPr>
        <w:tc>
          <w:tcPr>
            <w:tcW w:w="3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513-repre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0</w:t>
            </w:r>
          </w:p>
        </w:tc>
        <w:tc>
          <w:tcPr>
            <w:tcW w:w="3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0</w:t>
            </w:r>
          </w:p>
        </w:tc>
      </w:tr>
      <w:tr>
        <w:trPr>
          <w:trHeight w:val="411" w:hRule="atLeast"/>
        </w:trPr>
        <w:tc>
          <w:tcPr>
            <w:tcW w:w="3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512-Cestovné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0</w:t>
            </w:r>
          </w:p>
        </w:tc>
        <w:tc>
          <w:tcPr>
            <w:tcW w:w="3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1639,70</w:t>
            </w:r>
          </w:p>
        </w:tc>
      </w:tr>
      <w:tr>
        <w:trPr>
          <w:trHeight w:val="411" w:hRule="atLeast"/>
        </w:trPr>
        <w:tc>
          <w:tcPr>
            <w:tcW w:w="3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549-iné ost.náklady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4600,37</w:t>
            </w:r>
          </w:p>
        </w:tc>
        <w:tc>
          <w:tcPr>
            <w:tcW w:w="3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0</w:t>
            </w:r>
          </w:p>
        </w:tc>
      </w:tr>
      <w:tr>
        <w:trPr>
          <w:trHeight w:val="411" w:hRule="atLeast"/>
        </w:trPr>
        <w:tc>
          <w:tcPr>
            <w:tcW w:w="3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511-opravy a údržba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46,80</w:t>
            </w:r>
          </w:p>
        </w:tc>
        <w:tc>
          <w:tcPr>
            <w:tcW w:w="3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190,31</w:t>
            </w:r>
          </w:p>
        </w:tc>
      </w:tr>
      <w:tr>
        <w:trPr>
          <w:trHeight w:val="411" w:hRule="atLeast"/>
        </w:trPr>
        <w:tc>
          <w:tcPr>
            <w:tcW w:w="3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 xml:space="preserve">521 – Mzdové náklady 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4350,01</w:t>
            </w:r>
          </w:p>
        </w:tc>
        <w:tc>
          <w:tcPr>
            <w:tcW w:w="3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20186,30</w:t>
            </w:r>
          </w:p>
        </w:tc>
      </w:tr>
      <w:tr>
        <w:trPr>
          <w:trHeight w:val="411" w:hRule="atLeast"/>
        </w:trPr>
        <w:tc>
          <w:tcPr>
            <w:tcW w:w="3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524 – Zákonné SP a ZP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1531,09</w:t>
            </w:r>
          </w:p>
        </w:tc>
        <w:tc>
          <w:tcPr>
            <w:tcW w:w="3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6592,19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IV  ods. 8 o nákladoch vynaložených v súvislosti s auditom účtovnej závierky</w:t>
      </w:r>
    </w:p>
    <w:tbl>
      <w:tblPr>
        <w:tblW w:w="9284" w:type="dxa"/>
        <w:jc w:val="left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Overenie účt. závierky 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480,58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480,58</w:t>
            </w:r>
          </w:p>
        </w:tc>
      </w:tr>
    </w:tbl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          </w:t>
      </w:r>
      <w:r>
        <w:rPr>
          <w:rFonts w:cs="Arial" w:ascii="Arial" w:hAnsi="Arial"/>
          <w:b/>
          <w:bCs/>
        </w:rPr>
        <w:t xml:space="preserve">Čl. VI  </w:t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</w:t>
      </w:r>
      <w:r>
        <w:rPr>
          <w:rFonts w:cs="Arial" w:ascii="Arial" w:hAnsi="Arial"/>
          <w:b/>
          <w:bCs/>
        </w:rPr>
        <w:t>ďalšie informácie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bookmarkStart w:id="2" w:name="__UnoMark__1263_2268198812"/>
      <w:bookmarkEnd w:id="2"/>
      <w:r>
        <w:rPr>
          <w:rFonts w:cs="Arial" w:ascii="Arial" w:hAnsi="Arial"/>
          <w:sz w:val="16"/>
          <w:szCs w:val="16"/>
        </w:rPr>
        <w:t>Po 31.12.2021 nenastali také skutočnosti, ktoré by si vyžadovali zverejnenie, alebo vykázanie v účtovnej závierke za rok 2021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Tahoma" w:hAnsi="Tahoma" w:eastAsia="Tahoma" w:cs="Tahoma"/>
          <w:sz w:val="28"/>
        </w:rPr>
      </w:pPr>
      <w:r>
        <w:rPr>
          <w:rFonts w:eastAsia="Tahoma" w:cs="Arial" w:ascii="Arial" w:hAnsi="Arial"/>
          <w:sz w:val="16"/>
          <w:szCs w:val="16"/>
        </w:rPr>
        <w:t xml:space="preserve">Zvážili sme všetky potenciálne dopady COVID-19 na naše aktivity organizácie a dospeli sme k záveru, že nemajú významný vplyv na našu schopnosť pokračovať nepretržite v činnosti. Pretože sa situácia stále vyvíja a dopady sa stále prehlbujú, vedenie účtovnej jednotky si nemyslí, že je možné poskytnúť kvantitatívne odhady potencionálneho vplyvu súčasnej situácie na účtovnú jednotku. 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/>
      </w:pPr>
      <w:r>
        <w:rPr/>
      </w:r>
    </w:p>
    <w:sectPr>
      <w:footerReference w:type="default" r:id="rId2"/>
      <w:footerReference w:type="first" r:id="rId3"/>
      <w:type w:val="nextPage"/>
      <w:pgSz w:w="11906" w:h="16838"/>
      <w:pgMar w:left="720" w:right="720" w:header="0" w:top="720" w:footer="709" w:bottom="766" w:gutter="0"/>
      <w:pgNumType w:start="7" w:fmt="decimal"/>
      <w:formProt w:val="false"/>
      <w:titlePg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6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85420" cy="250825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4680" cy="25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spacing w:before="120" w:after="12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08.7pt;margin-top:0.05pt;width:14.5pt;height:19.65pt;mso-position-horizontal:right;mso-position-horizontal-relative:margin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spacing w:before="120" w:after="12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240" w:before="0" w:after="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4056c5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4056c5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4056c5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c770ad"/>
    <w:rPr>
      <w:rFonts w:ascii="Arial Narrow" w:hAnsi="Arial Narrow" w:cs="Arial Narrow"/>
      <w:sz w:val="24"/>
      <w:szCs w:val="24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9" w:customStyle="1">
    <w:name w:val="ListLabel 9"/>
    <w:qFormat/>
    <w:rPr>
      <w:rFonts w:eastAsia="Times New Roman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Wingdings"/>
    </w:rPr>
  </w:style>
  <w:style w:type="character" w:styleId="ListLabel12" w:customStyle="1">
    <w:name w:val="ListLabel 12"/>
    <w:qFormat/>
    <w:rPr>
      <w:rFonts w:cs="Symbol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Wingdings"/>
    </w:rPr>
  </w:style>
  <w:style w:type="character" w:styleId="ListLabel15" w:customStyle="1">
    <w:name w:val="ListLabel 15"/>
    <w:qFormat/>
    <w:rPr>
      <w:rFonts w:cs="Symbol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Wingdings"/>
    </w:rPr>
  </w:style>
  <w:style w:type="character" w:styleId="ListLabel18" w:customStyle="1">
    <w:name w:val="ListLabel 18"/>
    <w:qFormat/>
    <w:rPr>
      <w:rFonts w:cs="Arial"/>
      <w:b/>
      <w:bCs/>
      <w:i w:val="false"/>
      <w:iCs w:val="false"/>
      <w:sz w:val="24"/>
      <w:szCs w:val="24"/>
    </w:rPr>
  </w:style>
  <w:style w:type="character" w:styleId="ListLabel19" w:customStyle="1">
    <w:name w:val="ListLabel 19"/>
    <w:qFormat/>
    <w:rPr>
      <w:rFonts w:cs="Arial"/>
      <w:b/>
      <w:bCs/>
      <w:i w:val="false"/>
      <w:iCs w:val="false"/>
      <w:sz w:val="24"/>
      <w:szCs w:val="24"/>
    </w:rPr>
  </w:style>
  <w:style w:type="character" w:styleId="ListLabel20" w:customStyle="1">
    <w:name w:val="ListLabel 20"/>
    <w:qFormat/>
    <w:rPr>
      <w:rFonts w:cs="Arial"/>
      <w:b/>
      <w:bCs/>
      <w:i w:val="false"/>
      <w:iCs w:val="false"/>
      <w:sz w:val="24"/>
      <w:szCs w:val="24"/>
    </w:rPr>
  </w:style>
  <w:style w:type="character" w:styleId="ListLabel243" w:customStyle="1">
    <w:name w:val="ListLabel 243"/>
    <w:qFormat/>
    <w:rPr>
      <w:b/>
      <w:i w:val="false"/>
    </w:rPr>
  </w:style>
  <w:style w:type="character" w:styleId="ListLabel244" w:customStyle="1">
    <w:name w:val="ListLabel 244"/>
    <w:qFormat/>
    <w:rPr>
      <w:b w:val="false"/>
      <w:i w:val="false"/>
      <w:sz w:val="16"/>
    </w:rPr>
  </w:style>
  <w:style w:type="character" w:styleId="ListLabel245" w:customStyle="1">
    <w:name w:val="ListLabel 245"/>
    <w:qFormat/>
    <w:rPr>
      <w:b w:val="false"/>
      <w:i w:val="false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rsid w:val="00dc55c1"/>
    <w:rPr>
      <w:rFonts w:ascii="Arial Narrow" w:hAnsi="Arial Narrow" w:cs="Arial Narrow"/>
      <w:color w:val="00000A"/>
      <w:szCs w:val="20"/>
      <w:lang w:eastAsia="cs-CZ"/>
    </w:rPr>
  </w:style>
  <w:style w:type="character" w:styleId="ListLabel246">
    <w:name w:val="ListLabel 246"/>
    <w:qFormat/>
    <w:rPr>
      <w:rFonts w:cs="Arial"/>
      <w:b/>
      <w:bCs/>
      <w:i w:val="false"/>
      <w:iCs w:val="false"/>
      <w:sz w:val="24"/>
      <w:szCs w:val="24"/>
    </w:rPr>
  </w:style>
  <w:style w:type="character" w:styleId="ListLabel247">
    <w:name w:val="ListLabel 247"/>
    <w:qFormat/>
    <w:rPr>
      <w:rFonts w:cs="Arial"/>
      <w:b/>
      <w:bCs/>
      <w:i w:val="false"/>
      <w:iCs w:val="false"/>
      <w:sz w:val="24"/>
      <w:szCs w:val="24"/>
    </w:rPr>
  </w:style>
  <w:style w:type="character" w:styleId="ListLabel248">
    <w:name w:val="ListLabel 248"/>
    <w:qFormat/>
    <w:rPr>
      <w:rFonts w:cs="Arial"/>
      <w:b/>
      <w:bCs/>
      <w:i w:val="false"/>
      <w:iCs w:val="false"/>
      <w:sz w:val="24"/>
      <w:szCs w:val="24"/>
    </w:rPr>
  </w:style>
  <w:style w:type="character" w:styleId="ListLabel249">
    <w:name w:val="ListLabel 249"/>
    <w:qFormat/>
    <w:rPr>
      <w:rFonts w:cs="Arial"/>
      <w:b/>
      <w:bCs/>
      <w:i w:val="false"/>
      <w:iCs w:val="false"/>
      <w:sz w:val="24"/>
      <w:szCs w:val="24"/>
    </w:rPr>
  </w:style>
  <w:style w:type="character" w:styleId="ListLabel250">
    <w:name w:val="ListLabel 250"/>
    <w:qFormat/>
    <w:rPr>
      <w:rFonts w:cs="Arial"/>
      <w:b/>
      <w:bCs/>
      <w:i w:val="false"/>
      <w:iCs w:val="false"/>
      <w:sz w:val="24"/>
      <w:szCs w:val="24"/>
    </w:rPr>
  </w:style>
  <w:style w:type="character" w:styleId="ListLabel251">
    <w:name w:val="ListLabel 251"/>
    <w:qFormat/>
    <w:rPr>
      <w:rFonts w:cs="Arial"/>
      <w:b/>
      <w:bCs/>
      <w:i w:val="false"/>
      <w:iCs w:val="false"/>
      <w:sz w:val="24"/>
      <w:szCs w:val="24"/>
    </w:rPr>
  </w:style>
  <w:style w:type="character" w:styleId="ListLabel252">
    <w:name w:val="ListLabel 252"/>
    <w:qFormat/>
    <w:rPr>
      <w:rFonts w:cs="Arial"/>
      <w:b/>
      <w:bCs/>
      <w:i w:val="false"/>
      <w:iCs w:val="false"/>
      <w:sz w:val="24"/>
      <w:szCs w:val="24"/>
    </w:rPr>
  </w:style>
  <w:style w:type="character" w:styleId="ListLabel253">
    <w:name w:val="ListLabel 253"/>
    <w:qFormat/>
    <w:rPr>
      <w:rFonts w:cs="Arial"/>
      <w:b/>
      <w:bCs/>
      <w:i w:val="false"/>
      <w:iCs w:val="false"/>
      <w:sz w:val="24"/>
      <w:szCs w:val="24"/>
    </w:rPr>
  </w:style>
  <w:style w:type="character" w:styleId="ListLabel254">
    <w:name w:val="ListLabel 254"/>
    <w:qFormat/>
    <w:rPr>
      <w:rFonts w:cs="Arial"/>
      <w:b/>
      <w:bCs/>
      <w:i w:val="false"/>
      <w:iCs w:val="false"/>
      <w:sz w:val="24"/>
      <w:szCs w:val="24"/>
    </w:rPr>
  </w:style>
  <w:style w:type="character" w:styleId="ListLabel255">
    <w:name w:val="ListLabel 255"/>
    <w:qFormat/>
    <w:rPr>
      <w:rFonts w:cs="Arial"/>
      <w:b/>
      <w:bCs/>
      <w:i w:val="false"/>
      <w:iCs w:val="false"/>
      <w:sz w:val="24"/>
      <w:szCs w:val="24"/>
    </w:rPr>
  </w:style>
  <w:style w:type="character" w:styleId="ListLabel256">
    <w:name w:val="ListLabel 256"/>
    <w:qFormat/>
    <w:rPr>
      <w:rFonts w:cs="Arial"/>
      <w:b/>
      <w:bCs/>
      <w:i w:val="false"/>
      <w:iCs w:val="false"/>
      <w:sz w:val="24"/>
      <w:szCs w:val="24"/>
    </w:rPr>
  </w:style>
  <w:style w:type="character" w:styleId="ListLabel257">
    <w:name w:val="ListLabel 257"/>
    <w:qFormat/>
    <w:rPr>
      <w:rFonts w:cs="Arial"/>
      <w:b/>
      <w:bCs/>
      <w:i w:val="false"/>
      <w:iCs w:val="false"/>
      <w:sz w:val="24"/>
      <w:szCs w:val="24"/>
    </w:rPr>
  </w:style>
  <w:style w:type="character" w:styleId="ListLabel258">
    <w:name w:val="ListLabel 258"/>
    <w:qFormat/>
    <w:rPr>
      <w:rFonts w:cs="Arial"/>
      <w:b/>
      <w:bCs/>
      <w:i w:val="false"/>
      <w:iCs w:val="false"/>
      <w:sz w:val="24"/>
      <w:szCs w:val="24"/>
    </w:rPr>
  </w:style>
  <w:style w:type="character" w:styleId="ListLabel259">
    <w:name w:val="ListLabel 259"/>
    <w:qFormat/>
    <w:rPr>
      <w:rFonts w:cs="Arial"/>
      <w:b/>
      <w:bCs/>
      <w:i w:val="false"/>
      <w:iCs w:val="false"/>
      <w:sz w:val="24"/>
      <w:szCs w:val="24"/>
    </w:rPr>
  </w:style>
  <w:style w:type="character" w:styleId="ListLabel260">
    <w:name w:val="ListLabel 260"/>
    <w:qFormat/>
    <w:rPr>
      <w:rFonts w:cs="Arial"/>
      <w:b/>
      <w:bCs/>
      <w:i w:val="false"/>
      <w:iCs w:val="false"/>
      <w:sz w:val="24"/>
      <w:szCs w:val="24"/>
    </w:rPr>
  </w:style>
  <w:style w:type="character" w:styleId="ListLabel261">
    <w:name w:val="ListLabel 261"/>
    <w:qFormat/>
    <w:rPr>
      <w:rFonts w:cs="Arial"/>
      <w:b/>
      <w:bCs/>
      <w:i w:val="false"/>
      <w:iCs w:val="false"/>
      <w:sz w:val="24"/>
      <w:szCs w:val="24"/>
    </w:rPr>
  </w:style>
  <w:style w:type="character" w:styleId="ListLabel262">
    <w:name w:val="ListLabel 262"/>
    <w:qFormat/>
    <w:rPr>
      <w:rFonts w:cs="Arial"/>
      <w:b/>
      <w:bCs/>
      <w:i w:val="false"/>
      <w:iCs w:val="false"/>
      <w:sz w:val="24"/>
      <w:szCs w:val="24"/>
    </w:rPr>
  </w:style>
  <w:style w:type="character" w:styleId="ListLabel263">
    <w:name w:val="ListLabel 263"/>
    <w:qFormat/>
    <w:rPr>
      <w:rFonts w:cs="Arial"/>
      <w:b/>
      <w:bCs/>
      <w:i w:val="false"/>
      <w:iCs w:val="false"/>
      <w:sz w:val="24"/>
      <w:szCs w:val="24"/>
    </w:rPr>
  </w:style>
  <w:style w:type="character" w:styleId="ListLabel264">
    <w:name w:val="ListLabel 264"/>
    <w:qFormat/>
    <w:rPr>
      <w:rFonts w:cs="Arial"/>
      <w:b/>
      <w:bCs/>
      <w:i w:val="false"/>
      <w:iCs w:val="false"/>
      <w:sz w:val="24"/>
      <w:szCs w:val="24"/>
    </w:rPr>
  </w:style>
  <w:style w:type="character" w:styleId="ListLabel265">
    <w:name w:val="ListLabel 265"/>
    <w:qFormat/>
    <w:rPr>
      <w:rFonts w:cs="Arial"/>
      <w:b/>
      <w:bCs/>
      <w:i w:val="false"/>
      <w:iCs w:val="false"/>
      <w:sz w:val="24"/>
      <w:szCs w:val="24"/>
    </w:rPr>
  </w:style>
  <w:style w:type="character" w:styleId="ListLabel266">
    <w:name w:val="ListLabel 266"/>
    <w:qFormat/>
    <w:rPr>
      <w:rFonts w:cs="Arial"/>
      <w:b/>
      <w:bCs/>
      <w:i w:val="false"/>
      <w:iCs w:val="false"/>
      <w:sz w:val="24"/>
      <w:szCs w:val="24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Hlavika">
    <w:name w:val="Header"/>
    <w:basedOn w:val="Normal"/>
    <w:link w:val="HlavikaChar"/>
    <w:uiPriority w:val="99"/>
    <w:rsid w:val="00c770ad"/>
    <w:pPr>
      <w:tabs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Obsahrmca" w:customStyle="1">
    <w:name w:val="Obsah rámca"/>
    <w:basedOn w:val="Normal"/>
    <w:qFormat/>
    <w:pPr/>
    <w:rPr/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dc55c1"/>
    <w:pPr>
      <w:spacing w:lineRule="auto" w:line="480"/>
      <w:ind w:left="283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Application>LibreOffice/5.3.3.2$Windows_X86_64 LibreOffice_project/3d9a8b4b4e538a85e0782bd6c2d430bafe583448</Application>
  <Pages>6</Pages>
  <Words>1130</Words>
  <Characters>6812</Characters>
  <CharactersWithSpaces>8099</CharactersWithSpaces>
  <Paragraphs>283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2018-03-23T07:32:00Z</dcterms:created>
  <dc:creator>Vrbova</dc:creator>
  <dc:description/>
  <dc:language>sk-SK</dc:language>
  <cp:lastModifiedBy/>
  <cp:lastPrinted>2020-02-19T11:23:56Z</cp:lastPrinted>
  <dcterms:modified xsi:type="dcterms:W3CDTF">2022-03-24T11:17:45Z</dcterms:modified>
  <cp:revision>23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