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tabs>
          <w:tab w:val="left" w:pos="3540"/>
          <w:tab w:val="left" w:pos="4060"/>
          <w:tab w:val="left" w:pos="7220"/>
          <w:tab w:val="left" w:pos="7740"/>
        </w:tabs>
        <w:rPr>
          <w:sz w:val="20"/>
          <w:szCs w:val="20"/>
        </w:rPr>
      </w:pPr>
      <w:bookmarkStart w:id="0" w:name="page1"/>
      <w:bookmarkEnd w:id="0"/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1312" behindDoc="1" locked="0" layoutInCell="0" allowOverlap="1">
            <wp:simplePos x="0" y="0"/>
            <wp:positionH relativeFrom="page">
              <wp:posOffset>5833745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page">
              <wp:posOffset>5977255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3360" behindDoc="1" locked="0" layoutInCell="0" allowOverlap="1">
            <wp:simplePos x="0" y="0"/>
            <wp:positionH relativeFrom="page">
              <wp:posOffset>6121400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4384" behindDoc="1" locked="0" layoutInCell="0" allowOverlap="1">
            <wp:simplePos x="0" y="0"/>
            <wp:positionH relativeFrom="page">
              <wp:posOffset>6265545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5408" behindDoc="1" locked="0" layoutInCell="0" allowOverlap="1">
            <wp:simplePos x="0" y="0"/>
            <wp:positionH relativeFrom="page">
              <wp:posOffset>6409690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6432" behindDoc="1" locked="0" layoutInCell="0" allowOverlap="1">
            <wp:simplePos x="0" y="0"/>
            <wp:positionH relativeFrom="page">
              <wp:posOffset>6553835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7456" behindDoc="1" locked="0" layoutInCell="0" allowOverlap="1">
            <wp:simplePos x="0" y="0"/>
            <wp:positionH relativeFrom="page">
              <wp:posOffset>6697345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8480" behindDoc="1" locked="0" layoutInCell="0" allowOverlap="1">
            <wp:simplePos x="0" y="0"/>
            <wp:positionH relativeFrom="page">
              <wp:posOffset>6841490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page">
              <wp:posOffset>6985635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page">
              <wp:posOffset>3493770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2576" behindDoc="1" locked="0" layoutInCell="0" allowOverlap="1">
            <wp:simplePos x="0" y="0"/>
            <wp:positionH relativeFrom="page">
              <wp:posOffset>3637280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3600" behindDoc="1" locked="0" layoutInCell="0" allowOverlap="1">
            <wp:simplePos x="0" y="0"/>
            <wp:positionH relativeFrom="page">
              <wp:posOffset>3781425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4624" behindDoc="1" locked="0" layoutInCell="0" allowOverlap="1">
            <wp:simplePos x="0" y="0"/>
            <wp:positionH relativeFrom="page">
              <wp:posOffset>3925570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5648" behindDoc="1" locked="0" layoutInCell="0" allowOverlap="1">
            <wp:simplePos x="0" y="0"/>
            <wp:positionH relativeFrom="page">
              <wp:posOffset>4069715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page">
              <wp:posOffset>4213225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page">
              <wp:posOffset>4357370</wp:posOffset>
            </wp:positionH>
            <wp:positionV relativeFrom="page">
              <wp:posOffset>397510</wp:posOffset>
            </wp:positionV>
            <wp:extent cx="9525" cy="22542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eastAsia="Arial" w:cs="Arial"/>
          <w:sz w:val="20"/>
          <w:szCs w:val="20"/>
        </w:rPr>
        <w:t>Poznámky Úč MÚJ 3 - 01</w:t>
      </w:r>
      <w:r>
        <w:rPr>
          <w:sz w:val="20"/>
          <w:szCs w:val="20"/>
        </w:rPr>
        <w:tab/>
      </w:r>
      <w:r>
        <w:rPr>
          <w:rFonts w:ascii="Arial" w:hAnsi="Arial" w:eastAsia="Arial" w:cs="Arial"/>
          <w:sz w:val="20"/>
          <w:szCs w:val="20"/>
        </w:rPr>
        <w:t>IČO</w:t>
      </w:r>
      <w:r>
        <w:rPr>
          <w:rFonts w:ascii="Arial" w:hAnsi="Arial" w:eastAsia="Arial" w:cs="Arial"/>
          <w:sz w:val="20"/>
          <w:szCs w:val="20"/>
        </w:rPr>
        <w:tab/>
      </w:r>
      <w:r>
        <w:rPr>
          <w:rFonts w:ascii="Arial" w:hAnsi="Arial" w:eastAsia="Arial" w:cs="Arial"/>
          <w:sz w:val="20"/>
          <w:szCs w:val="20"/>
          <w:bdr w:val="single" w:color="auto" w:sz="4" w:space="0"/>
        </w:rPr>
        <w:t>3  6  8  1  5  7  7  2</w:t>
      </w:r>
      <w:r>
        <w:rPr>
          <w:sz w:val="20"/>
          <w:szCs w:val="20"/>
        </w:rPr>
        <w:tab/>
      </w:r>
      <w:r>
        <w:rPr>
          <w:rFonts w:ascii="Arial" w:hAnsi="Arial" w:eastAsia="Arial" w:cs="Arial"/>
          <w:sz w:val="20"/>
          <w:szCs w:val="20"/>
        </w:rPr>
        <w:t>DIČ</w:t>
      </w:r>
      <w:r>
        <w:rPr>
          <w:rFonts w:ascii="Arial" w:hAnsi="Arial" w:eastAsia="Arial" w:cs="Arial"/>
          <w:sz w:val="20"/>
          <w:szCs w:val="20"/>
        </w:rPr>
        <w:tab/>
      </w:r>
      <w:r>
        <w:rPr>
          <w:rFonts w:ascii="Arial" w:hAnsi="Arial" w:eastAsia="Arial" w:cs="Arial"/>
          <w:sz w:val="20"/>
          <w:szCs w:val="20"/>
        </w:rPr>
        <w:t>2  0  2  2  4  2  5  2  0  7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  <w:between w:val="single" w:color="auto" w:sz="4" w:space="1"/>
        </w:pBdr>
        <w:sectPr>
          <w:pgSz w:w="11920" w:h="16845"/>
          <w:pgMar w:top="673" w:right="970" w:bottom="929" w:left="1020" w:header="0" w:footer="0" w:gutter="0"/>
          <w:cols w:equalWidth="0" w:num="1">
            <w:col w:w="9920"/>
          </w:cols>
        </w:sect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200" w:lineRule="exact"/>
        <w:rPr>
          <w:sz w:val="24"/>
          <w:szCs w:val="24"/>
        </w:rPr>
      </w:pPr>
    </w:p>
    <w:p>
      <w:pPr>
        <w:spacing w:line="320" w:lineRule="exact"/>
        <w:rPr>
          <w:sz w:val="24"/>
          <w:szCs w:val="24"/>
        </w:rPr>
      </w:pPr>
    </w:p>
    <w:p>
      <w:pPr>
        <w:ind w:left="620"/>
        <w:rPr>
          <w:rFonts w:hint="default"/>
          <w:sz w:val="20"/>
          <w:szCs w:val="20"/>
          <w:lang w:val="sk-SK"/>
        </w:rPr>
      </w:pPr>
      <w:r>
        <w:rPr>
          <w:rFonts w:ascii="Arial" w:hAnsi="Arial" w:eastAsia="Arial" w:cs="Arial"/>
          <w:b/>
          <w:bCs/>
          <w:sz w:val="36"/>
          <w:szCs w:val="36"/>
        </w:rPr>
        <w:t>Poznámky k účtovnej závierke za rok 202</w:t>
      </w:r>
      <w:r>
        <w:rPr>
          <w:rFonts w:hint="default" w:ascii="Arial" w:hAnsi="Arial" w:eastAsia="Arial" w:cs="Arial"/>
          <w:b/>
          <w:bCs/>
          <w:sz w:val="36"/>
          <w:szCs w:val="36"/>
          <w:lang w:val="sk-SK"/>
        </w:rPr>
        <w:t>1</w:t>
      </w:r>
    </w:p>
    <w:p>
      <w:pPr>
        <w:spacing w:line="245" w:lineRule="exact"/>
        <w:rPr>
          <w:sz w:val="24"/>
          <w:szCs w:val="24"/>
        </w:rPr>
      </w:pPr>
    </w:p>
    <w:tbl>
      <w:tblPr>
        <w:tblStyle w:val="3"/>
        <w:tblW w:w="0" w:type="auto"/>
        <w:tblInd w:w="1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20"/>
        <w:gridCol w:w="79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1720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Obchodné meno:</w:t>
            </w:r>
          </w:p>
        </w:tc>
        <w:tc>
          <w:tcPr>
            <w:tcW w:w="79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C&amp;F consorcium s.r.o.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17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" w:hRule="atLeast"/>
        </w:trPr>
        <w:tc>
          <w:tcPr>
            <w:tcW w:w="172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Sídlo:</w:t>
            </w:r>
          </w:p>
        </w:tc>
        <w:tc>
          <w:tcPr>
            <w:tcW w:w="7940" w:type="dxa"/>
            <w:tcBorders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Gorkého 14,085 01Bardejov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17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" w:hRule="atLeast"/>
        </w:trPr>
        <w:tc>
          <w:tcPr>
            <w:tcW w:w="172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Právna forma:</w:t>
            </w:r>
          </w:p>
        </w:tc>
        <w:tc>
          <w:tcPr>
            <w:tcW w:w="7940" w:type="dxa"/>
            <w:tcBorders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s.r.o.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17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17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Dátum vzniku:</w:t>
            </w:r>
          </w:p>
        </w:tc>
        <w:tc>
          <w:tcPr>
            <w:tcW w:w="79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08.08.2007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 w:hRule="atLeast"/>
        </w:trPr>
        <w:tc>
          <w:tcPr>
            <w:tcW w:w="172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Hlavný predmet</w:t>
            </w:r>
          </w:p>
        </w:tc>
        <w:tc>
          <w:tcPr>
            <w:tcW w:w="7940" w:type="dxa"/>
            <w:tcBorders>
              <w:right w:val="single" w:color="auto" w:sz="8" w:space="0"/>
            </w:tcBorders>
            <w:vAlign w:val="bottom"/>
          </w:tcPr>
          <w:p>
            <w:pPr>
              <w:spacing w:line="227" w:lineRule="exact"/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ostatné finančné služby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7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1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podnikania:</w:t>
            </w:r>
          </w:p>
        </w:tc>
        <w:tc>
          <w:tcPr>
            <w:tcW w:w="79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72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Štaturárny orgán:</w:t>
            </w:r>
          </w:p>
        </w:tc>
        <w:tc>
          <w:tcPr>
            <w:tcW w:w="7940" w:type="dxa"/>
            <w:tcBorders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Martin Jakubov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17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79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</w:tr>
    </w:tbl>
    <w:p>
      <w:pPr>
        <w:sectPr>
          <w:type w:val="continuous"/>
          <w:pgSz w:w="11920" w:h="16845"/>
          <w:pgMar w:top="673" w:right="970" w:bottom="929" w:left="1020" w:header="0" w:footer="0" w:gutter="0"/>
          <w:cols w:equalWidth="0" w:num="1">
            <w:col w:w="9920"/>
          </w:cols>
        </w:sectPr>
      </w:pPr>
    </w:p>
    <w:p>
      <w:pPr>
        <w:spacing w:line="1" w:lineRule="exact"/>
        <w:rPr>
          <w:sz w:val="20"/>
          <w:szCs w:val="20"/>
        </w:rPr>
      </w:pPr>
      <w:bookmarkStart w:id="1" w:name="page2"/>
      <w:bookmarkEnd w:id="1"/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520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color="auto" w:sz="8" w:space="0"/>
            </w:tcBorders>
            <w:vAlign w:val="bottom"/>
          </w:tcPr>
          <w:p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color="auto" w:sz="8" w:space="0"/>
            </w:tcBorders>
            <w:vAlign w:val="bottom"/>
          </w:tcPr>
          <w:p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7"/>
                <w:sz w:val="20"/>
                <w:szCs w:val="20"/>
              </w:rPr>
              <w:t>str.2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" w:hRule="atLeast"/>
        </w:trPr>
        <w:tc>
          <w:tcPr>
            <w:tcW w:w="25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line="133" w:lineRule="exact"/>
        <w:rPr>
          <w:sz w:val="20"/>
          <w:szCs w:val="20"/>
        </w:rPr>
      </w:pP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Čl. I - (3)</w:t>
      </w:r>
    </w:p>
    <w:p>
      <w:pPr>
        <w:spacing w:line="56" w:lineRule="exact"/>
        <w:rPr>
          <w:sz w:val="20"/>
          <w:szCs w:val="20"/>
        </w:rPr>
      </w:pPr>
    </w:p>
    <w:p>
      <w:pPr>
        <w:spacing w:line="274" w:lineRule="auto"/>
        <w:ind w:left="60" w:right="300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Dátum schválenia účtovnej závierky za bezprostredne predchádzajúce účtovné obdobie príslušným orgánom účtovnej jednotky.</w:t>
      </w:r>
    </w:p>
    <w:p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drawing>
          <wp:anchor distT="0" distB="0" distL="114300" distR="114300" simplePos="0" relativeHeight="251678720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39370</wp:posOffset>
            </wp:positionV>
            <wp:extent cx="6849745" cy="189230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78" w:lineRule="exact"/>
        <w:rPr>
          <w:sz w:val="20"/>
          <w:szCs w:val="20"/>
        </w:rPr>
      </w:pPr>
    </w:p>
    <w:p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účtovná závierka za r.2020 bola schválená 2</w:t>
      </w:r>
      <w:r>
        <w:rPr>
          <w:rFonts w:hint="default" w:ascii="Arial" w:hAnsi="Arial" w:eastAsia="Arial" w:cs="Arial"/>
          <w:sz w:val="20"/>
          <w:szCs w:val="20"/>
          <w:lang w:val="sk-SK"/>
        </w:rPr>
        <w:t>8</w:t>
      </w:r>
      <w:r>
        <w:rPr>
          <w:rFonts w:ascii="Arial" w:hAnsi="Arial" w:eastAsia="Arial" w:cs="Arial"/>
          <w:sz w:val="20"/>
          <w:szCs w:val="20"/>
        </w:rPr>
        <w:t>.3.202</w:t>
      </w:r>
      <w:r>
        <w:rPr>
          <w:rFonts w:hint="default" w:ascii="Arial" w:hAnsi="Arial" w:eastAsia="Arial" w:cs="Arial"/>
          <w:sz w:val="20"/>
          <w:szCs w:val="20"/>
          <w:lang w:val="sk-SK"/>
        </w:rPr>
        <w:t>2</w:t>
      </w:r>
    </w:p>
    <w:p>
      <w:pPr>
        <w:spacing w:line="51" w:lineRule="exact"/>
        <w:rPr>
          <w:rFonts w:ascii="Arial" w:hAnsi="Arial" w:eastAsia="Arial" w:cs="Arial"/>
          <w:sz w:val="20"/>
          <w:szCs w:val="20"/>
        </w:rPr>
      </w:pPr>
    </w:p>
    <w:p>
      <w:pPr>
        <w:ind w:left="60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Čl. I - (4)</w:t>
      </w:r>
    </w:p>
    <w:p>
      <w:pPr>
        <w:spacing w:line="55" w:lineRule="exact"/>
        <w:rPr>
          <w:rFonts w:ascii="Arial" w:hAnsi="Arial" w:eastAsia="Arial" w:cs="Arial"/>
          <w:sz w:val="20"/>
          <w:szCs w:val="20"/>
        </w:rPr>
      </w:pPr>
    </w:p>
    <w:p>
      <w:pPr>
        <w:ind w:left="60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Právny dôvod na zostavenie účtovnej závierky.</w:t>
      </w:r>
    </w:p>
    <w:p>
      <w:pPr>
        <w:spacing w:line="53" w:lineRule="exact"/>
        <w:rPr>
          <w:rFonts w:ascii="Arial" w:hAnsi="Arial" w:eastAsia="Arial" w:cs="Arial"/>
          <w:sz w:val="20"/>
          <w:szCs w:val="20"/>
        </w:rPr>
      </w:pPr>
    </w:p>
    <w:p>
      <w:pPr>
        <w:numPr>
          <w:ilvl w:val="0"/>
          <w:numId w:val="1"/>
        </w:numPr>
        <w:tabs>
          <w:tab w:val="left" w:pos="180"/>
        </w:tabs>
        <w:ind w:left="180" w:hanging="11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účtovná jednotka zostavila riadnu účtovnú závierku k 31.12.202</w:t>
      </w:r>
      <w:r>
        <w:rPr>
          <w:rFonts w:hint="default" w:ascii="Arial" w:hAnsi="Arial" w:eastAsia="Arial" w:cs="Arial"/>
          <w:sz w:val="20"/>
          <w:szCs w:val="20"/>
          <w:lang w:val="sk-SK"/>
        </w:rPr>
        <w:t>1</w:t>
      </w:r>
      <w:bookmarkStart w:id="5" w:name="_GoBack"/>
      <w:bookmarkEnd w:id="5"/>
    </w:p>
    <w:p>
      <w:pPr>
        <w:spacing w:line="51" w:lineRule="exact"/>
        <w:rPr>
          <w:rFonts w:ascii="Arial" w:hAnsi="Arial" w:eastAsia="Arial" w:cs="Arial"/>
          <w:sz w:val="20"/>
          <w:szCs w:val="20"/>
        </w:rPr>
      </w:pPr>
    </w:p>
    <w:p>
      <w:pPr>
        <w:ind w:left="60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Čl. I - (5)</w:t>
      </w:r>
    </w:p>
    <w:p>
      <w:pPr>
        <w:spacing w:line="55" w:lineRule="exact"/>
        <w:rPr>
          <w:rFonts w:ascii="Arial" w:hAnsi="Arial" w:eastAsia="Arial" w:cs="Arial"/>
          <w:sz w:val="20"/>
          <w:szCs w:val="20"/>
        </w:rPr>
      </w:pPr>
    </w:p>
    <w:p>
      <w:pPr>
        <w:ind w:left="60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Údaje o skupine, a to:</w:t>
      </w:r>
    </w:p>
    <w:p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drawing>
          <wp:anchor distT="0" distB="0" distL="114300" distR="114300" simplePos="0" relativeHeight="251679744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-528320</wp:posOffset>
            </wp:positionV>
            <wp:extent cx="6849745" cy="18923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49745" cy="189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08" w:lineRule="exact"/>
        <w:rPr>
          <w:sz w:val="20"/>
          <w:szCs w:val="20"/>
        </w:rPr>
      </w:pPr>
    </w:p>
    <w:p>
      <w:pPr>
        <w:numPr>
          <w:ilvl w:val="0"/>
          <w:numId w:val="2"/>
        </w:numPr>
        <w:tabs>
          <w:tab w:val="left" w:pos="293"/>
        </w:tabs>
        <w:spacing w:line="274" w:lineRule="auto"/>
        <w:ind w:left="6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obchodné meno a sídlo účtovnej jednotky, ktorá zostavuje konsolidovanú účtovnú závierku za najväčšiu skupinu, ktorej súčasťou je účtovná jednotka ako dcérska účtovná jednotka,</w:t>
      </w:r>
    </w:p>
    <w:p>
      <w:pPr>
        <w:spacing w:line="162" w:lineRule="exact"/>
        <w:rPr>
          <w:rFonts w:ascii="Arial" w:hAnsi="Arial" w:eastAsia="Arial" w:cs="Arial"/>
          <w:sz w:val="20"/>
          <w:szCs w:val="20"/>
        </w:rPr>
      </w:pPr>
    </w:p>
    <w:p>
      <w:pPr>
        <w:numPr>
          <w:ilvl w:val="0"/>
          <w:numId w:val="2"/>
        </w:numPr>
        <w:tabs>
          <w:tab w:val="left" w:pos="293"/>
        </w:tabs>
        <w:spacing w:line="256" w:lineRule="auto"/>
        <w:ind w:left="60" w:right="44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>
      <w:pPr>
        <w:spacing w:line="180" w:lineRule="exact"/>
        <w:rPr>
          <w:rFonts w:ascii="Arial" w:hAnsi="Arial" w:eastAsia="Arial" w:cs="Arial"/>
          <w:sz w:val="20"/>
          <w:szCs w:val="20"/>
        </w:rPr>
      </w:pPr>
    </w:p>
    <w:p>
      <w:pPr>
        <w:numPr>
          <w:ilvl w:val="0"/>
          <w:numId w:val="2"/>
        </w:numPr>
        <w:tabs>
          <w:tab w:val="left" w:pos="280"/>
        </w:tabs>
        <w:ind w:left="280" w:hanging="21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adresa, kde sa môže vyžiadať kópia konsolidovaných účtovných závierok uvedených v písmenách a) a b),</w:t>
      </w:r>
    </w:p>
    <w:p>
      <w:pPr>
        <w:spacing w:line="228" w:lineRule="exact"/>
        <w:rPr>
          <w:rFonts w:ascii="Arial" w:hAnsi="Arial" w:eastAsia="Arial" w:cs="Arial"/>
          <w:sz w:val="20"/>
          <w:szCs w:val="20"/>
        </w:rPr>
      </w:pPr>
    </w:p>
    <w:p>
      <w:pPr>
        <w:numPr>
          <w:ilvl w:val="0"/>
          <w:numId w:val="2"/>
        </w:numPr>
        <w:tabs>
          <w:tab w:val="left" w:pos="293"/>
        </w:tabs>
        <w:spacing w:line="274" w:lineRule="auto"/>
        <w:ind w:left="60" w:right="116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>
      <w:pPr>
        <w:spacing w:line="162" w:lineRule="exact"/>
        <w:rPr>
          <w:rFonts w:ascii="Arial" w:hAnsi="Arial" w:eastAsia="Arial" w:cs="Arial"/>
          <w:sz w:val="20"/>
          <w:szCs w:val="20"/>
        </w:rPr>
      </w:pPr>
    </w:p>
    <w:p>
      <w:pPr>
        <w:numPr>
          <w:ilvl w:val="1"/>
          <w:numId w:val="2"/>
        </w:numPr>
        <w:tabs>
          <w:tab w:val="left" w:pos="500"/>
        </w:tabs>
        <w:spacing w:line="239" w:lineRule="auto"/>
        <w:ind w:left="500" w:right="920" w:hanging="214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pri oslobodení podľa § 22 ods. 8 zákona obchodné meno a sídlo materskej účtovnej jednotky zostavujúcej konsolidovanú účtovnú závierku podľa osobitných predpisov,12)</w:t>
      </w:r>
    </w:p>
    <w:p>
      <w:pPr>
        <w:numPr>
          <w:ilvl w:val="1"/>
          <w:numId w:val="2"/>
        </w:numPr>
        <w:tabs>
          <w:tab w:val="left" w:pos="500"/>
        </w:tabs>
        <w:ind w:left="500" w:hanging="214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pri oslobodení podľa § 22 ods. 10 a 12 zákona obchodné meno a sídlo dcérskych účtovných jednotiek.</w:t>
      </w:r>
    </w:p>
    <w:p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drawing>
          <wp:anchor distT="0" distB="0" distL="114300" distR="114300" simplePos="0" relativeHeight="251680768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6849745" cy="32385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49745" cy="323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51" w:lineRule="exact"/>
        <w:rPr>
          <w:sz w:val="20"/>
          <w:szCs w:val="20"/>
        </w:rPr>
      </w:pPr>
    </w:p>
    <w:p>
      <w:pPr>
        <w:numPr>
          <w:ilvl w:val="0"/>
          <w:numId w:val="3"/>
        </w:numPr>
        <w:tabs>
          <w:tab w:val="left" w:pos="182"/>
        </w:tabs>
        <w:spacing w:line="257" w:lineRule="auto"/>
        <w:ind w:left="6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účtovná jednotka nezostavuje konsolidovanú účtovnú závierku, ani sa nezahrňa do konsolidovanej účtovnej závierky ine spoločnosti.</w:t>
      </w:r>
    </w:p>
    <w:p>
      <w:pPr>
        <w:spacing w:line="1" w:lineRule="exact"/>
        <w:rPr>
          <w:sz w:val="20"/>
          <w:szCs w:val="20"/>
        </w:rPr>
      </w:pPr>
    </w:p>
    <w:p>
      <w:pPr>
        <w:spacing w:line="251" w:lineRule="auto"/>
        <w:ind w:left="60" w:right="1300"/>
        <w:jc w:val="both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 xml:space="preserve">Čl. I - (6) </w:t>
      </w:r>
      <w:r>
        <w:rPr>
          <w:rFonts w:ascii="Arial" w:hAnsi="Arial" w:eastAsia="Arial" w:cs="Arial"/>
          <w:sz w:val="20"/>
          <w:szCs w:val="20"/>
        </w:rPr>
        <w:t>Priemerný prepočítaný počet zamestnancov účtovnej jednotky počas účtovného obdobia, počet</w:t>
      </w:r>
      <w:r>
        <w:rPr>
          <w:rFonts w:ascii="Arial" w:hAnsi="Arial" w:eastAsia="Arial" w:cs="Arial"/>
          <w:b/>
          <w:bCs/>
          <w:sz w:val="20"/>
          <w:szCs w:val="20"/>
        </w:rPr>
        <w:t xml:space="preserve"> </w:t>
      </w:r>
      <w:r>
        <w:rPr>
          <w:rFonts w:ascii="Arial" w:hAnsi="Arial" w:eastAsia="Arial" w:cs="Arial"/>
          <w:sz w:val="20"/>
          <w:szCs w:val="20"/>
        </w:rPr>
        <w:t>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>
      <w:pPr>
        <w:spacing w:line="4" w:lineRule="exact"/>
        <w:rPr>
          <w:sz w:val="20"/>
          <w:szCs w:val="20"/>
        </w:rPr>
      </w:pP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Tabuľka 1: Informácie k Čl. I odst. 6 o počte zamestnancov</w:t>
      </w:r>
    </w:p>
    <w:p>
      <w:pPr>
        <w:spacing w:line="17" w:lineRule="exact"/>
        <w:rPr>
          <w:sz w:val="20"/>
          <w:szCs w:val="20"/>
        </w:rPr>
      </w:pPr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80"/>
        <w:gridCol w:w="3180"/>
        <w:gridCol w:w="3340"/>
        <w:gridCol w:w="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428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15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80" w:type="dxa"/>
            <w:vMerge w:val="restart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523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3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264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" w:hRule="atLeast"/>
        </w:trPr>
        <w:tc>
          <w:tcPr>
            <w:tcW w:w="428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31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564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428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31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33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" w:hRule="atLeast"/>
        </w:trPr>
        <w:tc>
          <w:tcPr>
            <w:tcW w:w="428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</w:trPr>
        <w:tc>
          <w:tcPr>
            <w:tcW w:w="428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18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" w:hRule="atLeast"/>
        </w:trPr>
        <w:tc>
          <w:tcPr>
            <w:tcW w:w="428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1" w:hRule="atLeast"/>
        </w:trPr>
        <w:tc>
          <w:tcPr>
            <w:tcW w:w="428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Stav zamestnancov ku dňu, ku ktorému</w:t>
            </w:r>
          </w:p>
        </w:tc>
        <w:tc>
          <w:tcPr>
            <w:tcW w:w="31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" w:hRule="atLeast"/>
        </w:trPr>
        <w:tc>
          <w:tcPr>
            <w:tcW w:w="4280" w:type="dxa"/>
            <w:vMerge w:val="restart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sa zostavuje účtovná závierka, z toho:</w:t>
            </w:r>
          </w:p>
        </w:tc>
        <w:tc>
          <w:tcPr>
            <w:tcW w:w="31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33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" w:hRule="atLeast"/>
        </w:trPr>
        <w:tc>
          <w:tcPr>
            <w:tcW w:w="428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0"/>
                <w:szCs w:val="10"/>
              </w:rPr>
            </w:pPr>
          </w:p>
        </w:tc>
        <w:tc>
          <w:tcPr>
            <w:tcW w:w="31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0"/>
                <w:szCs w:val="10"/>
              </w:rPr>
            </w:pPr>
          </w:p>
        </w:tc>
        <w:tc>
          <w:tcPr>
            <w:tcW w:w="33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" w:hRule="atLeast"/>
        </w:trPr>
        <w:tc>
          <w:tcPr>
            <w:tcW w:w="428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31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33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428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318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33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428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4"/>
                <w:szCs w:val="4"/>
              </w:rPr>
            </w:pPr>
          </w:p>
        </w:tc>
        <w:tc>
          <w:tcPr>
            <w:tcW w:w="31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4"/>
                <w:szCs w:val="4"/>
              </w:rPr>
            </w:pPr>
          </w:p>
        </w:tc>
        <w:tc>
          <w:tcPr>
            <w:tcW w:w="33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4"/>
                <w:szCs w:val="4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</w:tbl>
    <w:p>
      <w:pPr>
        <w:spacing w:line="20" w:lineRule="exact"/>
        <w:rPr>
          <w:sz w:val="20"/>
          <w:szCs w:val="20"/>
        </w:rPr>
      </w:pPr>
    </w:p>
    <w:p>
      <w:pPr>
        <w:spacing w:line="239" w:lineRule="auto"/>
        <w:ind w:left="60" w:right="110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 xml:space="preserve">Čl.II - (2) </w:t>
      </w:r>
      <w:r>
        <w:rPr>
          <w:rFonts w:ascii="Arial" w:hAnsi="Arial" w:eastAsia="Arial" w:cs="Arial"/>
          <w:sz w:val="20"/>
          <w:szCs w:val="20"/>
        </w:rPr>
        <w:t>Informácia o aplikácií účtovných zásad a účtovných metód, ktoré sú dôležité na posúdenie majetku,</w:t>
      </w:r>
      <w:r>
        <w:rPr>
          <w:rFonts w:ascii="Arial" w:hAnsi="Arial" w:eastAsia="Arial" w:cs="Arial"/>
          <w:b/>
          <w:bCs/>
          <w:sz w:val="20"/>
          <w:szCs w:val="20"/>
        </w:rPr>
        <w:t xml:space="preserve"> </w:t>
      </w:r>
      <w:r>
        <w:rPr>
          <w:rFonts w:ascii="Arial" w:hAnsi="Arial" w:eastAsia="Arial" w:cs="Arial"/>
          <w:sz w:val="20"/>
          <w:szCs w:val="20"/>
        </w:rPr>
        <w:t>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</w:t>
      </w:r>
    </w:p>
    <w:p>
      <w:pPr>
        <w:spacing w:line="3" w:lineRule="exact"/>
        <w:rPr>
          <w:sz w:val="20"/>
          <w:szCs w:val="20"/>
        </w:rPr>
      </w:pPr>
    </w:p>
    <w:p>
      <w:pPr>
        <w:spacing w:line="301" w:lineRule="auto"/>
        <w:ind w:left="60" w:right="1860"/>
        <w:rPr>
          <w:sz w:val="20"/>
          <w:szCs w:val="20"/>
        </w:rPr>
      </w:pPr>
      <w:r>
        <w:rPr>
          <w:rFonts w:ascii="Arial" w:hAnsi="Arial" w:eastAsia="Arial" w:cs="Arial"/>
          <w:sz w:val="19"/>
          <w:szCs w:val="19"/>
        </w:rPr>
        <w:t>a účtovných metód nie sú hodnoty za bezprostredne predchádzajúce účtovné obdobie v jednotlivých súčastiach účtovnej závierky porovnateľné, uvádza sa vysvetlenie o neporovnateľných hodnotách.</w:t>
      </w:r>
    </w:p>
    <w:p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drawing>
          <wp:anchor distT="0" distB="0" distL="114300" distR="114300" simplePos="0" relativeHeight="251681792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-17145</wp:posOffset>
            </wp:positionV>
            <wp:extent cx="6849745" cy="18986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497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- účtovná jednotka účtuje v sústave PÚ.</w:t>
      </w:r>
    </w:p>
    <w:p>
      <w:pPr>
        <w:sectPr>
          <w:pgSz w:w="11920" w:h="16845"/>
          <w:pgMar w:top="549" w:right="550" w:bottom="1440" w:left="560" w:header="0" w:footer="0" w:gutter="0"/>
          <w:cols w:equalWidth="0" w:num="1">
            <w:col w:w="10800"/>
          </w:cols>
        </w:sectPr>
      </w:pPr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520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Arial" w:hAnsi="Arial" w:eastAsia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color="auto" w:sz="8" w:space="0"/>
            </w:tcBorders>
            <w:vAlign w:val="bottom"/>
          </w:tcPr>
          <w:p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color="auto" w:sz="8" w:space="0"/>
            </w:tcBorders>
            <w:vAlign w:val="bottom"/>
          </w:tcPr>
          <w:p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7"/>
                <w:sz w:val="20"/>
                <w:szCs w:val="20"/>
              </w:rPr>
              <w:t>str.3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" w:hRule="atLeast"/>
        </w:trPr>
        <w:tc>
          <w:tcPr>
            <w:tcW w:w="25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line="133" w:lineRule="exact"/>
        <w:rPr>
          <w:sz w:val="20"/>
          <w:szCs w:val="20"/>
        </w:rPr>
      </w:pPr>
    </w:p>
    <w:p>
      <w:pPr>
        <w:ind w:left="460" w:right="1160" w:hanging="388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 xml:space="preserve">Čl.II - (4) </w:t>
      </w:r>
      <w:r>
        <w:rPr>
          <w:rFonts w:ascii="Arial" w:hAnsi="Arial" w:eastAsia="Arial" w:cs="Arial"/>
          <w:sz w:val="20"/>
          <w:szCs w:val="20"/>
        </w:rPr>
        <w:t>Spôsob a určenie ocenenia majetku a záväzkov vrátane určenia rozhodujúcich účtovných odhadov</w:t>
      </w:r>
      <w:r>
        <w:rPr>
          <w:rFonts w:ascii="Arial" w:hAnsi="Arial" w:eastAsia="Arial" w:cs="Arial"/>
          <w:b/>
          <w:bCs/>
          <w:sz w:val="20"/>
          <w:szCs w:val="20"/>
        </w:rPr>
        <w:t xml:space="preserve"> </w:t>
      </w:r>
      <w:r>
        <w:rPr>
          <w:rFonts w:ascii="Arial" w:hAnsi="Arial" w:eastAsia="Arial" w:cs="Arial"/>
          <w:sz w:val="20"/>
          <w:szCs w:val="20"/>
        </w:rPr>
        <w:t>a predpokladov, pričom sa zohľadňuje zásada významnosti. Uvádza sa najmä</w:t>
      </w:r>
    </w:p>
    <w:p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188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obstarávacia cena, vlastné náklady, menovitá hodnota, reálna hodnota, hodnota zistená metódou vlastného imania, aktivovanie úrokov tvoriacich súčasť ocenenia majetku a záväzkov,</w:t>
      </w:r>
    </w:p>
    <w:p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určenie odhadu zníženia hodnoty majetku a tvorba opravnej položky k majetku,</w:t>
      </w:r>
    </w:p>
    <w:p>
      <w:pPr>
        <w:numPr>
          <w:ilvl w:val="0"/>
          <w:numId w:val="4"/>
        </w:numPr>
        <w:tabs>
          <w:tab w:val="left" w:pos="280"/>
        </w:tabs>
        <w:ind w:left="280" w:hanging="21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určenie ocenenia záväzkov, stanovenie odhadu ocenenia rezerv,</w:t>
      </w:r>
    </w:p>
    <w:p>
      <w:pPr>
        <w:numPr>
          <w:ilvl w:val="0"/>
          <w:numId w:val="4"/>
        </w:numPr>
        <w:tabs>
          <w:tab w:val="left" w:pos="293"/>
        </w:tabs>
        <w:spacing w:line="239" w:lineRule="auto"/>
        <w:ind w:left="60" w:right="84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určenie ocenenia finančných nástrojov alebo majetku, ktorý nie je finančným nástrojom pri oceňovaní reálnou hodnotou, a to:</w:t>
      </w:r>
    </w:p>
    <w:p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200" w:hanging="219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určenie ocenenia reálnou hodnotou, pričom sa uvádza aplikácia reálnej hodnoty podľa zákona; pri kvalifikovanom odhade sa uvádza stanovenie významných predpokladov slúžiacich ako základ modelov a postupov ocenenia,</w:t>
      </w:r>
    </w:p>
    <w:p>
      <w:pPr>
        <w:numPr>
          <w:ilvl w:val="1"/>
          <w:numId w:val="4"/>
        </w:numPr>
        <w:tabs>
          <w:tab w:val="left" w:pos="560"/>
        </w:tabs>
        <w:spacing w:line="239" w:lineRule="auto"/>
        <w:ind w:left="560" w:hanging="219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</w:t>
      </w:r>
    </w:p>
    <w:p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0" w:hanging="219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pre každý druh derivátových finančných nástrojov informácie o rozsahu a podstate týchto nástrojov vrátane hlavnýc podmienok a okolností, ktoré môžu ovplyvniť sumu, časový priebeh a mieru istoty budúcich peňažných tokov,</w:t>
      </w:r>
    </w:p>
    <w:p>
      <w:pPr>
        <w:numPr>
          <w:ilvl w:val="0"/>
          <w:numId w:val="4"/>
        </w:numPr>
        <w:tabs>
          <w:tab w:val="left" w:pos="300"/>
        </w:tabs>
        <w:ind w:left="300" w:hanging="23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určenie ocenenia finančných nástrojov pri oceňovaní obstarávacou cenou alebo vlastnými nákladmi, a to:</w:t>
      </w:r>
    </w:p>
    <w:p>
      <w:pPr>
        <w:numPr>
          <w:ilvl w:val="1"/>
          <w:numId w:val="4"/>
        </w:numPr>
        <w:tabs>
          <w:tab w:val="left" w:pos="560"/>
        </w:tabs>
        <w:spacing w:line="239" w:lineRule="auto"/>
        <w:ind w:left="560" w:right="440" w:hanging="219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pre každý druh derivátových finančných nástrojov sa uvádza reálna hodnota týchto finančných nástrojov, ak sa môže spoľahlivo určiť ako trhová cena a informácia o rozsahu a charaktere týchto nástrojov,</w:t>
      </w:r>
    </w:p>
    <w:p>
      <w:pPr>
        <w:numPr>
          <w:ilvl w:val="1"/>
          <w:numId w:val="4"/>
        </w:numPr>
        <w:tabs>
          <w:tab w:val="left" w:pos="560"/>
        </w:tabs>
        <w:ind w:left="560" w:hanging="219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pri dlhodobom finančnom majetku, ktorý sa vykazuje vo vyššej hodnote ako je jeho reálna hodnota, sa uvádza</w:t>
      </w:r>
    </w:p>
    <w:p>
      <w:pPr>
        <w:spacing w:line="239" w:lineRule="auto"/>
        <w:ind w:left="900" w:right="400" w:hanging="277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2a. účtovná hodnota a reálna hodnota za jednotlivé položky majetku alebo skupiny týchto jednotlivých položiek majetku,</w:t>
      </w:r>
    </w:p>
    <w:p>
      <w:pPr>
        <w:spacing w:line="239" w:lineRule="auto"/>
        <w:ind w:left="960" w:right="640" w:hanging="333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2b. dôvod pre nezníženie účtovnej hodnoty vrátane povahy dôkazov pre predpoklad, že sa účtovná hodnota opätovne dosiahne,</w:t>
      </w:r>
    </w:p>
    <w:p>
      <w:pPr>
        <w:numPr>
          <w:ilvl w:val="0"/>
          <w:numId w:val="5"/>
        </w:numPr>
        <w:tabs>
          <w:tab w:val="left" w:pos="238"/>
        </w:tabs>
        <w:spacing w:line="239" w:lineRule="auto"/>
        <w:ind w:left="60" w:right="600" w:firstLine="3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tvorba odpisového plánu pre dlhodobý majetok, pričom sa uvádza doba odpisovania, sadzby odpisov a odpisové metódy pre účtovné odpisy,</w:t>
      </w:r>
    </w:p>
    <w:p>
      <w:pPr>
        <w:numPr>
          <w:ilvl w:val="0"/>
          <w:numId w:val="5"/>
        </w:numPr>
        <w:tabs>
          <w:tab w:val="left" w:pos="300"/>
        </w:tabs>
        <w:ind w:left="300" w:hanging="23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informácia o poskytnutých dotáciách a pri dotáciách na obstaranie majetku sa uvedú zložky majetku a ich ocenenie.</w:t>
      </w:r>
    </w:p>
    <w:p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drawing>
          <wp:anchor distT="0" distB="0" distL="114300" distR="114300" simplePos="0" relativeHeight="251682816" behindDoc="1" locked="0" layoutInCell="0" allowOverlap="1">
            <wp:simplePos x="0" y="0"/>
            <wp:positionH relativeFrom="column">
              <wp:posOffset>6350</wp:posOffset>
            </wp:positionH>
            <wp:positionV relativeFrom="paragraph">
              <wp:posOffset>8255</wp:posOffset>
            </wp:positionV>
            <wp:extent cx="6849745" cy="46672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49745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9" w:lineRule="exact"/>
        <w:rPr>
          <w:sz w:val="20"/>
          <w:szCs w:val="20"/>
        </w:rPr>
      </w:pP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'- dlhodobý hmotný majetok firma nevlastní.</w:t>
      </w:r>
    </w:p>
    <w:p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zásoby v r.2016 neboli obstaravané</w:t>
      </w:r>
    </w:p>
    <w:p>
      <w:pPr>
        <w:numPr>
          <w:ilvl w:val="0"/>
          <w:numId w:val="6"/>
        </w:numPr>
        <w:tabs>
          <w:tab w:val="left" w:pos="180"/>
        </w:tabs>
        <w:ind w:left="180" w:hanging="117"/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záväzky finančný majetok boli oceňované menovitou hodnotou.'</w:t>
      </w:r>
    </w:p>
    <w:p>
      <w:pPr>
        <w:spacing w:line="32" w:lineRule="exact"/>
        <w:rPr>
          <w:sz w:val="20"/>
          <w:szCs w:val="20"/>
        </w:rPr>
      </w:pPr>
    </w:p>
    <w:p>
      <w:pPr>
        <w:spacing w:line="236" w:lineRule="auto"/>
        <w:ind w:left="60" w:right="56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 xml:space="preserve">Čl.III - p) </w:t>
      </w:r>
      <w:r>
        <w:rPr>
          <w:rFonts w:ascii="Arial" w:hAnsi="Arial" w:eastAsia="Arial" w:cs="Arial"/>
          <w:sz w:val="20"/>
          <w:szCs w:val="20"/>
        </w:rPr>
        <w:t>najvýznamnejších položkách pohľadávok, pričom sa tiež uvádzajú opravné položky za účtovné obdobie, s</w:t>
      </w:r>
      <w:r>
        <w:rPr>
          <w:rFonts w:ascii="Arial" w:hAnsi="Arial" w:eastAsia="Arial" w:cs="Arial"/>
          <w:b/>
          <w:bCs/>
          <w:sz w:val="20"/>
          <w:szCs w:val="20"/>
        </w:rPr>
        <w:t xml:space="preserve"> </w:t>
      </w:r>
      <w:r>
        <w:rPr>
          <w:rFonts w:ascii="Arial" w:hAnsi="Arial" w:eastAsia="Arial" w:cs="Arial"/>
          <w:sz w:val="20"/>
          <w:szCs w:val="20"/>
        </w:rPr>
        <w:t>uvedením stavu na začiatku účtovného obdobia, tvorba, zúčtovanie opravných položiek a stav na konci účtovného obdobia a osobitne sa uvádza dôvod ich tvorby a zúčtovania,</w:t>
      </w:r>
    </w:p>
    <w:p>
      <w:pPr>
        <w:spacing w:line="2" w:lineRule="exact"/>
        <w:rPr>
          <w:sz w:val="20"/>
          <w:szCs w:val="20"/>
        </w:rPr>
      </w:pP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Tabuľka 18: Informácie k Čl. III odst. 1 písm. p) o vývoji OP k pohľadávkam</w:t>
      </w:r>
    </w:p>
    <w:p>
      <w:pPr>
        <w:spacing w:line="17" w:lineRule="exact"/>
        <w:rPr>
          <w:sz w:val="20"/>
          <w:szCs w:val="20"/>
        </w:rPr>
      </w:pPr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60"/>
        <w:gridCol w:w="1640"/>
        <w:gridCol w:w="1640"/>
        <w:gridCol w:w="1640"/>
        <w:gridCol w:w="1540"/>
        <w:gridCol w:w="1580"/>
        <w:gridCol w:w="30"/>
      </w:tblGrid>
      <w:tr>
        <w:trPr>
          <w:trHeight w:val="260" w:hRule="atLeast"/>
        </w:trPr>
        <w:tc>
          <w:tcPr>
            <w:tcW w:w="2760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640" w:type="dxa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/>
        </w:tc>
        <w:tc>
          <w:tcPr>
            <w:tcW w:w="4820" w:type="dxa"/>
            <w:gridSpan w:val="3"/>
            <w:tcBorders>
              <w:top w:val="single" w:color="auto" w:sz="8" w:space="0"/>
              <w:bottom w:val="single" w:color="auto" w:sz="8" w:space="0"/>
            </w:tcBorders>
            <w:vAlign w:val="bottom"/>
          </w:tcPr>
          <w:p>
            <w:pPr>
              <w:ind w:right="137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rPr>
          <w:trHeight w:val="227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8"/>
                <w:sz w:val="18"/>
                <w:szCs w:val="18"/>
              </w:rPr>
              <w:t>Stav OP na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Zúčtovanie OP z</w:t>
            </w: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vMerge w:val="restart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8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Zúčtovanie OP z</w:t>
            </w:r>
          </w:p>
        </w:tc>
        <w:tc>
          <w:tcPr>
            <w:tcW w:w="15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8"/>
                <w:sz w:val="18"/>
                <w:szCs w:val="18"/>
              </w:rPr>
              <w:t>dôvodu</w:t>
            </w:r>
          </w:p>
        </w:tc>
        <w:tc>
          <w:tcPr>
            <w:tcW w:w="15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Stav OP na konci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začiatku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dôvodu zániku</w:t>
            </w:r>
          </w:p>
        </w:tc>
        <w:tc>
          <w:tcPr>
            <w:tcW w:w="15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vyradenia</w:t>
            </w:r>
          </w:p>
        </w:tc>
        <w:tc>
          <w:tcPr>
            <w:tcW w:w="15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účtovného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8"/>
                <w:sz w:val="18"/>
                <w:szCs w:val="18"/>
              </w:rPr>
              <w:t>účtovného</w:t>
            </w: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opodstatnenosti</w:t>
            </w:r>
          </w:p>
        </w:tc>
        <w:tc>
          <w:tcPr>
            <w:tcW w:w="15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majetku z</w:t>
            </w:r>
          </w:p>
        </w:tc>
        <w:tc>
          <w:tcPr>
            <w:tcW w:w="15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obdobia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5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účtovníctva</w:t>
            </w: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13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a</w:t>
            </w: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9"/>
                <w:sz w:val="18"/>
                <w:szCs w:val="18"/>
              </w:rPr>
              <w:t>b</w:t>
            </w: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7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c</w:t>
            </w: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9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9"/>
                <w:sz w:val="18"/>
                <w:szCs w:val="18"/>
              </w:rPr>
              <w:t>e</w:t>
            </w: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78"/>
                <w:sz w:val="18"/>
                <w:szCs w:val="18"/>
              </w:rPr>
              <w:t>f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Pohľadávky voči dcérskej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účtovnej jednotke a materskej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účtovnej jednotke</w:t>
            </w: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Ostatné pohľadávky v rámci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2760" w:type="dxa"/>
            <w:vMerge w:val="restart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kons. celku</w:t>
            </w: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Pohľadávky voči spoločníkom,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2760" w:type="dxa"/>
            <w:vMerge w:val="restart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členom a združeniu</w:t>
            </w: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5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5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76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Iné pohľadávky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276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6135</w:t>
            </w: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4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right w:val="single" w:color="auto" w:sz="8" w:space="0"/>
            </w:tcBorders>
            <w:vAlign w:val="bottom"/>
          </w:tcPr>
          <w:p>
            <w:pPr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" w:hRule="atLeast"/>
        </w:trPr>
        <w:tc>
          <w:tcPr>
            <w:tcW w:w="276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5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5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</w:tbl>
    <w:p>
      <w:pPr>
        <w:sectPr>
          <w:pgSz w:w="11920" w:h="16845"/>
          <w:pgMar w:top="549" w:right="550" w:bottom="1440" w:left="560" w:header="0" w:footer="0" w:gutter="0"/>
          <w:cols w:equalWidth="0" w:num="1">
            <w:col w:w="10800"/>
          </w:cols>
        </w:sectPr>
      </w:pPr>
    </w:p>
    <w:p>
      <w:pPr>
        <w:spacing w:line="1" w:lineRule="exact"/>
        <w:rPr>
          <w:sz w:val="20"/>
          <w:szCs w:val="20"/>
        </w:rPr>
      </w:pPr>
      <w:bookmarkStart w:id="3" w:name="page4"/>
      <w:bookmarkEnd w:id="3"/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0"/>
        <w:gridCol w:w="900"/>
        <w:gridCol w:w="700"/>
        <w:gridCol w:w="40"/>
        <w:gridCol w:w="180"/>
        <w:gridCol w:w="220"/>
        <w:gridCol w:w="240"/>
        <w:gridCol w:w="220"/>
        <w:gridCol w:w="220"/>
        <w:gridCol w:w="240"/>
        <w:gridCol w:w="220"/>
        <w:gridCol w:w="220"/>
        <w:gridCol w:w="460"/>
        <w:gridCol w:w="140"/>
        <w:gridCol w:w="1100"/>
        <w:gridCol w:w="180"/>
        <w:gridCol w:w="220"/>
        <w:gridCol w:w="220"/>
        <w:gridCol w:w="240"/>
        <w:gridCol w:w="40"/>
        <w:gridCol w:w="80"/>
        <w:gridCol w:w="100"/>
        <w:gridCol w:w="240"/>
        <w:gridCol w:w="220"/>
        <w:gridCol w:w="220"/>
        <w:gridCol w:w="240"/>
        <w:gridCol w:w="220"/>
        <w:gridCol w:w="220"/>
        <w:gridCol w:w="100"/>
        <w:gridCol w:w="640"/>
        <w:gridCol w:w="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520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9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700" w:type="dxa"/>
            <w:tcBorders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5"/>
                <w:sz w:val="20"/>
                <w:szCs w:val="20"/>
              </w:rPr>
              <w:t>IČO</w:t>
            </w:r>
          </w:p>
        </w:tc>
        <w:tc>
          <w:tcPr>
            <w:tcW w:w="220" w:type="dxa"/>
            <w:gridSpan w:val="2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46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gridSpan w:val="2"/>
            <w:tcBorders>
              <w:right w:val="single" w:color="auto" w:sz="8" w:space="0"/>
            </w:tcBorders>
            <w:vAlign w:val="bottom"/>
          </w:tcPr>
          <w:p>
            <w:pPr>
              <w:ind w:left="567"/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8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gridSpan w:val="3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7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str.4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" w:hRule="atLeast"/>
        </w:trPr>
        <w:tc>
          <w:tcPr>
            <w:tcW w:w="25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gridSpan w:val="2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</w:trPr>
        <w:tc>
          <w:tcPr>
            <w:tcW w:w="6520" w:type="dxa"/>
            <w:gridSpan w:val="14"/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>Čl.III - q)</w:t>
            </w:r>
            <w:r>
              <w:rPr>
                <w:rFonts w:ascii="Arial" w:hAnsi="Arial" w:eastAsia="Arial" w:cs="Arial"/>
                <w:sz w:val="20"/>
                <w:szCs w:val="20"/>
              </w:rPr>
              <w:t>hodnote pohľadávok do lehoty splatnosti a po lehote splatnosti,</w:t>
            </w:r>
          </w:p>
        </w:tc>
        <w:tc>
          <w:tcPr>
            <w:tcW w:w="1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7620" w:type="dxa"/>
            <w:gridSpan w:val="15"/>
            <w:tcBorders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>Tabuľka 19: Informácie k Čl. III odst.1 písm. q) o vekovej štruktúre pohľadávok</w:t>
            </w: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3420" w:type="dxa"/>
            <w:gridSpan w:val="2"/>
            <w:tcBorders>
              <w:left w:val="single" w:color="auto" w:sz="8" w:space="0"/>
            </w:tcBorders>
            <w:vAlign w:val="bottom"/>
          </w:tcPr>
          <w:p>
            <w:pPr>
              <w:ind w:left="14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8"/>
            <w:tcBorders>
              <w:right w:val="single" w:color="auto" w:sz="8" w:space="0"/>
            </w:tcBorders>
            <w:vAlign w:val="bottom"/>
          </w:tcPr>
          <w:p>
            <w:pPr>
              <w:ind w:right="34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gridSpan w:val="6"/>
            <w:vAlign w:val="bottom"/>
          </w:tcPr>
          <w:p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100" w:type="dxa"/>
            <w:gridSpan w:val="8"/>
            <w:tcBorders>
              <w:right w:val="single" w:color="auto" w:sz="8" w:space="0"/>
            </w:tcBorders>
            <w:vAlign w:val="bottom"/>
          </w:tcPr>
          <w:p>
            <w:pPr>
              <w:ind w:right="27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360" w:type="dxa"/>
            <w:gridSpan w:val="5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540" w:type="dxa"/>
            <w:gridSpan w:val="3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20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a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360" w:type="dxa"/>
            <w:gridSpan w:val="5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10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ind w:left="687"/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88"/>
                <w:sz w:val="18"/>
                <w:szCs w:val="18"/>
              </w:rPr>
              <w:t>c</w:t>
            </w: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540" w:type="dxa"/>
            <w:gridSpan w:val="3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d</w:t>
            </w: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4120" w:type="dxa"/>
            <w:gridSpan w:val="3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3420" w:type="dxa"/>
            <w:gridSpan w:val="2"/>
            <w:vMerge w:val="restart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 w:val="continue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3420" w:type="dxa"/>
            <w:gridSpan w:val="2"/>
            <w:vMerge w:val="continue"/>
            <w:tcBorders>
              <w:lef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4120" w:type="dxa"/>
            <w:gridSpan w:val="3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3420" w:type="dxa"/>
            <w:gridSpan w:val="2"/>
            <w:vMerge w:val="restart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 w:val="continue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3420" w:type="dxa"/>
            <w:gridSpan w:val="2"/>
            <w:vMerge w:val="continue"/>
            <w:tcBorders>
              <w:lef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6135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6135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4120" w:type="dxa"/>
            <w:gridSpan w:val="3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Pohľadávka voči dcérskej účtovnej jednotke a</w:t>
            </w: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3420" w:type="dxa"/>
            <w:gridSpan w:val="2"/>
            <w:vMerge w:val="restart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7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 w:val="continue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3420" w:type="dxa"/>
            <w:gridSpan w:val="2"/>
            <w:vMerge w:val="continue"/>
            <w:tcBorders>
              <w:lef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4120" w:type="dxa"/>
            <w:gridSpan w:val="3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Ostatné pohľadávky v rámci konsolidovaného</w:t>
            </w: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20" w:type="dxa"/>
            <w:gridSpan w:val="9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gridSpan w:val="5"/>
            <w:vMerge w:val="restart"/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9"/>
                <w:szCs w:val="19"/>
              </w:rPr>
            </w:pPr>
          </w:p>
        </w:tc>
        <w:tc>
          <w:tcPr>
            <w:tcW w:w="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3420" w:type="dxa"/>
            <w:gridSpan w:val="2"/>
            <w:vMerge w:val="restart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celku</w:t>
            </w:r>
          </w:p>
        </w:tc>
        <w:tc>
          <w:tcPr>
            <w:tcW w:w="7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20" w:type="dxa"/>
            <w:gridSpan w:val="9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gridSpan w:val="5"/>
            <w:vMerge w:val="continue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3420" w:type="dxa"/>
            <w:gridSpan w:val="2"/>
            <w:vMerge w:val="continue"/>
            <w:tcBorders>
              <w:lef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9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Sociálne poistenie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Iné pohľadávky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492</w:t>
            </w: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492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20" w:type="dxa"/>
            <w:gridSpan w:val="9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100"/>
              <w:jc w:val="right"/>
              <w:rPr>
                <w:sz w:val="20"/>
                <w:szCs w:val="20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gridSpan w:val="5"/>
            <w:tcBorders>
              <w:bottom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" w:hRule="atLeast"/>
        </w:trPr>
        <w:tc>
          <w:tcPr>
            <w:tcW w:w="6520" w:type="dxa"/>
            <w:gridSpan w:val="14"/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>Čl.III - t)</w:t>
            </w:r>
            <w:r>
              <w:rPr>
                <w:rFonts w:ascii="Arial" w:hAnsi="Arial" w:eastAsia="Arial" w:cs="Arial"/>
                <w:sz w:val="20"/>
                <w:szCs w:val="20"/>
              </w:rPr>
              <w:t>zložkách krátkodobého finančného majetku,</w:t>
            </w:r>
          </w:p>
        </w:tc>
        <w:tc>
          <w:tcPr>
            <w:tcW w:w="1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640" w:type="dxa"/>
            <w:vAlign w:val="bottom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8520" w:type="dxa"/>
            <w:gridSpan w:val="20"/>
            <w:tcBorders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>Tabuľka 21: Informácie k Čl. III odst.1 písm t) o krátkodobom finančnom majetku</w:t>
            </w: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3420" w:type="dxa"/>
            <w:gridSpan w:val="2"/>
            <w:vMerge w:val="restart"/>
            <w:tcBorders>
              <w:left w:val="single" w:color="auto" w:sz="8" w:space="0"/>
            </w:tcBorders>
            <w:vAlign w:val="bottom"/>
          </w:tcPr>
          <w:p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0" w:type="dxa"/>
            <w:vAlign w:val="bottom"/>
          </w:tcPr>
          <w:p/>
        </w:tc>
        <w:tc>
          <w:tcPr>
            <w:tcW w:w="40" w:type="dxa"/>
            <w:vAlign w:val="bottom"/>
          </w:tcPr>
          <w:p/>
        </w:tc>
        <w:tc>
          <w:tcPr>
            <w:tcW w:w="180" w:type="dxa"/>
            <w:vAlign w:val="bottom"/>
          </w:tcPr>
          <w:p/>
        </w:tc>
        <w:tc>
          <w:tcPr>
            <w:tcW w:w="220" w:type="dxa"/>
            <w:vAlign w:val="bottom"/>
          </w:tcPr>
          <w:p/>
        </w:tc>
        <w:tc>
          <w:tcPr>
            <w:tcW w:w="240" w:type="dxa"/>
            <w:vAlign w:val="bottom"/>
          </w:tcPr>
          <w:p/>
        </w:tc>
        <w:tc>
          <w:tcPr>
            <w:tcW w:w="220" w:type="dxa"/>
            <w:vAlign w:val="bottom"/>
          </w:tcPr>
          <w:p/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/>
        </w:tc>
        <w:tc>
          <w:tcPr>
            <w:tcW w:w="240" w:type="dxa"/>
            <w:vAlign w:val="bottom"/>
          </w:tcPr>
          <w:p/>
        </w:tc>
        <w:tc>
          <w:tcPr>
            <w:tcW w:w="2140" w:type="dxa"/>
            <w:gridSpan w:val="5"/>
            <w:vMerge w:val="restart"/>
            <w:vAlign w:val="bottom"/>
          </w:tcPr>
          <w:p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7"/>
                <w:sz w:val="18"/>
                <w:szCs w:val="18"/>
              </w:rPr>
              <w:t>Bežné účtovné obdobie</w:t>
            </w:r>
          </w:p>
        </w:tc>
        <w:tc>
          <w:tcPr>
            <w:tcW w:w="180" w:type="dxa"/>
            <w:vAlign w:val="bottom"/>
          </w:tcPr>
          <w:p/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/>
        </w:tc>
        <w:tc>
          <w:tcPr>
            <w:tcW w:w="2780" w:type="dxa"/>
            <w:gridSpan w:val="13"/>
            <w:tcBorders>
              <w:right w:val="single" w:color="auto" w:sz="8" w:space="0"/>
            </w:tcBorders>
            <w:vAlign w:val="bottom"/>
          </w:tcPr>
          <w:p>
            <w:pPr>
              <w:ind w:left="2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" w:hRule="atLeast"/>
        </w:trPr>
        <w:tc>
          <w:tcPr>
            <w:tcW w:w="3420" w:type="dxa"/>
            <w:gridSpan w:val="2"/>
            <w:vMerge w:val="continue"/>
            <w:tcBorders>
              <w:lef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140" w:type="dxa"/>
            <w:gridSpan w:val="5"/>
            <w:vMerge w:val="continue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80" w:type="dxa"/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gridSpan w:val="8"/>
            <w:vMerge w:val="restart"/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252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9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560" w:type="dxa"/>
            <w:gridSpan w:val="8"/>
            <w:vMerge w:val="continue"/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0" w:type="dxa"/>
            <w:gridSpan w:val="2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Pokladnica, ceniny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0" w:type="dxa"/>
            <w:gridSpan w:val="2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5240" w:type="dxa"/>
            <w:gridSpan w:val="9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0" w:type="dxa"/>
            <w:gridSpan w:val="2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6" w:hRule="atLeast"/>
        </w:trPr>
        <w:tc>
          <w:tcPr>
            <w:tcW w:w="5240" w:type="dxa"/>
            <w:gridSpan w:val="9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Vkladové účty v banke alebo v pobočke zahraničnej banky</w:t>
            </w:r>
          </w:p>
        </w:tc>
        <w:tc>
          <w:tcPr>
            <w:tcW w:w="24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46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400" w:type="dxa"/>
            <w:gridSpan w:val="2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8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7"/>
                <w:szCs w:val="17"/>
              </w:rPr>
            </w:pPr>
          </w:p>
        </w:tc>
        <w:tc>
          <w:tcPr>
            <w:tcW w:w="64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3420" w:type="dxa"/>
            <w:gridSpan w:val="2"/>
            <w:vMerge w:val="restart"/>
            <w:tcBorders>
              <w:lef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termínované</w:t>
            </w:r>
          </w:p>
        </w:tc>
        <w:tc>
          <w:tcPr>
            <w:tcW w:w="7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6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0" w:type="dxa"/>
            <w:gridSpan w:val="2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64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3420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Peniaze na ceste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0" w:type="dxa"/>
            <w:gridSpan w:val="2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0" w:type="dxa"/>
            <w:gridSpan w:val="2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10</w:t>
            </w: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" w:hRule="atLeast"/>
        </w:trPr>
        <w:tc>
          <w:tcPr>
            <w:tcW w:w="25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1640" w:type="dxa"/>
            <w:gridSpan w:val="9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6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" w:hRule="atLeast"/>
        </w:trPr>
        <w:tc>
          <w:tcPr>
            <w:tcW w:w="252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70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46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640" w:type="dxa"/>
            <w:gridSpan w:val="9"/>
            <w:vAlign w:val="bottom"/>
          </w:tcPr>
          <w:p>
            <w:pPr>
              <w:ind w:right="30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Bezprostredne</w:t>
            </w:r>
          </w:p>
        </w:tc>
        <w:tc>
          <w:tcPr>
            <w:tcW w:w="64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252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4000" w:type="dxa"/>
            <w:gridSpan w:val="13"/>
            <w:vAlign w:val="bottom"/>
          </w:tcPr>
          <w:p>
            <w:pPr>
              <w:ind w:right="144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Názov položky</w:t>
            </w:r>
          </w:p>
        </w:tc>
        <w:tc>
          <w:tcPr>
            <w:tcW w:w="110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8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2780" w:type="dxa"/>
            <w:gridSpan w:val="13"/>
            <w:tcBorders>
              <w:right w:val="single" w:color="auto" w:sz="8" w:space="0"/>
            </w:tcBorders>
            <w:vAlign w:val="bottom"/>
          </w:tcPr>
          <w:p>
            <w:pPr>
              <w:ind w:right="35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3" w:hRule="atLeast"/>
        </w:trPr>
        <w:tc>
          <w:tcPr>
            <w:tcW w:w="2520" w:type="dxa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9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1460" w:type="dxa"/>
            <w:gridSpan w:val="7"/>
            <w:tcBorders>
              <w:bottom w:val="single" w:color="auto" w:sz="8" w:space="0"/>
            </w:tcBorders>
            <w:vAlign w:val="bottom"/>
          </w:tcPr>
          <w:p>
            <w:pPr>
              <w:ind w:right="480"/>
              <w:jc w:val="center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w w:val="99"/>
                <w:sz w:val="18"/>
                <w:szCs w:val="18"/>
              </w:rPr>
              <w:t>obdobie</w:t>
            </w: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2540" w:type="dxa"/>
            <w:gridSpan w:val="14"/>
            <w:tcBorders>
              <w:bottom w:val="single" w:color="auto" w:sz="8" w:space="0"/>
            </w:tcBorders>
            <w:vAlign w:val="bottom"/>
          </w:tcPr>
          <w:p>
            <w:pPr>
              <w:ind w:left="4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 nerozdeleného zisku minulých období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Úhrada straty spoločníkmi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4120" w:type="dxa"/>
            <w:gridSpan w:val="3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r>
              <w:t>0</w:t>
            </w: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Iné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/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/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3420" w:type="dxa"/>
            <w:gridSpan w:val="2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6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10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100" w:type="dxa"/>
            <w:tcBorders>
              <w:bottom w:val="single" w:color="auto" w:sz="8" w:space="0"/>
            </w:tcBorders>
            <w:vAlign w:val="bottom"/>
          </w:tcPr>
          <w:p>
            <w:pPr>
              <w:rPr>
                <w:sz w:val="23"/>
                <w:szCs w:val="23"/>
              </w:rPr>
            </w:pPr>
          </w:p>
        </w:tc>
        <w:tc>
          <w:tcPr>
            <w:tcW w:w="6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</w:tbl>
    <w:p>
      <w:pPr>
        <w:sectPr>
          <w:pgSz w:w="11920" w:h="16845"/>
          <w:pgMar w:top="549" w:right="550" w:bottom="1440" w:left="560" w:header="0" w:footer="0" w:gutter="0"/>
          <w:cols w:equalWidth="0" w:num="1">
            <w:col w:w="10800"/>
          </w:cols>
        </w:sectPr>
      </w:pPr>
    </w:p>
    <w:p>
      <w:pPr>
        <w:spacing w:line="1" w:lineRule="exact"/>
        <w:rPr>
          <w:sz w:val="20"/>
          <w:szCs w:val="20"/>
        </w:rPr>
      </w:pPr>
      <w:bookmarkStart w:id="4" w:name="page5"/>
      <w:bookmarkEnd w:id="4"/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20"/>
        <w:gridCol w:w="1600"/>
        <w:gridCol w:w="220"/>
        <w:gridCol w:w="220"/>
        <w:gridCol w:w="240"/>
        <w:gridCol w:w="220"/>
        <w:gridCol w:w="220"/>
        <w:gridCol w:w="240"/>
        <w:gridCol w:w="22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6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520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Poznámky Úč MÚJ 3 - 01</w:t>
            </w:r>
          </w:p>
        </w:tc>
        <w:tc>
          <w:tcPr>
            <w:tcW w:w="1600" w:type="dxa"/>
            <w:tcBorders>
              <w:right w:val="single" w:color="auto" w:sz="8" w:space="0"/>
            </w:tcBorders>
            <w:vAlign w:val="bottom"/>
          </w:tcPr>
          <w:p>
            <w:pPr>
              <w:ind w:left="11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IČO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3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6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8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1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1880" w:type="dxa"/>
            <w:tcBorders>
              <w:right w:val="single" w:color="auto" w:sz="8" w:space="0"/>
            </w:tcBorders>
            <w:vAlign w:val="bottom"/>
          </w:tcPr>
          <w:p>
            <w:pPr>
              <w:ind w:left="140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DIČ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4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5</w:t>
            </w:r>
          </w:p>
        </w:tc>
        <w:tc>
          <w:tcPr>
            <w:tcW w:w="24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2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0</w:t>
            </w:r>
          </w:p>
        </w:tc>
        <w:tc>
          <w:tcPr>
            <w:tcW w:w="22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</w:rPr>
              <w:t>7</w:t>
            </w:r>
          </w:p>
        </w:tc>
        <w:tc>
          <w:tcPr>
            <w:tcW w:w="660" w:type="dxa"/>
            <w:vAlign w:val="bottom"/>
          </w:tcPr>
          <w:p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w w:val="97"/>
                <w:sz w:val="20"/>
                <w:szCs w:val="20"/>
              </w:rPr>
              <w:t>str.5</w:t>
            </w:r>
          </w:p>
        </w:tc>
      </w:tr>
      <w:tr>
        <w:trPr>
          <w:trHeight w:val="29" w:hRule="atLeast"/>
        </w:trPr>
        <w:tc>
          <w:tcPr>
            <w:tcW w:w="252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vAlign w:val="bottom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line="133" w:lineRule="exact"/>
        <w:rPr>
          <w:sz w:val="20"/>
          <w:szCs w:val="20"/>
        </w:rPr>
      </w:pP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Čl.III - (2) - c)</w:t>
      </w:r>
      <w:r>
        <w:rPr>
          <w:rFonts w:ascii="Arial" w:hAnsi="Arial" w:eastAsia="Arial" w:cs="Arial"/>
          <w:sz w:val="20"/>
          <w:szCs w:val="20"/>
        </w:rPr>
        <w:t>výške záväzkov do lehoty splatnosti a po lehote splatnosti,</w:t>
      </w:r>
    </w:p>
    <w:p>
      <w:pPr>
        <w:spacing w:line="1" w:lineRule="exact"/>
        <w:rPr>
          <w:sz w:val="20"/>
          <w:szCs w:val="20"/>
        </w:rPr>
      </w:pPr>
    </w:p>
    <w:p>
      <w:pPr>
        <w:spacing w:line="233" w:lineRule="auto"/>
        <w:ind w:left="280" w:right="40" w:hanging="221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Čl.III - (2) - d)</w:t>
      </w:r>
      <w:r>
        <w:rPr>
          <w:rFonts w:ascii="Arial" w:hAnsi="Arial" w:eastAsia="Arial" w:cs="Arial"/>
          <w:sz w:val="20"/>
          <w:szCs w:val="20"/>
        </w:rPr>
        <w:t>štruktúre záväzkov podľa zostatkovej doby splatnosti v členení v nadväznosti na položky súvahy; uvádza sa</w:t>
      </w:r>
      <w:r>
        <w:rPr>
          <w:rFonts w:ascii="Arial" w:hAnsi="Arial" w:eastAsia="Arial" w:cs="Arial"/>
          <w:b/>
          <w:bCs/>
          <w:sz w:val="20"/>
          <w:szCs w:val="20"/>
        </w:rPr>
        <w:t xml:space="preserve"> </w:t>
      </w:r>
      <w:r>
        <w:rPr>
          <w:rFonts w:ascii="Arial" w:hAnsi="Arial" w:eastAsia="Arial" w:cs="Arial"/>
          <w:sz w:val="20"/>
          <w:szCs w:val="20"/>
        </w:rPr>
        <w:t>hodnota záväzkov so zostatkovou dobou splatnosti viac ako päť rokov,</w:t>
      </w:r>
    </w:p>
    <w:p>
      <w:pPr>
        <w:spacing w:line="1" w:lineRule="exact"/>
        <w:rPr>
          <w:sz w:val="20"/>
          <w:szCs w:val="20"/>
        </w:rPr>
      </w:pP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Tabuľka 26: Informácie k Čl. III odst. 2 písm. c) a d) o záväzkoch</w:t>
      </w:r>
    </w:p>
    <w:p>
      <w:pPr>
        <w:spacing w:line="20" w:lineRule="exact"/>
        <w:rPr>
          <w:sz w:val="20"/>
          <w:szCs w:val="20"/>
        </w:rPr>
      </w:pPr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40"/>
        <w:gridCol w:w="2780"/>
        <w:gridCol w:w="2780"/>
        <w:gridCol w:w="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524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" w:hRule="atLeast"/>
        </w:trPr>
        <w:tc>
          <w:tcPr>
            <w:tcW w:w="524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524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15097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" w:hRule="atLeast"/>
        </w:trPr>
        <w:tc>
          <w:tcPr>
            <w:tcW w:w="524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spacing w:line="204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Záväzky so zostatkovou dobou splatnosti do jedného roka</w:t>
            </w:r>
          </w:p>
        </w:tc>
        <w:tc>
          <w:tcPr>
            <w:tcW w:w="27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90</w:t>
            </w:r>
          </w:p>
        </w:tc>
        <w:tc>
          <w:tcPr>
            <w:tcW w:w="27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" w:hRule="atLeast"/>
        </w:trPr>
        <w:tc>
          <w:tcPr>
            <w:tcW w:w="5240" w:type="dxa"/>
            <w:vMerge w:val="restart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vrátane</w:t>
            </w:r>
          </w:p>
        </w:tc>
        <w:tc>
          <w:tcPr>
            <w:tcW w:w="27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27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" w:hRule="atLeast"/>
        </w:trPr>
        <w:tc>
          <w:tcPr>
            <w:tcW w:w="5240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8"/>
                <w:szCs w:val="8"/>
              </w:rPr>
            </w:pP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15007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15097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</w:tbl>
    <w:p>
      <w:pPr>
        <w:spacing w:line="348" w:lineRule="exact"/>
        <w:rPr>
          <w:sz w:val="20"/>
          <w:szCs w:val="20"/>
        </w:rPr>
      </w:pPr>
    </w:p>
    <w:p>
      <w:pPr>
        <w:spacing w:line="259" w:lineRule="auto"/>
        <w:ind w:left="620"/>
        <w:jc w:val="center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19"/>
          <w:szCs w:val="19"/>
        </w:rPr>
        <w:t xml:space="preserve">Čl. IV - (4) </w:t>
      </w:r>
      <w:r>
        <w:rPr>
          <w:rFonts w:ascii="Arial" w:hAnsi="Arial" w:eastAsia="Arial" w:cs="Arial"/>
          <w:sz w:val="19"/>
          <w:szCs w:val="19"/>
        </w:rPr>
        <w:t>V poznámkach sa uvádza členenie čistého obratu podľa § 2 ods. 14 zákona podľa jednotlivých typov výrobkov,</w:t>
      </w:r>
      <w:r>
        <w:rPr>
          <w:rFonts w:ascii="Arial" w:hAnsi="Arial" w:eastAsia="Arial" w:cs="Arial"/>
          <w:b/>
          <w:bCs/>
          <w:sz w:val="19"/>
          <w:szCs w:val="19"/>
        </w:rPr>
        <w:t xml:space="preserve"> </w:t>
      </w:r>
      <w:r>
        <w:rPr>
          <w:rFonts w:ascii="Arial" w:hAnsi="Arial" w:eastAsia="Arial" w:cs="Arial"/>
          <w:sz w:val="19"/>
          <w:szCs w:val="19"/>
        </w:rPr>
        <w:t>tovarov, služieb alebo iných činností účtovnej jednotky a hlavných geografických oblastí odbytu, ak sa tieto činnosti</w:t>
      </w:r>
    </w:p>
    <w:p>
      <w:pPr>
        <w:spacing w:line="254" w:lineRule="auto"/>
        <w:ind w:left="340" w:right="400"/>
        <w:rPr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>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</w:t>
      </w:r>
    </w:p>
    <w:p>
      <w:pPr>
        <w:ind w:left="60"/>
        <w:rPr>
          <w:sz w:val="20"/>
          <w:szCs w:val="20"/>
        </w:rPr>
      </w:pPr>
      <w:r>
        <w:rPr>
          <w:rFonts w:ascii="Arial" w:hAnsi="Arial" w:eastAsia="Arial" w:cs="Arial"/>
          <w:b/>
          <w:bCs/>
          <w:sz w:val="20"/>
          <w:szCs w:val="20"/>
        </w:rPr>
        <w:t>Tabuľka 47: Informácie k čl. IV odst. 4 o čistom obrate</w:t>
      </w:r>
    </w:p>
    <w:p>
      <w:pPr>
        <w:spacing w:line="19" w:lineRule="exact"/>
        <w:rPr>
          <w:sz w:val="20"/>
          <w:szCs w:val="20"/>
        </w:rPr>
      </w:pPr>
    </w:p>
    <w:tbl>
      <w:tblPr>
        <w:tblStyle w:val="3"/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40"/>
        <w:gridCol w:w="2780"/>
        <w:gridCol w:w="2780"/>
        <w:gridCol w:w="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524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198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0" w:type="dxa"/>
            <w:vMerge w:val="restart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ind w:right="3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" w:hRule="atLeast"/>
        </w:trPr>
        <w:tc>
          <w:tcPr>
            <w:tcW w:w="524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12"/>
                <w:szCs w:val="12"/>
              </w:rPr>
            </w:pPr>
          </w:p>
        </w:tc>
        <w:tc>
          <w:tcPr>
            <w:tcW w:w="2780" w:type="dxa"/>
            <w:vMerge w:val="restart"/>
            <w:tcBorders>
              <w:right w:val="single" w:color="auto" w:sz="8" w:space="0"/>
            </w:tcBorders>
            <w:vAlign w:val="bottom"/>
          </w:tcPr>
          <w:p>
            <w:pPr>
              <w:ind w:right="610"/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" w:hRule="atLeast"/>
        </w:trPr>
        <w:tc>
          <w:tcPr>
            <w:tcW w:w="5240" w:type="dxa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2780" w:type="dxa"/>
            <w:vMerge w:val="continue"/>
            <w:tcBorders>
              <w:right w:val="single" w:color="auto" w:sz="8" w:space="0"/>
            </w:tcBorders>
            <w:vAlign w:val="bottom"/>
          </w:tcPr>
          <w:p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Tržby za vlastné výrobky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Tržby z predaja služieb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Tržby za tovar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Výnosy zo zákazky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Výnosy z nehnuteľností na predaj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5240" w:type="dxa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ind w:left="60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278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hAnsi="Arial" w:eastAsia="Arial" w:cs="Arial"/>
                <w:sz w:val="18"/>
                <w:szCs w:val="18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rPr>
                <w:sz w:val="1"/>
                <w:szCs w:val="1"/>
              </w:rPr>
            </w:pPr>
          </w:p>
        </w:tc>
      </w:tr>
    </w:tbl>
    <w:p>
      <w:pPr>
        <w:spacing w:line="1" w:lineRule="exact"/>
        <w:rPr>
          <w:sz w:val="20"/>
          <w:szCs w:val="20"/>
        </w:rPr>
      </w:pPr>
    </w:p>
    <w:sectPr>
      <w:pgSz w:w="11920" w:h="16845"/>
      <w:pgMar w:top="549" w:right="550" w:bottom="1440" w:left="560" w:header="0" w:footer="0" w:gutter="0"/>
      <w:cols w:equalWidth="0" w:num="1">
        <w:col w:w="108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8E1F29"/>
    <w:multiLevelType w:val="multilevel"/>
    <w:tmpl w:val="238E1F29"/>
    <w:lvl w:ilvl="0" w:tentative="0">
      <w:start w:val="1"/>
      <w:numFmt w:val="bullet"/>
      <w:lvlText w:val="-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1">
    <w:nsid w:val="2AE8944A"/>
    <w:multiLevelType w:val="multilevel"/>
    <w:tmpl w:val="2AE8944A"/>
    <w:lvl w:ilvl="0" w:tentative="0">
      <w:start w:val="1"/>
      <w:numFmt w:val="bullet"/>
      <w:lvlText w:val="-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2">
    <w:nsid w:val="3D1B58BA"/>
    <w:multiLevelType w:val="multilevel"/>
    <w:tmpl w:val="3D1B58BA"/>
    <w:lvl w:ilvl="0" w:tentative="0">
      <w:start w:val="6"/>
      <w:numFmt w:val="lowerLetter"/>
      <w:lvlText w:val="%1)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3">
    <w:nsid w:val="46E87CCD"/>
    <w:multiLevelType w:val="multilevel"/>
    <w:tmpl w:val="46E87CCD"/>
    <w:lvl w:ilvl="0" w:tentative="0">
      <w:start w:val="1"/>
      <w:numFmt w:val="lowerLetter"/>
      <w:lvlText w:val="%1)"/>
      <w:lvlJc w:val="left"/>
    </w:lvl>
    <w:lvl w:ilvl="1" w:tentative="0">
      <w:start w:val="1"/>
      <w:numFmt w:val="decimal"/>
      <w:lvlText w:val="%2.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4">
    <w:nsid w:val="507ED7AB"/>
    <w:multiLevelType w:val="multilevel"/>
    <w:tmpl w:val="507ED7AB"/>
    <w:lvl w:ilvl="0" w:tentative="0">
      <w:start w:val="1"/>
      <w:numFmt w:val="bullet"/>
      <w:lvlText w:val="-"/>
      <w:lvlJc w:val="left"/>
    </w:lvl>
    <w:lvl w:ilvl="1" w:tentative="0">
      <w:start w:val="0"/>
      <w:numFmt w:val="decimal"/>
      <w:lvlText w:val="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abstractNum w:abstractNumId="5">
    <w:nsid w:val="625558EC"/>
    <w:multiLevelType w:val="multilevel"/>
    <w:tmpl w:val="625558EC"/>
    <w:lvl w:ilvl="0" w:tentative="0">
      <w:start w:val="1"/>
      <w:numFmt w:val="lowerLetter"/>
      <w:lvlText w:val="%1)"/>
      <w:lvlJc w:val="left"/>
    </w:lvl>
    <w:lvl w:ilvl="1" w:tentative="0">
      <w:start w:val="1"/>
      <w:numFmt w:val="decimal"/>
      <w:lvlText w:val="%2."/>
      <w:lvlJc w:val="left"/>
    </w:lvl>
    <w:lvl w:ilvl="2" w:tentative="0">
      <w:start w:val="0"/>
      <w:numFmt w:val="decimal"/>
      <w:lvlText w:val=""/>
      <w:lvlJc w:val="left"/>
    </w:lvl>
    <w:lvl w:ilvl="3" w:tentative="0">
      <w:start w:val="0"/>
      <w:numFmt w:val="decimal"/>
      <w:lvlText w:val=""/>
      <w:lvlJc w:val="left"/>
    </w:lvl>
    <w:lvl w:ilvl="4" w:tentative="0">
      <w:start w:val="0"/>
      <w:numFmt w:val="decimal"/>
      <w:lvlText w:val=""/>
      <w:lvlJc w:val="left"/>
    </w:lvl>
    <w:lvl w:ilvl="5" w:tentative="0">
      <w:start w:val="0"/>
      <w:numFmt w:val="decimal"/>
      <w:lvlText w:val=""/>
      <w:lvlJc w:val="left"/>
    </w:lvl>
    <w:lvl w:ilvl="6" w:tentative="0">
      <w:start w:val="0"/>
      <w:numFmt w:val="decimal"/>
      <w:lvlText w:val=""/>
      <w:lvlJc w:val="left"/>
    </w:lvl>
    <w:lvl w:ilvl="7" w:tentative="0">
      <w:start w:val="0"/>
      <w:numFmt w:val="decimal"/>
      <w:lvlText w:val=""/>
      <w:lvlJc w:val="left"/>
    </w:lvl>
    <w:lvl w:ilvl="8" w:tentative="0">
      <w:start w:val="0"/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E4A"/>
    <w:rsid w:val="006367BE"/>
    <w:rsid w:val="00877E4A"/>
    <w:rsid w:val="00A03B1C"/>
    <w:rsid w:val="00AD3585"/>
    <w:rsid w:val="00BC5763"/>
    <w:rsid w:val="3268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1739</Words>
  <Characters>9913</Characters>
  <Lines>82</Lines>
  <Paragraphs>23</Paragraphs>
  <TotalTime>10</TotalTime>
  <ScaleCrop>false</ScaleCrop>
  <LinksUpToDate>false</LinksUpToDate>
  <CharactersWithSpaces>11629</CharactersWithSpaces>
  <Application>WPS Office_11.2.0.11042_F1E327BC-269C-435d-A152-05C5408002CA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2021-03-25T14:06:00Z</dcterms:created>
  <dc:creator>Windows User</dc:creator>
  <cp:lastModifiedBy>Janka</cp:lastModifiedBy>
  <dcterms:modified xsi:type="dcterms:W3CDTF">2022-03-28T13:12:55Z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1033-11.2.0.11042</vt:lpwstr>
  </property>
  <property fmtid="{D5CDD505-2E9C-101B-9397-08002B2CF9AE}" pid="3" name="ICV">
    <vt:lpwstr>4CC307C0E18646CB9B6B41D4767902B6</vt:lpwstr>
  </property>
</Properties>
</file>