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540"/>
          <w:tab w:val="left" w:pos="4060"/>
          <w:tab w:val="left" w:pos="7220"/>
          <w:tab w:val="left" w:pos="7740"/>
        </w:tabs>
        <w:rPr>
          <w:sz w:val="20"/>
          <w:szCs w:val="20"/>
        </w:rPr>
      </w:pPr>
      <w:bookmarkStart w:id="0" w:name="page1"/>
      <w:bookmarkEnd w:id="0"/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613410</wp:posOffset>
            </wp:positionH>
            <wp:positionV relativeFrom="page">
              <wp:posOffset>397510</wp:posOffset>
            </wp:positionV>
            <wp:extent cx="1593215" cy="2254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2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5545455</wp:posOffset>
            </wp:positionH>
            <wp:positionV relativeFrom="page">
              <wp:posOffset>397510</wp:posOffset>
            </wp:positionV>
            <wp:extent cx="158115" cy="22542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5833745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page">
              <wp:posOffset>5977255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page">
              <wp:posOffset>6121400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page">
              <wp:posOffset>6265545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page">
              <wp:posOffset>6409690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66432" behindDoc="1" locked="0" layoutInCell="0" allowOverlap="1">
            <wp:simplePos x="0" y="0"/>
            <wp:positionH relativeFrom="page">
              <wp:posOffset>6553835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page">
              <wp:posOffset>6697345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68480" behindDoc="1" locked="0" layoutInCell="0" allowOverlap="1">
            <wp:simplePos x="0" y="0"/>
            <wp:positionH relativeFrom="page">
              <wp:posOffset>6841490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69504" behindDoc="1" locked="0" layoutInCell="0" allowOverlap="1">
            <wp:simplePos x="0" y="0"/>
            <wp:positionH relativeFrom="page">
              <wp:posOffset>6985635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70528" behindDoc="1" locked="0" layoutInCell="0" allowOverlap="1">
            <wp:simplePos x="0" y="0"/>
            <wp:positionH relativeFrom="page">
              <wp:posOffset>3205480</wp:posOffset>
            </wp:positionH>
            <wp:positionV relativeFrom="page">
              <wp:posOffset>397510</wp:posOffset>
            </wp:positionV>
            <wp:extent cx="158115" cy="22542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71552" behindDoc="1" locked="0" layoutInCell="0" allowOverlap="1">
            <wp:simplePos x="0" y="0"/>
            <wp:positionH relativeFrom="page">
              <wp:posOffset>3493770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72576" behindDoc="1" locked="0" layoutInCell="0" allowOverlap="1">
            <wp:simplePos x="0" y="0"/>
            <wp:positionH relativeFrom="page">
              <wp:posOffset>3637280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73600" behindDoc="1" locked="0" layoutInCell="0" allowOverlap="1">
            <wp:simplePos x="0" y="0"/>
            <wp:positionH relativeFrom="page">
              <wp:posOffset>3781425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74624" behindDoc="1" locked="0" layoutInCell="0" allowOverlap="1">
            <wp:simplePos x="0" y="0"/>
            <wp:positionH relativeFrom="page">
              <wp:posOffset>3925570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75648" behindDoc="1" locked="0" layoutInCell="0" allowOverlap="1">
            <wp:simplePos x="0" y="0"/>
            <wp:positionH relativeFrom="page">
              <wp:posOffset>4069715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76672" behindDoc="1" locked="0" layoutInCell="0" allowOverlap="1">
            <wp:simplePos x="0" y="0"/>
            <wp:positionH relativeFrom="page">
              <wp:posOffset>4213225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drawing>
          <wp:anchor distT="0" distB="0" distL="114300" distR="114300" simplePos="0" relativeHeight="251677696" behindDoc="1" locked="0" layoutInCell="0" allowOverlap="1">
            <wp:simplePos x="0" y="0"/>
            <wp:positionH relativeFrom="page">
              <wp:posOffset>4357370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z w:val="20"/>
          <w:szCs w:val="20"/>
        </w:rPr>
        <w:t>Poznámky Úč MÚJ 3 - 01</w:t>
      </w:r>
      <w:r>
        <w:rPr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>IČO</w:t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>4  4  5  6  8  9  1  6</w:t>
      </w:r>
      <w:r>
        <w:rPr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>DIČ</w:t>
      </w:r>
      <w:r>
        <w:rPr>
          <w:rFonts w:ascii="Arial" w:hAnsi="Arial" w:eastAsia="Arial" w:cs="Arial"/>
          <w:sz w:val="20"/>
          <w:szCs w:val="20"/>
        </w:rPr>
        <w:tab/>
      </w:r>
      <w:r>
        <w:rPr>
          <w:rFonts w:ascii="Arial" w:hAnsi="Arial" w:eastAsia="Arial" w:cs="Arial"/>
          <w:sz w:val="20"/>
          <w:szCs w:val="20"/>
        </w:rPr>
        <w:t>2  0  2  2  7  4  9  1  0  2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sectPr>
          <w:pgSz w:w="11920" w:h="16845"/>
          <w:pgMar w:top="673" w:right="970" w:bottom="929" w:left="1020" w:header="0" w:footer="0" w:gutter="0"/>
          <w:cols w:equalWidth="0" w:num="1">
            <w:col w:w="9920"/>
          </w:cols>
        </w:sect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200" w:lineRule="exact"/>
        <w:rPr>
          <w:sz w:val="24"/>
          <w:szCs w:val="24"/>
        </w:rPr>
      </w:pPr>
    </w:p>
    <w:p>
      <w:pPr>
        <w:spacing w:line="320" w:lineRule="exact"/>
        <w:rPr>
          <w:sz w:val="24"/>
          <w:szCs w:val="24"/>
        </w:rPr>
      </w:pPr>
    </w:p>
    <w:p>
      <w:pPr>
        <w:ind w:left="620"/>
        <w:rPr>
          <w:sz w:val="20"/>
          <w:szCs w:val="20"/>
        </w:rPr>
      </w:pPr>
      <w:r>
        <w:rPr>
          <w:rFonts w:ascii="Arial" w:hAnsi="Arial" w:eastAsia="Arial" w:cs="Arial"/>
          <w:b/>
          <w:bCs/>
          <w:sz w:val="36"/>
          <w:szCs w:val="36"/>
        </w:rPr>
        <w:t>Poznámky k účtovnej závierke za rok 2020</w:t>
      </w:r>
    </w:p>
    <w:p>
      <w:pPr>
        <w:spacing w:line="245" w:lineRule="exact"/>
        <w:rPr>
          <w:sz w:val="24"/>
          <w:szCs w:val="24"/>
        </w:rPr>
      </w:pPr>
    </w:p>
    <w:tbl>
      <w:tblPr>
        <w:tblStyle w:val="3"/>
        <w:tblW w:w="0" w:type="auto"/>
        <w:tblInd w:w="1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0"/>
        <w:gridCol w:w="79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720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4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Obchodné meno:</w:t>
            </w:r>
          </w:p>
        </w:tc>
        <w:tc>
          <w:tcPr>
            <w:tcW w:w="79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2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C&amp;F locrandi, spol.s.r.o.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172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72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4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Sídlo:</w:t>
            </w:r>
          </w:p>
        </w:tc>
        <w:tc>
          <w:tcPr>
            <w:tcW w:w="7940" w:type="dxa"/>
            <w:tcBorders>
              <w:right w:val="single" w:color="auto" w:sz="8" w:space="0"/>
            </w:tcBorders>
            <w:vAlign w:val="bottom"/>
          </w:tcPr>
          <w:p>
            <w:pPr>
              <w:ind w:left="2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Šiba 153, 086 22 Kľušov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172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72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4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Právna forma:</w:t>
            </w:r>
          </w:p>
        </w:tc>
        <w:tc>
          <w:tcPr>
            <w:tcW w:w="7940" w:type="dxa"/>
            <w:tcBorders>
              <w:right w:val="single" w:color="auto" w:sz="8" w:space="0"/>
            </w:tcBorders>
            <w:vAlign w:val="bottom"/>
          </w:tcPr>
          <w:p>
            <w:pPr>
              <w:ind w:left="2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s.r.o.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172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72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4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Dátum vzniku:</w:t>
            </w:r>
          </w:p>
        </w:tc>
        <w:tc>
          <w:tcPr>
            <w:tcW w:w="79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2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15.01.2009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72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4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Hlavný predmet</w:t>
            </w:r>
          </w:p>
        </w:tc>
        <w:tc>
          <w:tcPr>
            <w:tcW w:w="7940" w:type="dxa"/>
            <w:tcBorders>
              <w:right w:val="single" w:color="auto" w:sz="8" w:space="0"/>
            </w:tcBorders>
            <w:vAlign w:val="bottom"/>
          </w:tcPr>
          <w:p>
            <w:pPr>
              <w:spacing w:line="227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pohostinská činnosť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172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podnikania:</w:t>
            </w:r>
          </w:p>
        </w:tc>
        <w:tc>
          <w:tcPr>
            <w:tcW w:w="79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172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4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Štaturárny orgán:</w:t>
            </w:r>
          </w:p>
        </w:tc>
        <w:tc>
          <w:tcPr>
            <w:tcW w:w="7940" w:type="dxa"/>
            <w:tcBorders>
              <w:right w:val="single" w:color="auto" w:sz="8" w:space="0"/>
            </w:tcBorders>
            <w:vAlign w:val="bottom"/>
          </w:tcPr>
          <w:p>
            <w:pPr>
              <w:ind w:left="2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Martin Jakubov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172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sectPr>
          <w:type w:val="continuous"/>
          <w:pgSz w:w="11920" w:h="16845"/>
          <w:pgMar w:top="673" w:right="970" w:bottom="929" w:left="1020" w:header="0" w:footer="0" w:gutter="0"/>
          <w:cols w:equalWidth="0" w:num="1">
            <w:col w:w="9920"/>
          </w:cols>
        </w:sectPr>
      </w:pPr>
    </w:p>
    <w:p>
      <w:pPr>
        <w:spacing w:line="1" w:lineRule="exact"/>
        <w:rPr>
          <w:sz w:val="20"/>
          <w:szCs w:val="20"/>
        </w:rPr>
      </w:pPr>
      <w:bookmarkStart w:id="1" w:name="page2"/>
      <w:bookmarkEnd w:id="1"/>
    </w:p>
    <w:tbl>
      <w:tblPr>
        <w:tblStyle w:val="3"/>
        <w:tblW w:w="0" w:type="auto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520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Poznámky Úč MÚJ 3 - 01</w:t>
            </w:r>
          </w:p>
        </w:tc>
        <w:tc>
          <w:tcPr>
            <w:tcW w:w="1600" w:type="dxa"/>
            <w:tcBorders>
              <w:right w:val="single" w:color="auto" w:sz="8" w:space="0"/>
            </w:tcBorders>
            <w:vAlign w:val="bottom"/>
          </w:tcPr>
          <w:p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color="auto" w:sz="8" w:space="0"/>
            </w:tcBorders>
            <w:vAlign w:val="bottom"/>
          </w:tcPr>
          <w:p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660" w:type="dxa"/>
            <w:vAlign w:val="bottom"/>
          </w:tcPr>
          <w:p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w w:val="97"/>
                <w:sz w:val="20"/>
                <w:szCs w:val="20"/>
              </w:rPr>
              <w:t>str.2</w:t>
            </w:r>
          </w:p>
        </w:tc>
      </w:tr>
      <w:tr>
        <w:trPr>
          <w:trHeight w:val="29" w:hRule="atLeast"/>
        </w:trPr>
        <w:tc>
          <w:tcPr>
            <w:tcW w:w="252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133" w:lineRule="exact"/>
        <w:rPr>
          <w:sz w:val="20"/>
          <w:szCs w:val="20"/>
        </w:rPr>
      </w:pPr>
    </w:p>
    <w:p>
      <w:pPr>
        <w:ind w:left="60"/>
        <w:rPr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>Čl. I - (3)</w:t>
      </w:r>
    </w:p>
    <w:p>
      <w:pPr>
        <w:spacing w:line="56" w:lineRule="exact"/>
        <w:rPr>
          <w:sz w:val="20"/>
          <w:szCs w:val="20"/>
        </w:rPr>
      </w:pPr>
    </w:p>
    <w:p>
      <w:pPr>
        <w:spacing w:line="274" w:lineRule="auto"/>
        <w:ind w:left="60" w:right="300"/>
        <w:rPr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Dátum schválenia účtovnej závierky za bezprostredne predchádzajúce účtovné obdobie príslušným orgánom účtovnej jednotky.</w:t>
      </w:r>
    </w:p>
    <w:p>
      <w:pPr>
        <w:spacing w:line="20" w:lineRule="exact"/>
        <w:rPr>
          <w:sz w:val="20"/>
          <w:szCs w:val="20"/>
        </w:rPr>
      </w:pPr>
    </w:p>
    <w:p>
      <w:pPr>
        <w:spacing w:line="78" w:lineRule="exact"/>
        <w:rPr>
          <w:sz w:val="20"/>
          <w:szCs w:val="20"/>
        </w:rPr>
      </w:pPr>
      <w:r>
        <w:rPr>
          <w:sz w:val="20"/>
          <w:szCs w:val="20"/>
        </w:rPr>
        <w:drawing>
          <wp:anchor distT="0" distB="0" distL="114300" distR="114300" simplePos="0" relativeHeight="251678720" behindDoc="1" locked="0" layoutInCell="0" allowOverlap="1">
            <wp:simplePos x="0" y="0"/>
            <wp:positionH relativeFrom="column">
              <wp:posOffset>13970</wp:posOffset>
            </wp:positionH>
            <wp:positionV relativeFrom="paragraph">
              <wp:posOffset>41910</wp:posOffset>
            </wp:positionV>
            <wp:extent cx="6849745" cy="18923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974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1"/>
        </w:numPr>
        <w:tabs>
          <w:tab w:val="left" w:pos="180"/>
        </w:tabs>
        <w:ind w:left="180" w:hanging="117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účtovná závierka za r.2020 bola schválená 2</w:t>
      </w:r>
      <w:r>
        <w:rPr>
          <w:rFonts w:hint="default" w:ascii="Arial" w:hAnsi="Arial" w:eastAsia="Arial" w:cs="Arial"/>
          <w:sz w:val="20"/>
          <w:szCs w:val="20"/>
          <w:lang w:val="sk-SK"/>
        </w:rPr>
        <w:t>8</w:t>
      </w:r>
      <w:r>
        <w:rPr>
          <w:rFonts w:ascii="Arial" w:hAnsi="Arial" w:eastAsia="Arial" w:cs="Arial"/>
          <w:sz w:val="20"/>
          <w:szCs w:val="20"/>
        </w:rPr>
        <w:t>.3.202</w:t>
      </w:r>
      <w:r>
        <w:rPr>
          <w:rFonts w:hint="default" w:ascii="Arial" w:hAnsi="Arial" w:eastAsia="Arial" w:cs="Arial"/>
          <w:sz w:val="20"/>
          <w:szCs w:val="20"/>
          <w:lang w:val="sk-SK"/>
        </w:rPr>
        <w:t>2</w:t>
      </w:r>
    </w:p>
    <w:p>
      <w:pPr>
        <w:spacing w:line="51" w:lineRule="exact"/>
        <w:rPr>
          <w:rFonts w:ascii="Arial" w:hAnsi="Arial" w:eastAsia="Arial" w:cs="Arial"/>
          <w:sz w:val="20"/>
          <w:szCs w:val="20"/>
        </w:rPr>
      </w:pPr>
    </w:p>
    <w:p>
      <w:pPr>
        <w:ind w:left="6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>Čl. I - (4)</w:t>
      </w:r>
    </w:p>
    <w:p>
      <w:pPr>
        <w:spacing w:line="55" w:lineRule="exact"/>
        <w:rPr>
          <w:rFonts w:ascii="Arial" w:hAnsi="Arial" w:eastAsia="Arial" w:cs="Arial"/>
          <w:sz w:val="20"/>
          <w:szCs w:val="20"/>
        </w:rPr>
      </w:pPr>
    </w:p>
    <w:p>
      <w:pPr>
        <w:ind w:left="6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Právny dôvod na zostavenie účtovnej závierky.</w:t>
      </w:r>
    </w:p>
    <w:p>
      <w:pPr>
        <w:spacing w:line="53" w:lineRule="exact"/>
        <w:rPr>
          <w:rFonts w:ascii="Arial" w:hAnsi="Arial" w:eastAsia="Arial" w:cs="Arial"/>
          <w:sz w:val="20"/>
          <w:szCs w:val="20"/>
        </w:rPr>
      </w:pPr>
      <w:r>
        <w:rPr>
          <w:sz w:val="20"/>
          <w:szCs w:val="20"/>
        </w:rPr>
        <w:drawing>
          <wp:anchor distT="0" distB="0" distL="114300" distR="114300" simplePos="0" relativeHeight="251679744" behindDoc="1" locked="0" layoutInCell="0" allowOverlap="1">
            <wp:simplePos x="0" y="0"/>
            <wp:positionH relativeFrom="column">
              <wp:posOffset>13970</wp:posOffset>
            </wp:positionH>
            <wp:positionV relativeFrom="paragraph">
              <wp:posOffset>25400</wp:posOffset>
            </wp:positionV>
            <wp:extent cx="6849745" cy="18923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974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1"/>
        </w:numPr>
        <w:tabs>
          <w:tab w:val="left" w:pos="180"/>
        </w:tabs>
        <w:ind w:left="180" w:hanging="117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účtovná jednotka zostavila riadnu účtovnú závierku k 31.12.202</w:t>
      </w:r>
      <w:r>
        <w:rPr>
          <w:rFonts w:hint="default" w:ascii="Arial" w:hAnsi="Arial" w:eastAsia="Arial" w:cs="Arial"/>
          <w:sz w:val="20"/>
          <w:szCs w:val="20"/>
          <w:lang w:val="sk-SK"/>
        </w:rPr>
        <w:t>1</w:t>
      </w:r>
      <w:bookmarkStart w:id="5" w:name="_GoBack"/>
      <w:bookmarkEnd w:id="5"/>
    </w:p>
    <w:p>
      <w:pPr>
        <w:spacing w:line="51" w:lineRule="exact"/>
        <w:rPr>
          <w:rFonts w:ascii="Arial" w:hAnsi="Arial" w:eastAsia="Arial" w:cs="Arial"/>
          <w:sz w:val="20"/>
          <w:szCs w:val="20"/>
        </w:rPr>
      </w:pPr>
    </w:p>
    <w:p>
      <w:pPr>
        <w:ind w:left="6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>Čl. I - (5)</w:t>
      </w:r>
    </w:p>
    <w:p>
      <w:pPr>
        <w:spacing w:line="55" w:lineRule="exact"/>
        <w:rPr>
          <w:rFonts w:ascii="Arial" w:hAnsi="Arial" w:eastAsia="Arial" w:cs="Arial"/>
          <w:sz w:val="20"/>
          <w:szCs w:val="20"/>
        </w:rPr>
      </w:pPr>
    </w:p>
    <w:p>
      <w:pPr>
        <w:ind w:left="6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Údaje o skupine, a to:</w:t>
      </w:r>
    </w:p>
    <w:p>
      <w:pPr>
        <w:spacing w:line="20" w:lineRule="exact"/>
        <w:rPr>
          <w:sz w:val="20"/>
          <w:szCs w:val="20"/>
        </w:rPr>
      </w:pPr>
    </w:p>
    <w:p>
      <w:pPr>
        <w:spacing w:line="208" w:lineRule="exact"/>
        <w:rPr>
          <w:sz w:val="20"/>
          <w:szCs w:val="20"/>
        </w:rPr>
      </w:pPr>
    </w:p>
    <w:p>
      <w:pPr>
        <w:numPr>
          <w:ilvl w:val="0"/>
          <w:numId w:val="2"/>
        </w:numPr>
        <w:tabs>
          <w:tab w:val="left" w:pos="293"/>
        </w:tabs>
        <w:spacing w:line="274" w:lineRule="auto"/>
        <w:ind w:left="60" w:firstLine="3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obchodné meno a sídlo účtovnej jednotky, ktorá zostavuje konsolidovanú účtovnú závierku za najväčšiu skupinu, ktorej súčasťou je účtovná jednotka ako dcérska účtovná jednotka,</w:t>
      </w:r>
    </w:p>
    <w:p>
      <w:pPr>
        <w:spacing w:line="162" w:lineRule="exact"/>
        <w:rPr>
          <w:rFonts w:ascii="Arial" w:hAnsi="Arial" w:eastAsia="Arial" w:cs="Arial"/>
          <w:sz w:val="20"/>
          <w:szCs w:val="20"/>
        </w:rPr>
      </w:pPr>
    </w:p>
    <w:p>
      <w:pPr>
        <w:numPr>
          <w:ilvl w:val="0"/>
          <w:numId w:val="2"/>
        </w:numPr>
        <w:tabs>
          <w:tab w:val="left" w:pos="293"/>
        </w:tabs>
        <w:spacing w:line="256" w:lineRule="auto"/>
        <w:ind w:left="60" w:right="440" w:firstLine="3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obchodné meno a sídlo účtovnej jednotky, ktorá zostavuje konsolidovanú účtovnú závierku za najmenšiu skupinu, ktorej súčasťou je účtovná jednotka ako dcérska účtovná jednotka, a ktorá je tiež začlenená do skupiny účtovných jednotiek uvedených v písmene a),</w:t>
      </w:r>
    </w:p>
    <w:p>
      <w:pPr>
        <w:spacing w:line="180" w:lineRule="exact"/>
        <w:rPr>
          <w:rFonts w:ascii="Arial" w:hAnsi="Arial" w:eastAsia="Arial" w:cs="Arial"/>
          <w:sz w:val="20"/>
          <w:szCs w:val="20"/>
        </w:rPr>
      </w:pPr>
    </w:p>
    <w:p>
      <w:pPr>
        <w:numPr>
          <w:ilvl w:val="0"/>
          <w:numId w:val="2"/>
        </w:numPr>
        <w:tabs>
          <w:tab w:val="left" w:pos="280"/>
        </w:tabs>
        <w:ind w:left="280" w:hanging="217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adresa, kde sa môže vyžiadať kópia konsolidovaných účtovných závierok uvedených v písmenách a) a b),</w:t>
      </w:r>
    </w:p>
    <w:p>
      <w:pPr>
        <w:spacing w:line="228" w:lineRule="exact"/>
        <w:rPr>
          <w:rFonts w:ascii="Arial" w:hAnsi="Arial" w:eastAsia="Arial" w:cs="Arial"/>
          <w:sz w:val="20"/>
          <w:szCs w:val="20"/>
        </w:rPr>
      </w:pPr>
    </w:p>
    <w:p>
      <w:pPr>
        <w:numPr>
          <w:ilvl w:val="0"/>
          <w:numId w:val="2"/>
        </w:numPr>
        <w:tabs>
          <w:tab w:val="left" w:pos="293"/>
        </w:tabs>
        <w:spacing w:line="274" w:lineRule="auto"/>
        <w:ind w:left="60" w:right="1160" w:firstLine="3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údaj, či účtovná jednotka je materskou účtovnou jednotkou a údaj, či je oslobodená od povinnosti zostaviť konsolidovanú účtovnú závierku a konsolidovanú výročnú správu podľa § 22 zákona, pričom sa uvádzajú</w:t>
      </w:r>
    </w:p>
    <w:p>
      <w:pPr>
        <w:spacing w:line="162" w:lineRule="exact"/>
        <w:rPr>
          <w:rFonts w:ascii="Arial" w:hAnsi="Arial" w:eastAsia="Arial" w:cs="Arial"/>
          <w:sz w:val="20"/>
          <w:szCs w:val="20"/>
        </w:rPr>
      </w:pPr>
    </w:p>
    <w:p>
      <w:pPr>
        <w:numPr>
          <w:ilvl w:val="1"/>
          <w:numId w:val="2"/>
        </w:numPr>
        <w:tabs>
          <w:tab w:val="left" w:pos="500"/>
        </w:tabs>
        <w:spacing w:line="239" w:lineRule="auto"/>
        <w:ind w:left="500" w:right="920" w:hanging="214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pri oslobodení podľa § 22 ods. 8 zákona obchodné meno a sídlo materskej účtovnej jednotky zostavujúcej konsolidovanú účtovnú závierku podľa osobitných predpisov,12)</w:t>
      </w:r>
    </w:p>
    <w:p>
      <w:pPr>
        <w:numPr>
          <w:ilvl w:val="1"/>
          <w:numId w:val="2"/>
        </w:numPr>
        <w:tabs>
          <w:tab w:val="left" w:pos="500"/>
        </w:tabs>
        <w:ind w:left="500" w:hanging="214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pri oslobodení podľa § 22 ods. 10 a 12 zákona obchodné meno a sídlo dcérskych účtovných jednotiek.</w:t>
      </w:r>
    </w:p>
    <w:p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drawing>
          <wp:anchor distT="0" distB="0" distL="114300" distR="114300" simplePos="0" relativeHeight="251680768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22225</wp:posOffset>
            </wp:positionV>
            <wp:extent cx="6849745" cy="3238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9745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line="51" w:lineRule="exact"/>
        <w:rPr>
          <w:sz w:val="20"/>
          <w:szCs w:val="20"/>
        </w:rPr>
      </w:pPr>
    </w:p>
    <w:p>
      <w:pPr>
        <w:spacing w:line="257" w:lineRule="auto"/>
        <w:ind w:left="180" w:right="180" w:hanging="110"/>
        <w:rPr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'- účtovná jednotka nezostavuje konsolidovanú účtovnú závierku, ani sa nezahrňa do konsolidovvanej účtovnej závierky inej spoločnosti.'</w:t>
      </w:r>
    </w:p>
    <w:p>
      <w:pPr>
        <w:spacing w:line="1" w:lineRule="exact"/>
        <w:rPr>
          <w:sz w:val="20"/>
          <w:szCs w:val="20"/>
        </w:rPr>
      </w:pPr>
    </w:p>
    <w:p>
      <w:pPr>
        <w:spacing w:line="251" w:lineRule="auto"/>
        <w:ind w:left="60" w:right="1300"/>
        <w:jc w:val="both"/>
        <w:rPr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 xml:space="preserve">Čl. I - (6) </w:t>
      </w:r>
      <w:r>
        <w:rPr>
          <w:rFonts w:ascii="Arial" w:hAnsi="Arial" w:eastAsia="Arial" w:cs="Arial"/>
          <w:sz w:val="20"/>
          <w:szCs w:val="20"/>
        </w:rPr>
        <w:t>Priemerný prepočítaný počet zamestnancov účtovnej jednotky počas účtovného obdobia, počet</w:t>
      </w:r>
      <w:r>
        <w:rPr>
          <w:rFonts w:ascii="Arial" w:hAnsi="Arial" w:eastAsia="Arial" w:cs="Arial"/>
          <w:b/>
          <w:bCs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zamestnancov účtovnej jednotky ku dňu, ku ktorému sa zostavuje účtovná závierka, z toho počet vedúcich zamestnancov, ktorými sa rozumejú členovia štatutárneho orgánu účtovnej jednotky a vedúci zamestnanci v priamej pôsobnosti štatutárneho orgánu alebo člena štatutárneho orgánu.</w:t>
      </w:r>
    </w:p>
    <w:p>
      <w:pPr>
        <w:spacing w:line="4" w:lineRule="exact"/>
        <w:rPr>
          <w:sz w:val="20"/>
          <w:szCs w:val="20"/>
        </w:rPr>
      </w:pPr>
    </w:p>
    <w:p>
      <w:pPr>
        <w:ind w:left="60"/>
        <w:rPr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Tabuľka 1: Informácie k Čl. I odst. 6 o počte zamestnancov</w:t>
      </w:r>
    </w:p>
    <w:p>
      <w:pPr>
        <w:spacing w:line="17" w:lineRule="exact"/>
        <w:rPr>
          <w:sz w:val="20"/>
          <w:szCs w:val="20"/>
        </w:rPr>
      </w:pPr>
    </w:p>
    <w:tbl>
      <w:tblPr>
        <w:tblStyle w:val="3"/>
        <w:tblW w:w="0" w:type="auto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80"/>
        <w:gridCol w:w="3180"/>
        <w:gridCol w:w="3340"/>
        <w:gridCol w:w="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28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150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80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523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3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264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143" w:hRule="atLeast"/>
        </w:trPr>
        <w:tc>
          <w:tcPr>
            <w:tcW w:w="428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318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334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ind w:right="564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428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318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334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" w:hRule="atLeast"/>
        </w:trPr>
        <w:tc>
          <w:tcPr>
            <w:tcW w:w="428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31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305" w:hRule="atLeast"/>
        </w:trPr>
        <w:tc>
          <w:tcPr>
            <w:tcW w:w="428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3180" w:type="dxa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</w:p>
        </w:tc>
        <w:tc>
          <w:tcPr>
            <w:tcW w:w="3340" w:type="dxa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42" w:hRule="atLeast"/>
        </w:trPr>
        <w:tc>
          <w:tcPr>
            <w:tcW w:w="428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31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71" w:hRule="atLeast"/>
        </w:trPr>
        <w:tc>
          <w:tcPr>
            <w:tcW w:w="428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Stav zamestnancov ku dňu, ku ktorému</w:t>
            </w:r>
          </w:p>
        </w:tc>
        <w:tc>
          <w:tcPr>
            <w:tcW w:w="318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</w:p>
        </w:tc>
        <w:tc>
          <w:tcPr>
            <w:tcW w:w="334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148" w:hRule="atLeast"/>
        </w:trPr>
        <w:tc>
          <w:tcPr>
            <w:tcW w:w="4280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sa zostavuje účtovná závierka, z toho:</w:t>
            </w:r>
          </w:p>
        </w:tc>
        <w:tc>
          <w:tcPr>
            <w:tcW w:w="318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334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</w:trPr>
        <w:tc>
          <w:tcPr>
            <w:tcW w:w="428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334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" w:hRule="atLeast"/>
        </w:trPr>
        <w:tc>
          <w:tcPr>
            <w:tcW w:w="428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31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28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3180" w:type="dxa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</w:p>
        </w:tc>
        <w:tc>
          <w:tcPr>
            <w:tcW w:w="3340" w:type="dxa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57" w:hRule="atLeast"/>
        </w:trPr>
        <w:tc>
          <w:tcPr>
            <w:tcW w:w="428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31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33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</w:tbl>
    <w:p>
      <w:pPr>
        <w:spacing w:line="20" w:lineRule="exact"/>
        <w:rPr>
          <w:sz w:val="20"/>
          <w:szCs w:val="20"/>
        </w:rPr>
      </w:pPr>
    </w:p>
    <w:p>
      <w:pPr>
        <w:spacing w:line="239" w:lineRule="auto"/>
        <w:ind w:left="60" w:right="1100"/>
        <w:rPr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 xml:space="preserve">Čl.II - (2) </w:t>
      </w:r>
      <w:r>
        <w:rPr>
          <w:rFonts w:ascii="Arial" w:hAnsi="Arial" w:eastAsia="Arial" w:cs="Arial"/>
          <w:sz w:val="20"/>
          <w:szCs w:val="20"/>
        </w:rPr>
        <w:t>Informácia o aplikácií účtovných zásad a účtovných metód, ktoré sú dôležité na posúdenie majetku,</w:t>
      </w:r>
      <w:r>
        <w:rPr>
          <w:rFonts w:ascii="Arial" w:hAnsi="Arial" w:eastAsia="Arial" w:cs="Arial"/>
          <w:b/>
          <w:bCs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záväzkov, finančnej situácie a výsledku hospodárenia. Informácia o zmenách účtovných zásad a zmenách účtovných metód, a to s uvedením dôvodu ich uplatnenia a ich vplyvu na hodnotu majetku, záväzkov, vlastného imania a výsledku hospodárenia účtovnej jednotky. Ak v dôsledku zmeny účtovných zásad</w:t>
      </w:r>
    </w:p>
    <w:p>
      <w:pPr>
        <w:spacing w:line="3" w:lineRule="exact"/>
        <w:rPr>
          <w:sz w:val="20"/>
          <w:szCs w:val="20"/>
        </w:rPr>
      </w:pPr>
    </w:p>
    <w:p>
      <w:pPr>
        <w:spacing w:line="301" w:lineRule="auto"/>
        <w:ind w:left="60" w:right="1860"/>
        <w:rPr>
          <w:sz w:val="20"/>
          <w:szCs w:val="20"/>
        </w:rPr>
      </w:pPr>
      <w:r>
        <w:rPr>
          <w:rFonts w:ascii="Arial" w:hAnsi="Arial" w:eastAsia="Arial" w:cs="Arial"/>
          <w:sz w:val="19"/>
          <w:szCs w:val="19"/>
        </w:rPr>
        <w:t>a účtovných metód nie sú hodnoty za bezprostredne predchádzajúce účtovné obdobie v jednotlivých súčastiach účtovnej závierky porovnateľné, uvádza sa vysvetlenie o neporovnateľných hodnotách.</w:t>
      </w:r>
    </w:p>
    <w:p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drawing>
          <wp:anchor distT="0" distB="0" distL="114300" distR="114300" simplePos="0" relativeHeight="251681792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-17145</wp:posOffset>
            </wp:positionV>
            <wp:extent cx="6849745" cy="18986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9745" cy="189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60"/>
        <w:rPr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- účtovná jednotka účtuje v sústave PÚ.</w:t>
      </w:r>
    </w:p>
    <w:p>
      <w:pPr>
        <w:sectPr>
          <w:pgSz w:w="11920" w:h="16845"/>
          <w:pgMar w:top="549" w:right="550" w:bottom="1440" w:left="560" w:header="0" w:footer="0" w:gutter="0"/>
          <w:cols w:equalWidth="0" w:num="1">
            <w:col w:w="10800"/>
          </w:cols>
        </w:sectPr>
      </w:pPr>
    </w:p>
    <w:tbl>
      <w:tblPr>
        <w:tblStyle w:val="3"/>
        <w:tblW w:w="0" w:type="auto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520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bookmarkStart w:id="2" w:name="page3"/>
            <w:bookmarkEnd w:id="2"/>
            <w:r>
              <w:rPr>
                <w:rFonts w:ascii="Arial" w:hAnsi="Arial" w:eastAsia="Arial" w:cs="Arial"/>
                <w:sz w:val="20"/>
                <w:szCs w:val="20"/>
              </w:rPr>
              <w:t>Poznámky Úč MÚJ 3 - 01</w:t>
            </w:r>
          </w:p>
        </w:tc>
        <w:tc>
          <w:tcPr>
            <w:tcW w:w="1600" w:type="dxa"/>
            <w:tcBorders>
              <w:right w:val="single" w:color="auto" w:sz="8" w:space="0"/>
            </w:tcBorders>
            <w:vAlign w:val="bottom"/>
          </w:tcPr>
          <w:p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color="auto" w:sz="8" w:space="0"/>
            </w:tcBorders>
            <w:vAlign w:val="bottom"/>
          </w:tcPr>
          <w:p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660" w:type="dxa"/>
            <w:vAlign w:val="bottom"/>
          </w:tcPr>
          <w:p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w w:val="97"/>
                <w:sz w:val="20"/>
                <w:szCs w:val="20"/>
              </w:rPr>
              <w:t>str.3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" w:hRule="atLeast"/>
        </w:trPr>
        <w:tc>
          <w:tcPr>
            <w:tcW w:w="252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133" w:lineRule="exact"/>
        <w:rPr>
          <w:sz w:val="20"/>
          <w:szCs w:val="20"/>
        </w:rPr>
      </w:pPr>
    </w:p>
    <w:p>
      <w:pPr>
        <w:ind w:left="460" w:right="1160" w:hanging="388"/>
        <w:rPr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 xml:space="preserve">Čl.II - (4) </w:t>
      </w:r>
      <w:r>
        <w:rPr>
          <w:rFonts w:ascii="Arial" w:hAnsi="Arial" w:eastAsia="Arial" w:cs="Arial"/>
          <w:sz w:val="20"/>
          <w:szCs w:val="20"/>
        </w:rPr>
        <w:t>Spôsob a určenie ocenenia majetku a záväzkov vrátane určenia rozhodujúcich účtovných odhadov</w:t>
      </w:r>
      <w:r>
        <w:rPr>
          <w:rFonts w:ascii="Arial" w:hAnsi="Arial" w:eastAsia="Arial" w:cs="Arial"/>
          <w:b/>
          <w:bCs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a predpokladov, pričom sa zohľadňuje zásada významnosti. Uvádza sa najmä</w:t>
      </w:r>
    </w:p>
    <w:p>
      <w:pPr>
        <w:numPr>
          <w:ilvl w:val="0"/>
          <w:numId w:val="3"/>
        </w:numPr>
        <w:tabs>
          <w:tab w:val="left" w:pos="293"/>
        </w:tabs>
        <w:spacing w:line="239" w:lineRule="auto"/>
        <w:ind w:left="60" w:right="1880" w:firstLine="3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obstarávacia cena, vlastné náklady, menovitá hodnota, reálna hodnota, hodnota zistená metódou vlastného imania, aktivovanie úrokov tvoriacich súčasť ocenenia majetku a záväzkov,</w:t>
      </w:r>
    </w:p>
    <w:p>
      <w:pPr>
        <w:numPr>
          <w:ilvl w:val="0"/>
          <w:numId w:val="3"/>
        </w:numPr>
        <w:tabs>
          <w:tab w:val="left" w:pos="300"/>
        </w:tabs>
        <w:ind w:left="300" w:hanging="237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určenie odhadu zníženia hodnoty majetku a tvorba opravnej položky k majetku,</w:t>
      </w:r>
    </w:p>
    <w:p>
      <w:pPr>
        <w:numPr>
          <w:ilvl w:val="0"/>
          <w:numId w:val="3"/>
        </w:numPr>
        <w:tabs>
          <w:tab w:val="left" w:pos="280"/>
        </w:tabs>
        <w:ind w:left="280" w:hanging="217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určenie ocenenia záväzkov, stanovenie odhadu ocenenia rezerv,</w:t>
      </w:r>
    </w:p>
    <w:p>
      <w:pPr>
        <w:numPr>
          <w:ilvl w:val="0"/>
          <w:numId w:val="3"/>
        </w:numPr>
        <w:tabs>
          <w:tab w:val="left" w:pos="293"/>
        </w:tabs>
        <w:spacing w:line="239" w:lineRule="auto"/>
        <w:ind w:left="60" w:right="840" w:firstLine="3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určenie ocenenia finančných nástrojov alebo majetku, ktorý nie je finančným nástrojom pri oceňovaní reálnou hodnotou, a to:</w:t>
      </w:r>
    </w:p>
    <w:p>
      <w:pPr>
        <w:numPr>
          <w:ilvl w:val="1"/>
          <w:numId w:val="3"/>
        </w:numPr>
        <w:tabs>
          <w:tab w:val="left" w:pos="560"/>
        </w:tabs>
        <w:spacing w:line="239" w:lineRule="auto"/>
        <w:ind w:left="560" w:right="200" w:hanging="21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určenie ocenenia reálnou hodnotou, pričom sa uvádza aplikácia reálnej hodnoty podľa zákona; pri kvalifikovanom odhade sa uvádza stanovenie významných predpokladov slúžiacich ako základ modelov a postupov ocenenia,</w:t>
      </w:r>
    </w:p>
    <w:p>
      <w:pPr>
        <w:numPr>
          <w:ilvl w:val="1"/>
          <w:numId w:val="3"/>
        </w:numPr>
        <w:tabs>
          <w:tab w:val="left" w:pos="560"/>
        </w:tabs>
        <w:spacing w:line="239" w:lineRule="auto"/>
        <w:ind w:left="560" w:hanging="21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pre každú kategóriu finančných nástrojov alebo majetku, ktorý nie je finančným nástrojom sa uvádza reálna hodnota a údaj o tom, v akej sume sa zmeny reálnej hodnoty zahrnuli do výkazu ziskov a strát a v akej sume sa zahrnuli do vlastného imania ako oceňovacie rozdiely,</w:t>
      </w:r>
    </w:p>
    <w:p>
      <w:pPr>
        <w:numPr>
          <w:ilvl w:val="1"/>
          <w:numId w:val="3"/>
        </w:numPr>
        <w:tabs>
          <w:tab w:val="left" w:pos="560"/>
        </w:tabs>
        <w:spacing w:line="239" w:lineRule="auto"/>
        <w:ind w:left="560" w:right="40" w:hanging="21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pre každý druh derivátových finančných nástrojov informácie o rozsahu a podstate týchto nástrojov vrátane hlavnýc podmienok a okolností, ktoré môžu ovplyvniť sumu, časový priebeh a mieru istoty budúcich peňažných tokov,</w:t>
      </w:r>
    </w:p>
    <w:p>
      <w:pPr>
        <w:numPr>
          <w:ilvl w:val="0"/>
          <w:numId w:val="3"/>
        </w:numPr>
        <w:tabs>
          <w:tab w:val="left" w:pos="300"/>
        </w:tabs>
        <w:ind w:left="300" w:hanging="237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určenie ocenenia finančných nástrojov pri oceňovaní obstarávacou cenou alebo vlastnými nákladmi, a to:</w:t>
      </w:r>
    </w:p>
    <w:p>
      <w:pPr>
        <w:numPr>
          <w:ilvl w:val="1"/>
          <w:numId w:val="3"/>
        </w:numPr>
        <w:tabs>
          <w:tab w:val="left" w:pos="560"/>
        </w:tabs>
        <w:spacing w:line="239" w:lineRule="auto"/>
        <w:ind w:left="560" w:right="440" w:hanging="21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pre každý druh derivátových finančných nástrojov sa uvádza reálna hodnota týchto finančných nástrojov, ak sa môže spoľahlivo určiť ako trhová cena a informácia o rozsahu a charaktere týchto nástrojov,</w:t>
      </w:r>
    </w:p>
    <w:p>
      <w:pPr>
        <w:numPr>
          <w:ilvl w:val="1"/>
          <w:numId w:val="3"/>
        </w:numPr>
        <w:tabs>
          <w:tab w:val="left" w:pos="560"/>
        </w:tabs>
        <w:ind w:left="560" w:hanging="21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pri dlhodobom finančnom majetku, ktorý sa vykazuje vo vyššej hodnote ako je jeho reálna hodnota, sa uvádza</w:t>
      </w:r>
    </w:p>
    <w:p>
      <w:pPr>
        <w:spacing w:line="239" w:lineRule="auto"/>
        <w:ind w:left="900" w:right="400" w:hanging="277"/>
        <w:rPr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2a. účtovná hodnota a reálna hodnota za jednotlivé položky majetku alebo skupiny týchto jednotlivých položiek majetku,</w:t>
      </w:r>
    </w:p>
    <w:p>
      <w:pPr>
        <w:spacing w:line="239" w:lineRule="auto"/>
        <w:ind w:left="960" w:right="640" w:hanging="333"/>
        <w:rPr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2b. dôvod pre nezníženie účtovnej hodnoty vrátane povahy dôkazov pre predpoklad, že sa účtovná hodnota opätovne dosiahne,</w:t>
      </w:r>
    </w:p>
    <w:p>
      <w:pPr>
        <w:numPr>
          <w:ilvl w:val="0"/>
          <w:numId w:val="4"/>
        </w:numPr>
        <w:tabs>
          <w:tab w:val="left" w:pos="238"/>
        </w:tabs>
        <w:spacing w:line="239" w:lineRule="auto"/>
        <w:ind w:left="60" w:right="600" w:firstLine="3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tvorba odpisového plánu pre dlhodobý majetok, pričom sa uvádza doba odpisovania, sadzby odpisov a odpisové metódy pre účtovné odpisy,</w:t>
      </w:r>
    </w:p>
    <w:p>
      <w:pPr>
        <w:numPr>
          <w:ilvl w:val="0"/>
          <w:numId w:val="4"/>
        </w:numPr>
        <w:tabs>
          <w:tab w:val="left" w:pos="300"/>
        </w:tabs>
        <w:ind w:left="300" w:hanging="237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informácia o poskytnutých dotáciách a pri dotáciách na obstaranie majetku sa uvedú zložky majetku a ich ocenenie.</w:t>
      </w:r>
    </w:p>
    <w:p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drawing>
          <wp:anchor distT="0" distB="0" distL="114300" distR="114300" simplePos="0" relativeHeight="251682816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8255</wp:posOffset>
            </wp:positionV>
            <wp:extent cx="6849745" cy="46672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974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line="29" w:lineRule="exact"/>
        <w:rPr>
          <w:sz w:val="20"/>
          <w:szCs w:val="20"/>
        </w:rPr>
      </w:pPr>
    </w:p>
    <w:p>
      <w:pPr>
        <w:ind w:left="60"/>
        <w:rPr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'- zásoby v r.2016 neboli obstaravané.</w:t>
      </w:r>
    </w:p>
    <w:p>
      <w:pPr>
        <w:numPr>
          <w:ilvl w:val="0"/>
          <w:numId w:val="5"/>
        </w:numPr>
        <w:tabs>
          <w:tab w:val="left" w:pos="180"/>
        </w:tabs>
        <w:ind w:left="180" w:hanging="117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dlhodobý odpisovaný majetok firma nevlastní.</w:t>
      </w:r>
    </w:p>
    <w:p>
      <w:pPr>
        <w:numPr>
          <w:ilvl w:val="0"/>
          <w:numId w:val="5"/>
        </w:numPr>
        <w:tabs>
          <w:tab w:val="left" w:pos="180"/>
        </w:tabs>
        <w:ind w:left="180" w:hanging="117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záväzky a finančný majetok boli oceňované menovitou hodnotou.'</w:t>
      </w:r>
    </w:p>
    <w:p>
      <w:pPr>
        <w:spacing w:line="370" w:lineRule="exact"/>
        <w:rPr>
          <w:sz w:val="20"/>
          <w:szCs w:val="20"/>
        </w:rPr>
      </w:pPr>
    </w:p>
    <w:p>
      <w:pPr>
        <w:ind w:left="60"/>
        <w:rPr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>Čl.III - q)</w:t>
      </w:r>
      <w:r>
        <w:rPr>
          <w:rFonts w:ascii="Arial" w:hAnsi="Arial" w:eastAsia="Arial" w:cs="Arial"/>
          <w:sz w:val="20"/>
          <w:szCs w:val="20"/>
        </w:rPr>
        <w:t>hodnote pohľadávok do lehoty splatnosti a po lehote splatnosti,</w:t>
      </w:r>
    </w:p>
    <w:p>
      <w:pPr>
        <w:spacing w:line="54" w:lineRule="exact"/>
        <w:rPr>
          <w:sz w:val="20"/>
          <w:szCs w:val="20"/>
        </w:rPr>
      </w:pPr>
    </w:p>
    <w:p>
      <w:pPr>
        <w:ind w:left="60"/>
        <w:rPr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>Tabuľka 19: Informácie k Čl. III odst.1 písm. q) o vekovej štruktúre pohľadávok</w:t>
      </w:r>
    </w:p>
    <w:p>
      <w:pPr>
        <w:spacing w:line="19" w:lineRule="exact"/>
        <w:rPr>
          <w:sz w:val="20"/>
          <w:szCs w:val="20"/>
        </w:rPr>
      </w:pPr>
    </w:p>
    <w:tbl>
      <w:tblPr>
        <w:tblStyle w:val="3"/>
        <w:tblW w:w="0" w:type="auto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60"/>
        <w:gridCol w:w="2220"/>
        <w:gridCol w:w="2220"/>
        <w:gridCol w:w="2200"/>
        <w:gridCol w:w="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160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144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V lehote splatnosti</w:t>
            </w:r>
          </w:p>
        </w:tc>
        <w:tc>
          <w:tcPr>
            <w:tcW w:w="2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2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220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27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Pohľadávky spolu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202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a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99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b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c</w:t>
            </w: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99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d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Dlhodobé pohľadávky</w:t>
            </w:r>
          </w:p>
        </w:tc>
        <w:tc>
          <w:tcPr>
            <w:tcW w:w="2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2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Pohľadávky z obchodného styku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416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Pohľadávka voči dcérskej účtovnej jednotke a</w:t>
            </w:r>
          </w:p>
        </w:tc>
        <w:tc>
          <w:tcPr>
            <w:tcW w:w="222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</w:trPr>
        <w:tc>
          <w:tcPr>
            <w:tcW w:w="4160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materskej účtovnej jednotke</w:t>
            </w:r>
          </w:p>
        </w:tc>
        <w:tc>
          <w:tcPr>
            <w:tcW w:w="222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416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416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Ostatné pohľadávky v rámci konsolidovaného</w:t>
            </w:r>
          </w:p>
        </w:tc>
        <w:tc>
          <w:tcPr>
            <w:tcW w:w="222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</w:trPr>
        <w:tc>
          <w:tcPr>
            <w:tcW w:w="4160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celku</w:t>
            </w:r>
          </w:p>
        </w:tc>
        <w:tc>
          <w:tcPr>
            <w:tcW w:w="222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416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Iné pohľadávky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Krátkodobé pohľadávky</w:t>
            </w:r>
          </w:p>
        </w:tc>
        <w:tc>
          <w:tcPr>
            <w:tcW w:w="2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Pohľadávky z obchodného styku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10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416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Pohľadávka voči dcérskej účtovnej jednotke a</w:t>
            </w:r>
          </w:p>
        </w:tc>
        <w:tc>
          <w:tcPr>
            <w:tcW w:w="222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</w:trPr>
        <w:tc>
          <w:tcPr>
            <w:tcW w:w="4160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materskej účtovnej jednotke</w:t>
            </w:r>
          </w:p>
        </w:tc>
        <w:tc>
          <w:tcPr>
            <w:tcW w:w="222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416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416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Ostatné pohľadávky v rámci konsolidovaného</w:t>
            </w:r>
          </w:p>
        </w:tc>
        <w:tc>
          <w:tcPr>
            <w:tcW w:w="222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133" w:hRule="atLeast"/>
        </w:trPr>
        <w:tc>
          <w:tcPr>
            <w:tcW w:w="4160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celku</w:t>
            </w:r>
          </w:p>
        </w:tc>
        <w:tc>
          <w:tcPr>
            <w:tcW w:w="222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416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Sociálne poistenie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Daňové pohľadávky a dotácie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Iné pohľadávky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41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10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</w:tbl>
    <w:p>
      <w:pPr>
        <w:sectPr>
          <w:pgSz w:w="11920" w:h="16845"/>
          <w:pgMar w:top="549" w:right="550" w:bottom="1440" w:left="560" w:header="0" w:footer="0" w:gutter="0"/>
          <w:cols w:equalWidth="0" w:num="1">
            <w:col w:w="10800"/>
          </w:cols>
        </w:sectPr>
      </w:pPr>
    </w:p>
    <w:p>
      <w:pPr>
        <w:spacing w:line="1" w:lineRule="exact"/>
        <w:rPr>
          <w:sz w:val="20"/>
          <w:szCs w:val="20"/>
        </w:rPr>
      </w:pPr>
      <w:bookmarkStart w:id="3" w:name="page4"/>
      <w:bookmarkEnd w:id="3"/>
    </w:p>
    <w:tbl>
      <w:tblPr>
        <w:tblStyle w:val="3"/>
        <w:tblW w:w="0" w:type="auto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0"/>
        <w:gridCol w:w="900"/>
        <w:gridCol w:w="700"/>
        <w:gridCol w:w="220"/>
        <w:gridCol w:w="220"/>
        <w:gridCol w:w="240"/>
        <w:gridCol w:w="220"/>
        <w:gridCol w:w="220"/>
        <w:gridCol w:w="240"/>
        <w:gridCol w:w="220"/>
        <w:gridCol w:w="220"/>
        <w:gridCol w:w="1700"/>
        <w:gridCol w:w="40"/>
        <w:gridCol w:w="14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180"/>
        <w:gridCol w:w="560"/>
        <w:gridCol w:w="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520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Poznámky Úč MÚJ 3 - 01</w:t>
            </w:r>
          </w:p>
        </w:tc>
        <w:tc>
          <w:tcPr>
            <w:tcW w:w="90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w w:val="95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</w:t>
            </w:r>
          </w:p>
        </w:tc>
        <w:tc>
          <w:tcPr>
            <w:tcW w:w="1740" w:type="dxa"/>
            <w:gridSpan w:val="2"/>
            <w:vAlign w:val="bottom"/>
          </w:tcPr>
          <w:p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w w:val="92"/>
                <w:sz w:val="20"/>
                <w:szCs w:val="20"/>
              </w:rPr>
              <w:t>DIČ</w:t>
            </w:r>
          </w:p>
        </w:tc>
        <w:tc>
          <w:tcPr>
            <w:tcW w:w="14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4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5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18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str.4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" w:hRule="atLeast"/>
        </w:trPr>
        <w:tc>
          <w:tcPr>
            <w:tcW w:w="252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gridSpan w:val="2"/>
            <w:tcBorders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5920" w:type="dxa"/>
            <w:gridSpan w:val="11"/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Čl.III - t)</w:t>
            </w:r>
            <w:r>
              <w:rPr>
                <w:rFonts w:ascii="Arial" w:hAnsi="Arial" w:eastAsia="Arial" w:cs="Arial"/>
                <w:sz w:val="20"/>
                <w:szCs w:val="20"/>
              </w:rPr>
              <w:t>zložkách krátkodobého finančného majetku,</w:t>
            </w:r>
          </w:p>
        </w:tc>
        <w:tc>
          <w:tcPr>
            <w:tcW w:w="170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56" w:hRule="atLeast"/>
        </w:trPr>
        <w:tc>
          <w:tcPr>
            <w:tcW w:w="10240" w:type="dxa"/>
            <w:gridSpan w:val="25"/>
            <w:tcBorders>
              <w:bottom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Tabuľka 21: Informácie k Čl. III odst.1 písm t) o krátkodobom finančnom majetku</w:t>
            </w:r>
          </w:p>
        </w:tc>
        <w:tc>
          <w:tcPr>
            <w:tcW w:w="56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3420" w:type="dxa"/>
            <w:gridSpan w:val="2"/>
            <w:vMerge w:val="restart"/>
            <w:tcBorders>
              <w:left w:val="single" w:color="auto" w:sz="8" w:space="0"/>
            </w:tcBorders>
            <w:vAlign w:val="bottom"/>
          </w:tcPr>
          <w:p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00" w:type="dxa"/>
            <w:vAlign w:val="bottom"/>
          </w:tcPr>
          <w:p/>
        </w:tc>
        <w:tc>
          <w:tcPr>
            <w:tcW w:w="220" w:type="dxa"/>
            <w:vAlign w:val="bottom"/>
          </w:tcPr>
          <w:p/>
        </w:tc>
        <w:tc>
          <w:tcPr>
            <w:tcW w:w="220" w:type="dxa"/>
            <w:vAlign w:val="bottom"/>
          </w:tcPr>
          <w:p/>
        </w:tc>
        <w:tc>
          <w:tcPr>
            <w:tcW w:w="240" w:type="dxa"/>
            <w:vAlign w:val="bottom"/>
          </w:tcPr>
          <w:p/>
        </w:tc>
        <w:tc>
          <w:tcPr>
            <w:tcW w:w="220" w:type="dxa"/>
            <w:vAlign w:val="bottom"/>
          </w:tcPr>
          <w:p/>
        </w:tc>
        <w:tc>
          <w:tcPr>
            <w:tcW w:w="220" w:type="dxa"/>
            <w:tcBorders>
              <w:right w:val="single" w:color="auto" w:sz="8" w:space="0"/>
            </w:tcBorders>
            <w:vAlign w:val="bottom"/>
          </w:tcPr>
          <w:p/>
        </w:tc>
        <w:tc>
          <w:tcPr>
            <w:tcW w:w="240" w:type="dxa"/>
            <w:vAlign w:val="bottom"/>
          </w:tcPr>
          <w:p/>
        </w:tc>
        <w:tc>
          <w:tcPr>
            <w:tcW w:w="2180" w:type="dxa"/>
            <w:gridSpan w:val="4"/>
            <w:vMerge w:val="restart"/>
            <w:vAlign w:val="bottom"/>
          </w:tcPr>
          <w:p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40" w:type="dxa"/>
            <w:vAlign w:val="bottom"/>
          </w:tcPr>
          <w:p/>
        </w:tc>
        <w:tc>
          <w:tcPr>
            <w:tcW w:w="220" w:type="dxa"/>
            <w:tcBorders>
              <w:right w:val="single" w:color="auto" w:sz="8" w:space="0"/>
            </w:tcBorders>
            <w:vAlign w:val="bottom"/>
          </w:tcPr>
          <w:p/>
        </w:tc>
        <w:tc>
          <w:tcPr>
            <w:tcW w:w="2780" w:type="dxa"/>
            <w:gridSpan w:val="11"/>
            <w:tcBorders>
              <w:right w:val="single" w:color="auto" w:sz="8" w:space="0"/>
            </w:tcBorders>
            <w:vAlign w:val="bottom"/>
          </w:tcPr>
          <w:p>
            <w:pPr>
              <w:ind w:left="2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143" w:hRule="atLeast"/>
        </w:trPr>
        <w:tc>
          <w:tcPr>
            <w:tcW w:w="3420" w:type="dxa"/>
            <w:gridSpan w:val="2"/>
            <w:vMerge w:val="continue"/>
            <w:tcBorders>
              <w:left w:val="single" w:color="auto" w:sz="8" w:space="0"/>
            </w:tcBorders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2180" w:type="dxa"/>
            <w:gridSpan w:val="4"/>
            <w:vMerge w:val="continue"/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1760" w:type="dxa"/>
            <w:gridSpan w:val="8"/>
            <w:vMerge w:val="restart"/>
            <w:vAlign w:val="bottom"/>
          </w:tcPr>
          <w:p>
            <w:pPr>
              <w:ind w:left="18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56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105" w:hRule="atLeast"/>
        </w:trPr>
        <w:tc>
          <w:tcPr>
            <w:tcW w:w="2520" w:type="dxa"/>
            <w:tcBorders>
              <w:lef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170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1760" w:type="dxa"/>
            <w:gridSpan w:val="8"/>
            <w:vMerge w:val="continue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43" w:hRule="atLeast"/>
        </w:trPr>
        <w:tc>
          <w:tcPr>
            <w:tcW w:w="3420" w:type="dxa"/>
            <w:gridSpan w:val="2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170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360" w:type="dxa"/>
            <w:gridSpan w:val="2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58" w:hRule="atLeast"/>
        </w:trPr>
        <w:tc>
          <w:tcPr>
            <w:tcW w:w="3420" w:type="dxa"/>
            <w:gridSpan w:val="2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Pokladnica, ceniny</w:t>
            </w:r>
          </w:p>
        </w:tc>
        <w:tc>
          <w:tcPr>
            <w:tcW w:w="70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70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360" w:type="dxa"/>
            <w:gridSpan w:val="2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8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3" w:hRule="atLeast"/>
        </w:trPr>
        <w:tc>
          <w:tcPr>
            <w:tcW w:w="5240" w:type="dxa"/>
            <w:gridSpan w:val="8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Bežné účty v banke alebo v pobočke zahraničnej banky</w:t>
            </w: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70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360" w:type="dxa"/>
            <w:gridSpan w:val="2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8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06" w:hRule="atLeast"/>
        </w:trPr>
        <w:tc>
          <w:tcPr>
            <w:tcW w:w="5240" w:type="dxa"/>
            <w:gridSpan w:val="8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206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Vkladové účty v banke alebo v pobočke zahraničnej banky</w:t>
            </w:r>
          </w:p>
        </w:tc>
        <w:tc>
          <w:tcPr>
            <w:tcW w:w="240" w:type="dxa"/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360" w:type="dxa"/>
            <w:gridSpan w:val="2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133" w:hRule="atLeast"/>
        </w:trPr>
        <w:tc>
          <w:tcPr>
            <w:tcW w:w="3420" w:type="dxa"/>
            <w:gridSpan w:val="2"/>
            <w:vMerge w:val="restart"/>
            <w:tcBorders>
              <w:lef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termínované</w:t>
            </w:r>
          </w:p>
        </w:tc>
        <w:tc>
          <w:tcPr>
            <w:tcW w:w="70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gridSpan w:val="2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105" w:hRule="atLeast"/>
        </w:trPr>
        <w:tc>
          <w:tcPr>
            <w:tcW w:w="3420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170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3" w:hRule="atLeast"/>
        </w:trPr>
        <w:tc>
          <w:tcPr>
            <w:tcW w:w="3420" w:type="dxa"/>
            <w:gridSpan w:val="2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Peniaze na ceste</w:t>
            </w:r>
          </w:p>
        </w:tc>
        <w:tc>
          <w:tcPr>
            <w:tcW w:w="70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70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360" w:type="dxa"/>
            <w:gridSpan w:val="2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8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5" w:hRule="atLeast"/>
        </w:trPr>
        <w:tc>
          <w:tcPr>
            <w:tcW w:w="3420" w:type="dxa"/>
            <w:gridSpan w:val="2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70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gridSpan w:val="2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40" w:hRule="atLeast"/>
        </w:trPr>
        <w:tc>
          <w:tcPr>
            <w:tcW w:w="25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90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170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1760" w:type="dxa"/>
            <w:gridSpan w:val="8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07" w:hRule="atLeast"/>
        </w:trPr>
        <w:tc>
          <w:tcPr>
            <w:tcW w:w="2520" w:type="dxa"/>
            <w:tcBorders>
              <w:left w:val="single" w:color="auto" w:sz="8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gridSpan w:val="8"/>
            <w:vAlign w:val="bottom"/>
          </w:tcPr>
          <w:p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w w:val="99"/>
                <w:sz w:val="18"/>
                <w:szCs w:val="18"/>
              </w:rPr>
              <w:t>Bezprostredne</w:t>
            </w:r>
          </w:p>
        </w:tc>
        <w:tc>
          <w:tcPr>
            <w:tcW w:w="56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10" w:hRule="atLeast"/>
        </w:trPr>
        <w:tc>
          <w:tcPr>
            <w:tcW w:w="2520" w:type="dxa"/>
            <w:tcBorders>
              <w:left w:val="single" w:color="auto" w:sz="8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10"/>
            <w:vAlign w:val="bottom"/>
          </w:tcPr>
          <w:p>
            <w:pPr>
              <w:ind w:right="74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w w:val="99"/>
                <w:sz w:val="18"/>
                <w:szCs w:val="18"/>
              </w:rPr>
              <w:t>Názov položky</w:t>
            </w:r>
          </w:p>
        </w:tc>
        <w:tc>
          <w:tcPr>
            <w:tcW w:w="170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10"/>
            <w:vAlign w:val="bottom"/>
          </w:tcPr>
          <w:p>
            <w:pPr>
              <w:ind w:left="27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w w:val="99"/>
                <w:sz w:val="18"/>
                <w:szCs w:val="18"/>
              </w:rPr>
              <w:t>predchádzajúce účtovné</w:t>
            </w:r>
          </w:p>
        </w:tc>
        <w:tc>
          <w:tcPr>
            <w:tcW w:w="56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43" w:hRule="atLeast"/>
        </w:trPr>
        <w:tc>
          <w:tcPr>
            <w:tcW w:w="2520" w:type="dxa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gridSpan w:val="7"/>
            <w:tcBorders>
              <w:bottom w:val="single" w:color="auto" w:sz="8" w:space="0"/>
            </w:tcBorders>
            <w:vAlign w:val="bottom"/>
          </w:tcPr>
          <w:p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w w:val="99"/>
                <w:sz w:val="18"/>
                <w:szCs w:val="18"/>
              </w:rPr>
              <w:t>obdobie</w:t>
            </w:r>
          </w:p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0" w:hRule="atLeast"/>
        </w:trPr>
        <w:tc>
          <w:tcPr>
            <w:tcW w:w="3420" w:type="dxa"/>
            <w:gridSpan w:val="2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70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7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8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w w:val="99"/>
                <w:sz w:val="18"/>
                <w:szCs w:val="18"/>
              </w:rPr>
              <w:t>-3419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420" w:type="dxa"/>
            <w:gridSpan w:val="2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Vysporiadanie účtovnej straty</w:t>
            </w:r>
          </w:p>
        </w:tc>
        <w:tc>
          <w:tcPr>
            <w:tcW w:w="70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7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580" w:type="dxa"/>
            <w:gridSpan w:val="12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2" w:hRule="atLeast"/>
        </w:trPr>
        <w:tc>
          <w:tcPr>
            <w:tcW w:w="3420" w:type="dxa"/>
            <w:gridSpan w:val="2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Zo zákonného rezervného fondu</w:t>
            </w:r>
          </w:p>
        </w:tc>
        <w:tc>
          <w:tcPr>
            <w:tcW w:w="70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7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8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4" w:hRule="atLeast"/>
        </w:trPr>
        <w:tc>
          <w:tcPr>
            <w:tcW w:w="3420" w:type="dxa"/>
            <w:gridSpan w:val="2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Zo štatutárnych a ostatných fondov</w:t>
            </w:r>
          </w:p>
        </w:tc>
        <w:tc>
          <w:tcPr>
            <w:tcW w:w="70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7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8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3" w:hRule="atLeast"/>
        </w:trPr>
        <w:tc>
          <w:tcPr>
            <w:tcW w:w="3420" w:type="dxa"/>
            <w:gridSpan w:val="2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Z nerozdeleného zisku minulých období</w:t>
            </w:r>
          </w:p>
        </w:tc>
        <w:tc>
          <w:tcPr>
            <w:tcW w:w="70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7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8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3" w:hRule="atLeast"/>
        </w:trPr>
        <w:tc>
          <w:tcPr>
            <w:tcW w:w="3420" w:type="dxa"/>
            <w:gridSpan w:val="2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Úhrada straty spoločníkmi</w:t>
            </w:r>
          </w:p>
        </w:tc>
        <w:tc>
          <w:tcPr>
            <w:tcW w:w="70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7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8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4" w:hRule="atLeast"/>
        </w:trPr>
        <w:tc>
          <w:tcPr>
            <w:tcW w:w="4120" w:type="dxa"/>
            <w:gridSpan w:val="3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Prevod do neuhradenej straty minulých rokov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7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8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w w:val="99"/>
                <w:sz w:val="18"/>
                <w:szCs w:val="18"/>
              </w:rPr>
              <w:t>-3419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3" w:hRule="atLeast"/>
        </w:trPr>
        <w:tc>
          <w:tcPr>
            <w:tcW w:w="3420" w:type="dxa"/>
            <w:gridSpan w:val="2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Iné</w:t>
            </w:r>
          </w:p>
        </w:tc>
        <w:tc>
          <w:tcPr>
            <w:tcW w:w="70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7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8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5" w:hRule="atLeast"/>
        </w:trPr>
        <w:tc>
          <w:tcPr>
            <w:tcW w:w="3420" w:type="dxa"/>
            <w:gridSpan w:val="2"/>
            <w:tcBorders>
              <w:left w:val="single" w:color="auto" w:sz="8" w:space="0"/>
              <w:bottom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70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w w:val="99"/>
                <w:sz w:val="18"/>
                <w:szCs w:val="18"/>
              </w:rPr>
              <w:t>-3419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</w:tbl>
    <w:p>
      <w:pPr>
        <w:spacing w:line="77" w:lineRule="exact"/>
        <w:rPr>
          <w:sz w:val="20"/>
          <w:szCs w:val="20"/>
        </w:rPr>
      </w:pPr>
    </w:p>
    <w:p>
      <w:pPr>
        <w:spacing w:line="257" w:lineRule="auto"/>
        <w:ind w:left="280" w:hanging="199"/>
        <w:jc w:val="both"/>
        <w:rPr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>Čl.III - (2) - b)</w:t>
      </w:r>
      <w:r>
        <w:rPr>
          <w:rFonts w:ascii="Arial" w:hAnsi="Arial" w:eastAsia="Arial" w:cs="Arial"/>
          <w:sz w:val="20"/>
          <w:szCs w:val="20"/>
        </w:rPr>
        <w:t>jednotlivých druhoch rezerv za bežné účtovné obdobie s uvedením ich stavu na začiatku bežného účtovného</w:t>
      </w:r>
      <w:r>
        <w:rPr>
          <w:rFonts w:ascii="Arial" w:hAnsi="Arial" w:eastAsia="Arial" w:cs="Arial"/>
          <w:b/>
          <w:bCs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obdobia, ich tvorba, použitie, zrušenie počas bežného účtovného obdobia, ich stav na konci účtovného obdobia, pričom sa uvedie predpokladaný rok použitia rezerv,</w:t>
      </w:r>
    </w:p>
    <w:p>
      <w:pPr>
        <w:spacing w:line="55" w:lineRule="exact"/>
        <w:rPr>
          <w:sz w:val="20"/>
          <w:szCs w:val="20"/>
        </w:rPr>
      </w:pPr>
    </w:p>
    <w:p>
      <w:pPr>
        <w:ind w:left="60"/>
        <w:rPr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>Tabuľka 25: Informácia k Čl. III odst. 2 písm. b) o rezervách</w:t>
      </w:r>
    </w:p>
    <w:p>
      <w:pPr>
        <w:spacing w:line="19" w:lineRule="exact"/>
        <w:rPr>
          <w:sz w:val="20"/>
          <w:szCs w:val="20"/>
        </w:rPr>
      </w:pPr>
    </w:p>
    <w:tbl>
      <w:tblPr>
        <w:tblStyle w:val="3"/>
        <w:tblW w:w="0" w:type="auto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0"/>
        <w:gridCol w:w="1640"/>
        <w:gridCol w:w="1640"/>
        <w:gridCol w:w="1640"/>
        <w:gridCol w:w="220"/>
        <w:gridCol w:w="1320"/>
        <w:gridCol w:w="1580"/>
        <w:gridCol w:w="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760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1640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/>
        </w:tc>
        <w:tc>
          <w:tcPr>
            <w:tcW w:w="3500" w:type="dxa"/>
            <w:gridSpan w:val="3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>
            <w:pPr>
              <w:ind w:left="134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320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/>
        </w:tc>
        <w:tc>
          <w:tcPr>
            <w:tcW w:w="158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2760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640" w:type="dxa"/>
            <w:tcBorders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w w:val="99"/>
                <w:sz w:val="18"/>
                <w:szCs w:val="18"/>
              </w:rPr>
              <w:t>Stav na začiatku</w:t>
            </w:r>
          </w:p>
        </w:tc>
        <w:tc>
          <w:tcPr>
            <w:tcW w:w="164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w w:val="99"/>
                <w:sz w:val="18"/>
                <w:szCs w:val="18"/>
              </w:rPr>
              <w:t>Stav na konci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" w:hRule="atLeast"/>
        </w:trPr>
        <w:tc>
          <w:tcPr>
            <w:tcW w:w="276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w w:val="98"/>
                <w:sz w:val="18"/>
                <w:szCs w:val="18"/>
              </w:rPr>
              <w:t>účtovného</w:t>
            </w:r>
          </w:p>
        </w:tc>
        <w:tc>
          <w:tcPr>
            <w:tcW w:w="164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ind w:right="47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64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ind w:right="4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22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132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ind w:right="3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58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účtovného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" w:hRule="atLeast"/>
        </w:trPr>
        <w:tc>
          <w:tcPr>
            <w:tcW w:w="276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132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158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276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w w:val="99"/>
                <w:sz w:val="18"/>
                <w:szCs w:val="18"/>
              </w:rPr>
              <w:t>obdobia</w:t>
            </w:r>
          </w:p>
        </w:tc>
        <w:tc>
          <w:tcPr>
            <w:tcW w:w="164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32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580" w:type="dxa"/>
            <w:tcBorders>
              <w:right w:val="single" w:color="auto" w:sz="8" w:space="0"/>
            </w:tcBorders>
            <w:vAlign w:val="bottom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w w:val="99"/>
                <w:sz w:val="18"/>
                <w:szCs w:val="18"/>
              </w:rPr>
              <w:t>obdobia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w w:val="99"/>
                <w:sz w:val="18"/>
                <w:szCs w:val="18"/>
              </w:rPr>
              <w:t>a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w w:val="99"/>
                <w:sz w:val="18"/>
                <w:szCs w:val="18"/>
              </w:rPr>
              <w:t>b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205" w:lineRule="exact"/>
              <w:ind w:right="7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c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205" w:lineRule="exact"/>
              <w:ind w:right="7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d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17"/>
                <w:szCs w:val="17"/>
              </w:rPr>
            </w:pPr>
          </w:p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205" w:lineRule="exact"/>
              <w:ind w:right="65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e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w w:val="78"/>
                <w:sz w:val="18"/>
                <w:szCs w:val="18"/>
              </w:rPr>
              <w:t>f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>
            <w:pPr>
              <w:rPr>
                <w:sz w:val="23"/>
                <w:szCs w:val="23"/>
              </w:rPr>
            </w:pPr>
          </w:p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100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100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100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100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276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/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color="auto" w:sz="8" w:space="0"/>
            </w:tcBorders>
            <w:vAlign w:val="bottom"/>
          </w:tcPr>
          <w:p/>
        </w:tc>
        <w:tc>
          <w:tcPr>
            <w:tcW w:w="13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</w:tbl>
    <w:p>
      <w:pPr>
        <w:sectPr>
          <w:pgSz w:w="11920" w:h="16845"/>
          <w:pgMar w:top="549" w:right="550" w:bottom="1440" w:left="560" w:header="0" w:footer="0" w:gutter="0"/>
          <w:cols w:equalWidth="0" w:num="1">
            <w:col w:w="10800"/>
          </w:cols>
        </w:sectPr>
      </w:pPr>
    </w:p>
    <w:p>
      <w:pPr>
        <w:spacing w:line="1" w:lineRule="exact"/>
        <w:rPr>
          <w:sz w:val="20"/>
          <w:szCs w:val="20"/>
        </w:rPr>
      </w:pPr>
      <w:bookmarkStart w:id="4" w:name="page5"/>
      <w:bookmarkEnd w:id="4"/>
    </w:p>
    <w:tbl>
      <w:tblPr>
        <w:tblStyle w:val="3"/>
        <w:tblW w:w="0" w:type="auto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520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Poznámky Úč MÚJ 3 - 01</w:t>
            </w:r>
          </w:p>
        </w:tc>
        <w:tc>
          <w:tcPr>
            <w:tcW w:w="1600" w:type="dxa"/>
            <w:tcBorders>
              <w:right w:val="single" w:color="auto" w:sz="8" w:space="0"/>
            </w:tcBorders>
            <w:vAlign w:val="bottom"/>
          </w:tcPr>
          <w:p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color="auto" w:sz="8" w:space="0"/>
            </w:tcBorders>
            <w:vAlign w:val="bottom"/>
          </w:tcPr>
          <w:p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660" w:type="dxa"/>
            <w:vAlign w:val="bottom"/>
          </w:tcPr>
          <w:p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w w:val="97"/>
                <w:sz w:val="20"/>
                <w:szCs w:val="20"/>
              </w:rPr>
              <w:t>str.5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" w:hRule="atLeast"/>
        </w:trPr>
        <w:tc>
          <w:tcPr>
            <w:tcW w:w="252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133" w:lineRule="exact"/>
        <w:rPr>
          <w:sz w:val="20"/>
          <w:szCs w:val="20"/>
        </w:rPr>
      </w:pPr>
    </w:p>
    <w:p>
      <w:pPr>
        <w:ind w:left="60"/>
        <w:rPr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>Čl.III - (2) - c)</w:t>
      </w:r>
      <w:r>
        <w:rPr>
          <w:rFonts w:ascii="Arial" w:hAnsi="Arial" w:eastAsia="Arial" w:cs="Arial"/>
          <w:sz w:val="20"/>
          <w:szCs w:val="20"/>
        </w:rPr>
        <w:t>výške záväzkov do lehoty splatnosti a po lehote splatnosti,</w:t>
      </w:r>
    </w:p>
    <w:p>
      <w:pPr>
        <w:spacing w:line="1" w:lineRule="exact"/>
        <w:rPr>
          <w:sz w:val="20"/>
          <w:szCs w:val="20"/>
        </w:rPr>
      </w:pPr>
    </w:p>
    <w:p>
      <w:pPr>
        <w:spacing w:line="233" w:lineRule="auto"/>
        <w:ind w:left="280" w:right="40" w:hanging="221"/>
        <w:rPr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>Čl.III - (2) - d)</w:t>
      </w:r>
      <w:r>
        <w:rPr>
          <w:rFonts w:ascii="Arial" w:hAnsi="Arial" w:eastAsia="Arial" w:cs="Arial"/>
          <w:sz w:val="20"/>
          <w:szCs w:val="20"/>
        </w:rPr>
        <w:t>štruktúre záväzkov podľa zostatkovej doby splatnosti v členení v nadväznosti na položky súvahy; uvádza sa</w:t>
      </w:r>
      <w:r>
        <w:rPr>
          <w:rFonts w:ascii="Arial" w:hAnsi="Arial" w:eastAsia="Arial" w:cs="Arial"/>
          <w:b/>
          <w:bCs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hodnota záväzkov so zostatkovou dobou splatnosti viac ako päť rokov,</w:t>
      </w:r>
    </w:p>
    <w:p>
      <w:pPr>
        <w:spacing w:line="1" w:lineRule="exact"/>
        <w:rPr>
          <w:sz w:val="20"/>
          <w:szCs w:val="20"/>
        </w:rPr>
      </w:pPr>
    </w:p>
    <w:p>
      <w:pPr>
        <w:ind w:left="60"/>
        <w:rPr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>Tabuľka 26: Informácie k Čl. III odst. 2 písm. c) a d) o záväzkoch</w:t>
      </w:r>
    </w:p>
    <w:p>
      <w:pPr>
        <w:spacing w:line="20" w:lineRule="exact"/>
        <w:rPr>
          <w:sz w:val="20"/>
          <w:szCs w:val="20"/>
        </w:rPr>
      </w:pPr>
    </w:p>
    <w:tbl>
      <w:tblPr>
        <w:tblStyle w:val="3"/>
        <w:tblW w:w="0" w:type="auto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40"/>
        <w:gridCol w:w="2780"/>
        <w:gridCol w:w="2780"/>
        <w:gridCol w:w="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524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80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3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 w:hRule="atLeast"/>
        </w:trPr>
        <w:tc>
          <w:tcPr>
            <w:tcW w:w="52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ind w:right="6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524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" w:hRule="atLeast"/>
        </w:trPr>
        <w:tc>
          <w:tcPr>
            <w:tcW w:w="524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524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524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524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524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43140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43140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524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204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Záväzky so zostatkovou dobou splatnosti do jedného roka</w:t>
            </w:r>
          </w:p>
        </w:tc>
        <w:tc>
          <w:tcPr>
            <w:tcW w:w="278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220</w:t>
            </w:r>
          </w:p>
        </w:tc>
        <w:tc>
          <w:tcPr>
            <w:tcW w:w="278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220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</w:trPr>
        <w:tc>
          <w:tcPr>
            <w:tcW w:w="5240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vrátane</w:t>
            </w:r>
          </w:p>
        </w:tc>
        <w:tc>
          <w:tcPr>
            <w:tcW w:w="278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278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atLeast"/>
        </w:trPr>
        <w:tc>
          <w:tcPr>
            <w:tcW w:w="524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8"/>
                <w:szCs w:val="8"/>
              </w:rPr>
            </w:pP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8"/>
                <w:szCs w:val="8"/>
              </w:rPr>
            </w:pP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524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Záväzky po lehote splatnosti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42920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42290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</w:tbl>
    <w:p>
      <w:pPr>
        <w:spacing w:line="348" w:lineRule="exact"/>
        <w:rPr>
          <w:sz w:val="20"/>
          <w:szCs w:val="20"/>
        </w:rPr>
      </w:pPr>
    </w:p>
    <w:p>
      <w:pPr>
        <w:spacing w:line="259" w:lineRule="auto"/>
        <w:ind w:left="620"/>
        <w:jc w:val="center"/>
        <w:rPr>
          <w:sz w:val="20"/>
          <w:szCs w:val="20"/>
        </w:rPr>
      </w:pPr>
      <w:r>
        <w:rPr>
          <w:rFonts w:ascii="Arial" w:hAnsi="Arial" w:eastAsia="Arial" w:cs="Arial"/>
          <w:b/>
          <w:bCs/>
          <w:sz w:val="19"/>
          <w:szCs w:val="19"/>
        </w:rPr>
        <w:t xml:space="preserve">Čl. IV - (4) </w:t>
      </w:r>
      <w:r>
        <w:rPr>
          <w:rFonts w:ascii="Arial" w:hAnsi="Arial" w:eastAsia="Arial" w:cs="Arial"/>
          <w:sz w:val="19"/>
          <w:szCs w:val="19"/>
        </w:rPr>
        <w:t>V poznámkach sa uvádza členenie čistého obratu podľa § 2 ods. 14 zákona podľa jednotlivých typov výrobkov,</w:t>
      </w:r>
      <w:r>
        <w:rPr>
          <w:rFonts w:ascii="Arial" w:hAnsi="Arial" w:eastAsia="Arial" w:cs="Arial"/>
          <w:b/>
          <w:bCs/>
          <w:sz w:val="19"/>
          <w:szCs w:val="19"/>
        </w:rPr>
        <w:t xml:space="preserve"> </w:t>
      </w:r>
      <w:r>
        <w:rPr>
          <w:rFonts w:ascii="Arial" w:hAnsi="Arial" w:eastAsia="Arial" w:cs="Arial"/>
          <w:sz w:val="19"/>
          <w:szCs w:val="19"/>
        </w:rPr>
        <w:t>tovarov, služieb alebo iných činností účtovnej jednotky a hlavných geografických oblastí odbytu, ak sa tieto činnosti</w:t>
      </w:r>
    </w:p>
    <w:p>
      <w:pPr>
        <w:spacing w:line="254" w:lineRule="auto"/>
        <w:ind w:left="340" w:right="400"/>
        <w:rPr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a oblasti odbytu z hľadiska organizácie predaja výrobkov a tovarov a poskytovania služieb výrazne odlišujú. Ak predmetom činnosti účtovnej jednotky je dosahovanie iných výnosov ako sú výnosy z predaja výrobkov, tovarov a služieb, uvádza sa aj opis iných výnosov zahrňovaných do čistého obratu.</w:t>
      </w:r>
    </w:p>
    <w:p>
      <w:pPr>
        <w:ind w:left="60"/>
        <w:rPr>
          <w:sz w:val="20"/>
          <w:szCs w:val="20"/>
        </w:rPr>
      </w:pPr>
      <w:r>
        <w:rPr>
          <w:rFonts w:ascii="Arial" w:hAnsi="Arial" w:eastAsia="Arial" w:cs="Arial"/>
          <w:b/>
          <w:bCs/>
          <w:sz w:val="20"/>
          <w:szCs w:val="20"/>
        </w:rPr>
        <w:t>Tabuľka 47: Informácie k čl. IV odst. 4 o čistom obrate</w:t>
      </w:r>
    </w:p>
    <w:p>
      <w:pPr>
        <w:spacing w:line="19" w:lineRule="exact"/>
        <w:rPr>
          <w:sz w:val="20"/>
          <w:szCs w:val="20"/>
        </w:rPr>
      </w:pPr>
    </w:p>
    <w:tbl>
      <w:tblPr>
        <w:tblStyle w:val="3"/>
        <w:tblW w:w="0" w:type="auto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40"/>
        <w:gridCol w:w="2780"/>
        <w:gridCol w:w="2780"/>
        <w:gridCol w:w="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524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80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ind w:right="3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143" w:hRule="atLeast"/>
        </w:trPr>
        <w:tc>
          <w:tcPr>
            <w:tcW w:w="52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restart"/>
            <w:tcBorders>
              <w:right w:val="single" w:color="auto" w:sz="8" w:space="0"/>
            </w:tcBorders>
            <w:vAlign w:val="bottom"/>
          </w:tcPr>
          <w:p>
            <w:pPr>
              <w:ind w:right="610"/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5240" w:type="dxa"/>
            <w:tcBorders>
              <w:left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vMerge w:val="continue"/>
            <w:tcBorders>
              <w:right w:val="single" w:color="auto" w:sz="8" w:space="0"/>
            </w:tcBorders>
            <w:vAlign w:val="bottom"/>
          </w:tcPr>
          <w:p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" w:hRule="atLeast"/>
        </w:trPr>
        <w:tc>
          <w:tcPr>
            <w:tcW w:w="524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58" w:hRule="atLeast"/>
        </w:trPr>
        <w:tc>
          <w:tcPr>
            <w:tcW w:w="524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Tržby za vlastné výrobky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3" w:hRule="atLeast"/>
        </w:trPr>
        <w:tc>
          <w:tcPr>
            <w:tcW w:w="524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Tržby z predaja služieb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4" w:hRule="atLeast"/>
        </w:trPr>
        <w:tc>
          <w:tcPr>
            <w:tcW w:w="524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Tržby za tovar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524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Výnosy zo zákazky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3" w:hRule="atLeast"/>
        </w:trPr>
        <w:tc>
          <w:tcPr>
            <w:tcW w:w="524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Výnosy z nehnuteľností na predaj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524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Iné výnosy súvisiace s bežnou činnosťou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  <w:tr>
        <w:trPr>
          <w:trHeight w:val="265" w:hRule="atLeast"/>
        </w:trPr>
        <w:tc>
          <w:tcPr>
            <w:tcW w:w="524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ind w:left="60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>
            <w:pPr>
              <w:rPr>
                <w:sz w:val="1"/>
                <w:szCs w:val="1"/>
              </w:rPr>
            </w:pPr>
          </w:p>
        </w:tc>
      </w:tr>
    </w:tbl>
    <w:p>
      <w:pPr>
        <w:spacing w:line="1" w:lineRule="exact"/>
        <w:rPr>
          <w:sz w:val="20"/>
          <w:szCs w:val="20"/>
        </w:rPr>
      </w:pPr>
    </w:p>
    <w:sectPr>
      <w:pgSz w:w="11920" w:h="16845"/>
      <w:pgMar w:top="549" w:right="550" w:bottom="1440" w:left="560" w:header="0" w:footer="0" w:gutter="0"/>
      <w:cols w:equalWidth="0" w:num="1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495CFF"/>
    <w:multiLevelType w:val="multilevel"/>
    <w:tmpl w:val="19495CFF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238E1F29"/>
    <w:multiLevelType w:val="multilevel"/>
    <w:tmpl w:val="238E1F29"/>
    <w:lvl w:ilvl="0" w:tentative="0">
      <w:start w:val="6"/>
      <w:numFmt w:val="lowerLetter"/>
      <w:lvlText w:val="%1)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2AE8944A"/>
    <w:multiLevelType w:val="multilevel"/>
    <w:tmpl w:val="2AE8944A"/>
    <w:lvl w:ilvl="0" w:tentative="0">
      <w:start w:val="1"/>
      <w:numFmt w:val="lowerLetter"/>
      <w:lvlText w:val="%1)"/>
      <w:lvlJc w:val="left"/>
    </w:lvl>
    <w:lvl w:ilvl="1" w:tentative="0">
      <w:start w:val="1"/>
      <w:numFmt w:val="decimal"/>
      <w:lvlText w:val="%2.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46E87CCD"/>
    <w:multiLevelType w:val="multilevel"/>
    <w:tmpl w:val="46E87CCD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625558EC"/>
    <w:multiLevelType w:val="multilevel"/>
    <w:tmpl w:val="625558EC"/>
    <w:lvl w:ilvl="0" w:tentative="0">
      <w:start w:val="1"/>
      <w:numFmt w:val="lowerLetter"/>
      <w:lvlText w:val="%1)"/>
      <w:lvlJc w:val="left"/>
    </w:lvl>
    <w:lvl w:ilvl="1" w:tentative="0">
      <w:start w:val="1"/>
      <w:numFmt w:val="decimal"/>
      <w:lvlText w:val="%2.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065"/>
    <w:rsid w:val="0059748F"/>
    <w:rsid w:val="008C2D97"/>
    <w:rsid w:val="009615E3"/>
    <w:rsid w:val="009742D1"/>
    <w:rsid w:val="00F87065"/>
    <w:rsid w:val="26D4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2"/>
      <w:szCs w:val="22"/>
      <w:lang w:val="sk-SK" w:eastAsia="sk-SK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1613</Words>
  <Characters>9198</Characters>
  <Lines>76</Lines>
  <Paragraphs>21</Paragraphs>
  <TotalTime>9</TotalTime>
  <ScaleCrop>false</ScaleCrop>
  <LinksUpToDate>false</LinksUpToDate>
  <CharactersWithSpaces>10790</CharactersWithSpaces>
  <Application>WPS Office_11.2.0.11042_F1E327BC-269C-435d-A152-05C5408002CA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2021-03-25T14:31:00Z</dcterms:created>
  <dc:creator>Windows User</dc:creator>
  <cp:lastModifiedBy>Janka</cp:lastModifiedBy>
  <dcterms:modified xsi:type="dcterms:W3CDTF">2022-03-28T13:14:29Z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1033-11.2.0.11042</vt:lpwstr>
  </property>
  <property fmtid="{D5CDD505-2E9C-101B-9397-08002B2CF9AE}" pid="3" name="ICV">
    <vt:lpwstr>5CF9ADEFE0BD47569B1CC5B81086BC1D</vt:lpwstr>
  </property>
</Properties>
</file>