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234F" w:rsidRPr="00347ACF" w:rsidRDefault="00347ACF" w:rsidP="00F2234F">
      <w:pPr>
        <w:numPr>
          <w:ilvl w:val="0"/>
          <w:numId w:val="1"/>
        </w:numPr>
        <w:spacing w:after="0" w:line="240" w:lineRule="auto"/>
        <w:textAlignment w:val="baseline"/>
        <w:rPr>
          <w:rFonts w:ascii="Calibri" w:eastAsia="Times New Roman" w:hAnsi="Calibri" w:cs="Calibri"/>
          <w:b/>
          <w:bCs/>
          <w:color w:val="000000"/>
          <w:sz w:val="28"/>
          <w:szCs w:val="28"/>
          <w:lang w:eastAsia="sk-SK"/>
        </w:rPr>
      </w:pPr>
      <w:r w:rsidRPr="00347ACF">
        <w:rPr>
          <w:rFonts w:ascii="Calibri" w:eastAsia="Times New Roman" w:hAnsi="Calibri" w:cs="Calibri"/>
          <w:b/>
          <w:bCs/>
          <w:color w:val="000000"/>
          <w:sz w:val="28"/>
          <w:szCs w:val="28"/>
          <w:lang w:eastAsia="sk-SK"/>
        </w:rPr>
        <w:t>07.Informácie o účtovnej jednotke</w:t>
      </w:r>
      <w:r w:rsidR="00F2234F">
        <w:rPr>
          <w:rFonts w:ascii="Calibri" w:eastAsia="Times New Roman" w:hAnsi="Calibri" w:cs="Calibri"/>
          <w:b/>
          <w:bCs/>
          <w:color w:val="000000"/>
          <w:sz w:val="28"/>
          <w:szCs w:val="28"/>
          <w:lang w:eastAsia="sk-SK"/>
        </w:rPr>
        <w:t>:</w:t>
      </w:r>
    </w:p>
    <w:p w:rsidR="00347ACF" w:rsidRPr="00347ACF" w:rsidRDefault="00347ACF" w:rsidP="00347ACF">
      <w:pPr>
        <w:spacing w:after="0" w:line="240" w:lineRule="auto"/>
        <w:rPr>
          <w:rFonts w:ascii="Times New Roman" w:eastAsia="Times New Roman" w:hAnsi="Times New Roman" w:cs="Times New Roman"/>
          <w:sz w:val="24"/>
          <w:szCs w:val="24"/>
          <w:lang w:eastAsia="sk-SK"/>
        </w:rPr>
      </w:pPr>
      <w:r w:rsidRPr="00347ACF">
        <w:rPr>
          <w:rFonts w:ascii="Times New Roman" w:eastAsia="Times New Roman" w:hAnsi="Times New Roman" w:cs="Times New Roman"/>
          <w:sz w:val="24"/>
          <w:szCs w:val="24"/>
          <w:lang w:eastAsia="sk-SK"/>
        </w:rPr>
        <w:br/>
      </w:r>
    </w:p>
    <w:p w:rsidR="00347ACF" w:rsidRPr="00F2234F" w:rsidRDefault="00347ACF" w:rsidP="00F2234F">
      <w:pPr>
        <w:pStyle w:val="Odstavecseseznamem"/>
        <w:numPr>
          <w:ilvl w:val="1"/>
          <w:numId w:val="1"/>
        </w:numPr>
        <w:spacing w:after="0" w:line="240" w:lineRule="auto"/>
        <w:textAlignment w:val="baseline"/>
        <w:rPr>
          <w:rFonts w:ascii="Calibri" w:eastAsia="Times New Roman" w:hAnsi="Calibri" w:cs="Calibri"/>
          <w:color w:val="000000"/>
          <w:sz w:val="24"/>
          <w:szCs w:val="24"/>
          <w:lang w:eastAsia="sk-SK"/>
        </w:rPr>
      </w:pPr>
      <w:r w:rsidRPr="00F2234F">
        <w:rPr>
          <w:rFonts w:ascii="Calibri" w:eastAsia="Times New Roman" w:hAnsi="Calibri" w:cs="Calibri"/>
          <w:color w:val="000000"/>
          <w:sz w:val="24"/>
          <w:szCs w:val="24"/>
          <w:lang w:eastAsia="sk-SK"/>
        </w:rPr>
        <w:t xml:space="preserve">Spoločnosť </w:t>
      </w:r>
      <w:proofErr w:type="spellStart"/>
      <w:r w:rsidRPr="00F2234F">
        <w:rPr>
          <w:rFonts w:ascii="Calibri" w:eastAsia="Times New Roman" w:hAnsi="Calibri" w:cs="Calibri"/>
          <w:color w:val="000000"/>
          <w:sz w:val="24"/>
          <w:szCs w:val="24"/>
          <w:lang w:eastAsia="sk-SK"/>
        </w:rPr>
        <w:t>Balmod</w:t>
      </w:r>
      <w:proofErr w:type="spellEnd"/>
      <w:r w:rsidRPr="00F2234F">
        <w:rPr>
          <w:rFonts w:ascii="Calibri" w:eastAsia="Times New Roman" w:hAnsi="Calibri" w:cs="Calibri"/>
          <w:color w:val="000000"/>
          <w:sz w:val="24"/>
          <w:szCs w:val="24"/>
          <w:lang w:eastAsia="sk-SK"/>
        </w:rPr>
        <w:t xml:space="preserve"> s.r.o., bola založená v obchodnom registri zakladateľskou listinou dňa </w:t>
      </w:r>
      <w:r w:rsidR="00F2234F" w:rsidRPr="00F2234F">
        <w:rPr>
          <w:rFonts w:ascii="Calibri" w:eastAsia="Times New Roman" w:hAnsi="Calibri" w:cs="Calibri"/>
          <w:color w:val="000000"/>
          <w:sz w:val="24"/>
          <w:szCs w:val="24"/>
          <w:lang w:eastAsia="sk-SK"/>
        </w:rPr>
        <w:t>17</w:t>
      </w:r>
      <w:r w:rsidRPr="00F2234F">
        <w:rPr>
          <w:rFonts w:ascii="Calibri" w:eastAsia="Times New Roman" w:hAnsi="Calibri" w:cs="Calibri"/>
          <w:color w:val="000000"/>
          <w:sz w:val="24"/>
          <w:szCs w:val="24"/>
          <w:lang w:eastAsia="sk-SK"/>
        </w:rPr>
        <w:t>.</w:t>
      </w:r>
      <w:r w:rsidR="00F2234F" w:rsidRPr="00F2234F">
        <w:rPr>
          <w:rFonts w:ascii="Calibri" w:eastAsia="Times New Roman" w:hAnsi="Calibri" w:cs="Calibri"/>
          <w:color w:val="000000"/>
          <w:sz w:val="24"/>
          <w:szCs w:val="24"/>
          <w:lang w:eastAsia="sk-SK"/>
        </w:rPr>
        <w:t>2</w:t>
      </w:r>
      <w:r w:rsidRPr="00F2234F">
        <w:rPr>
          <w:rFonts w:ascii="Calibri" w:eastAsia="Times New Roman" w:hAnsi="Calibri" w:cs="Calibri"/>
          <w:color w:val="000000"/>
          <w:sz w:val="24"/>
          <w:szCs w:val="24"/>
          <w:lang w:eastAsia="sk-SK"/>
        </w:rPr>
        <w:t>.20</w:t>
      </w:r>
      <w:r w:rsidR="00F2234F" w:rsidRPr="00F2234F">
        <w:rPr>
          <w:rFonts w:ascii="Calibri" w:eastAsia="Times New Roman" w:hAnsi="Calibri" w:cs="Calibri"/>
          <w:color w:val="000000"/>
          <w:sz w:val="24"/>
          <w:szCs w:val="24"/>
          <w:lang w:eastAsia="sk-SK"/>
        </w:rPr>
        <w:t>21</w:t>
      </w:r>
      <w:r w:rsidRPr="00F2234F">
        <w:rPr>
          <w:rFonts w:ascii="Calibri" w:eastAsia="Times New Roman" w:hAnsi="Calibri" w:cs="Calibri"/>
          <w:color w:val="000000"/>
          <w:sz w:val="24"/>
          <w:szCs w:val="24"/>
          <w:lang w:eastAsia="sk-SK"/>
        </w:rPr>
        <w:t xml:space="preserve">  . Je zapísaná v obchodnom registri Okresného súdu Banská Bystrica, oddiel s.r.o., vložka </w:t>
      </w:r>
      <w:r w:rsidR="00F2234F" w:rsidRPr="00F2234F">
        <w:rPr>
          <w:rFonts w:ascii="Calibri" w:eastAsia="Times New Roman" w:hAnsi="Calibri" w:cs="Calibri"/>
          <w:color w:val="000000"/>
          <w:sz w:val="24"/>
          <w:szCs w:val="24"/>
          <w:lang w:eastAsia="sk-SK"/>
        </w:rPr>
        <w:t>40673</w:t>
      </w:r>
      <w:r w:rsidRPr="00F2234F">
        <w:rPr>
          <w:rFonts w:ascii="Calibri" w:eastAsia="Times New Roman" w:hAnsi="Calibri" w:cs="Calibri"/>
          <w:color w:val="000000"/>
          <w:sz w:val="24"/>
          <w:szCs w:val="24"/>
          <w:lang w:eastAsia="sk-SK"/>
        </w:rPr>
        <w:t xml:space="preserve">/S. Deň zápisu </w:t>
      </w:r>
      <w:r w:rsidR="00F2234F" w:rsidRPr="00F2234F">
        <w:rPr>
          <w:rFonts w:ascii="Calibri" w:eastAsia="Times New Roman" w:hAnsi="Calibri" w:cs="Calibri"/>
          <w:color w:val="000000"/>
          <w:sz w:val="24"/>
          <w:szCs w:val="24"/>
          <w:lang w:eastAsia="sk-SK"/>
        </w:rPr>
        <w:t>17</w:t>
      </w:r>
      <w:r w:rsidRPr="00F2234F">
        <w:rPr>
          <w:rFonts w:ascii="Calibri" w:eastAsia="Times New Roman" w:hAnsi="Calibri" w:cs="Calibri"/>
          <w:color w:val="000000"/>
          <w:sz w:val="24"/>
          <w:szCs w:val="24"/>
          <w:lang w:eastAsia="sk-SK"/>
        </w:rPr>
        <w:t>.</w:t>
      </w:r>
      <w:r w:rsidR="00F2234F" w:rsidRPr="00F2234F">
        <w:rPr>
          <w:rFonts w:ascii="Calibri" w:eastAsia="Times New Roman" w:hAnsi="Calibri" w:cs="Calibri"/>
          <w:color w:val="000000"/>
          <w:sz w:val="24"/>
          <w:szCs w:val="24"/>
          <w:lang w:eastAsia="sk-SK"/>
        </w:rPr>
        <w:t>2.2021.</w:t>
      </w:r>
    </w:p>
    <w:p w:rsidR="00347ACF" w:rsidRPr="00F2234F" w:rsidRDefault="00347ACF" w:rsidP="00F2234F">
      <w:pPr>
        <w:pStyle w:val="Odstavecseseznamem"/>
        <w:numPr>
          <w:ilvl w:val="1"/>
          <w:numId w:val="1"/>
        </w:numPr>
        <w:spacing w:after="0" w:line="240" w:lineRule="auto"/>
        <w:textAlignment w:val="baseline"/>
        <w:rPr>
          <w:rFonts w:ascii="Calibri" w:eastAsia="Times New Roman" w:hAnsi="Calibri" w:cs="Calibri"/>
          <w:color w:val="000000"/>
          <w:sz w:val="24"/>
          <w:szCs w:val="24"/>
          <w:lang w:eastAsia="sk-SK"/>
        </w:rPr>
      </w:pPr>
      <w:r w:rsidRPr="00F2234F">
        <w:rPr>
          <w:rFonts w:ascii="Calibri" w:eastAsia="Times New Roman" w:hAnsi="Calibri" w:cs="Calibri"/>
          <w:color w:val="000000"/>
          <w:sz w:val="24"/>
          <w:szCs w:val="24"/>
          <w:lang w:eastAsia="sk-SK"/>
        </w:rPr>
        <w:t>Hlavné činnosti spoločnosti sú: </w:t>
      </w:r>
    </w:p>
    <w:p w:rsidR="00347ACF" w:rsidRDefault="00F2234F" w:rsidP="00F2234F">
      <w:pPr>
        <w:spacing w:after="0" w:line="240" w:lineRule="auto"/>
        <w:ind w:left="1416"/>
        <w:rPr>
          <w:rFonts w:ascii="Calibri" w:eastAsia="Times New Roman" w:hAnsi="Calibri" w:cs="Calibri"/>
          <w:color w:val="000000"/>
          <w:sz w:val="24"/>
          <w:szCs w:val="24"/>
          <w:lang w:eastAsia="sk-SK"/>
        </w:rPr>
      </w:pPr>
      <w:r>
        <w:rPr>
          <w:rFonts w:ascii="Calibri" w:eastAsia="Times New Roman" w:hAnsi="Calibri" w:cs="Calibri"/>
          <w:color w:val="000000"/>
          <w:sz w:val="24"/>
          <w:szCs w:val="24"/>
          <w:lang w:eastAsia="sk-SK"/>
        </w:rPr>
        <w:t>Kúpa tovaru na účely jeho predaja konečnému spotrebiteľovi (maloobchod) alebo iný prevádzkovateľom živnosti (veľkoobchod)</w:t>
      </w:r>
      <w:r w:rsidR="00347ACF" w:rsidRPr="00347ACF">
        <w:rPr>
          <w:rFonts w:ascii="Calibri" w:eastAsia="Times New Roman" w:hAnsi="Calibri" w:cs="Calibri"/>
          <w:color w:val="000000"/>
          <w:sz w:val="24"/>
          <w:szCs w:val="24"/>
          <w:lang w:eastAsia="sk-SK"/>
        </w:rPr>
        <w:t>.</w:t>
      </w:r>
    </w:p>
    <w:p w:rsidR="00F2234F" w:rsidRDefault="00F2234F" w:rsidP="00F2234F">
      <w:pPr>
        <w:spacing w:after="0" w:line="240" w:lineRule="auto"/>
        <w:ind w:left="1416"/>
        <w:rPr>
          <w:rFonts w:ascii="Calibri" w:eastAsia="Times New Roman" w:hAnsi="Calibri" w:cs="Calibri"/>
          <w:color w:val="000000"/>
          <w:sz w:val="24"/>
          <w:szCs w:val="24"/>
          <w:lang w:eastAsia="sk-SK"/>
        </w:rPr>
      </w:pPr>
      <w:r>
        <w:rPr>
          <w:rFonts w:ascii="Calibri" w:eastAsia="Times New Roman" w:hAnsi="Calibri" w:cs="Calibri"/>
          <w:color w:val="000000"/>
          <w:sz w:val="24"/>
          <w:szCs w:val="24"/>
          <w:lang w:eastAsia="sk-SK"/>
        </w:rPr>
        <w:t xml:space="preserve">Sprostredkovateľská </w:t>
      </w:r>
      <w:proofErr w:type="spellStart"/>
      <w:r>
        <w:rPr>
          <w:rFonts w:ascii="Calibri" w:eastAsia="Times New Roman" w:hAnsi="Calibri" w:cs="Calibri"/>
          <w:color w:val="000000"/>
          <w:sz w:val="24"/>
          <w:szCs w:val="24"/>
          <w:lang w:eastAsia="sk-SK"/>
        </w:rPr>
        <w:t>činnost</w:t>
      </w:r>
      <w:proofErr w:type="spellEnd"/>
    </w:p>
    <w:p w:rsidR="00F2234F" w:rsidRDefault="00F2234F" w:rsidP="00F2234F">
      <w:pPr>
        <w:spacing w:after="0" w:line="240" w:lineRule="auto"/>
        <w:ind w:left="1416"/>
        <w:rPr>
          <w:rFonts w:ascii="Calibri" w:eastAsia="Times New Roman" w:hAnsi="Calibri" w:cs="Calibri"/>
          <w:color w:val="000000"/>
          <w:sz w:val="24"/>
          <w:szCs w:val="24"/>
          <w:lang w:eastAsia="sk-SK"/>
        </w:rPr>
      </w:pPr>
      <w:r>
        <w:rPr>
          <w:rFonts w:ascii="Calibri" w:eastAsia="Times New Roman" w:hAnsi="Calibri" w:cs="Calibri"/>
          <w:color w:val="000000"/>
          <w:sz w:val="24"/>
          <w:szCs w:val="24"/>
          <w:lang w:eastAsia="sk-SK"/>
        </w:rPr>
        <w:t>Reklamné a marketingové služby</w:t>
      </w:r>
    </w:p>
    <w:p w:rsidR="00F2234F" w:rsidRDefault="00F2234F" w:rsidP="00F2234F">
      <w:pPr>
        <w:spacing w:after="0" w:line="240" w:lineRule="auto"/>
        <w:ind w:left="1416"/>
        <w:rPr>
          <w:rFonts w:ascii="Calibri" w:eastAsia="Times New Roman" w:hAnsi="Calibri" w:cs="Calibri"/>
          <w:color w:val="000000"/>
          <w:sz w:val="24"/>
          <w:szCs w:val="24"/>
          <w:lang w:eastAsia="sk-SK"/>
        </w:rPr>
      </w:pPr>
      <w:r>
        <w:rPr>
          <w:rFonts w:ascii="Calibri" w:eastAsia="Times New Roman" w:hAnsi="Calibri" w:cs="Calibri"/>
          <w:color w:val="000000"/>
          <w:sz w:val="24"/>
          <w:szCs w:val="24"/>
          <w:lang w:eastAsia="sk-SK"/>
        </w:rPr>
        <w:t>Administratívne služby</w:t>
      </w:r>
    </w:p>
    <w:p w:rsidR="00F2234F" w:rsidRDefault="00F2234F" w:rsidP="00F2234F">
      <w:pPr>
        <w:spacing w:after="0" w:line="240" w:lineRule="auto"/>
        <w:ind w:left="1416"/>
        <w:rPr>
          <w:rFonts w:ascii="Calibri" w:eastAsia="Times New Roman" w:hAnsi="Calibri" w:cs="Calibri"/>
          <w:color w:val="000000"/>
          <w:sz w:val="24"/>
          <w:szCs w:val="24"/>
          <w:lang w:eastAsia="sk-SK"/>
        </w:rPr>
      </w:pPr>
      <w:r>
        <w:rPr>
          <w:rFonts w:ascii="Calibri" w:eastAsia="Times New Roman" w:hAnsi="Calibri" w:cs="Calibri"/>
          <w:color w:val="000000"/>
          <w:sz w:val="24"/>
          <w:szCs w:val="24"/>
          <w:lang w:eastAsia="sk-SK"/>
        </w:rPr>
        <w:t>Vedenie účtovníctva</w:t>
      </w:r>
    </w:p>
    <w:p w:rsidR="00F2234F" w:rsidRDefault="00F2234F" w:rsidP="00F2234F">
      <w:pPr>
        <w:spacing w:after="0" w:line="240" w:lineRule="auto"/>
        <w:ind w:left="1416"/>
        <w:rPr>
          <w:rFonts w:ascii="Calibri" w:eastAsia="Times New Roman" w:hAnsi="Calibri" w:cs="Calibri"/>
          <w:color w:val="000000"/>
          <w:sz w:val="24"/>
          <w:szCs w:val="24"/>
          <w:lang w:eastAsia="sk-SK"/>
        </w:rPr>
      </w:pPr>
      <w:r>
        <w:rPr>
          <w:rFonts w:ascii="Calibri" w:eastAsia="Times New Roman" w:hAnsi="Calibri" w:cs="Calibri"/>
          <w:color w:val="000000"/>
          <w:sz w:val="24"/>
          <w:szCs w:val="24"/>
          <w:lang w:eastAsia="sk-SK"/>
        </w:rPr>
        <w:t>Organizovanie športových, kultúrnych a iných spoločenských podujatí</w:t>
      </w:r>
    </w:p>
    <w:p w:rsidR="00F2234F" w:rsidRDefault="00F2234F" w:rsidP="00F2234F">
      <w:pPr>
        <w:spacing w:after="0" w:line="240" w:lineRule="auto"/>
        <w:ind w:left="1416"/>
        <w:rPr>
          <w:rFonts w:ascii="Calibri" w:eastAsia="Times New Roman" w:hAnsi="Calibri" w:cs="Calibri"/>
          <w:color w:val="000000"/>
          <w:sz w:val="24"/>
          <w:szCs w:val="24"/>
          <w:lang w:eastAsia="sk-SK"/>
        </w:rPr>
      </w:pPr>
      <w:r>
        <w:rPr>
          <w:rFonts w:ascii="Calibri" w:eastAsia="Times New Roman" w:hAnsi="Calibri" w:cs="Calibri"/>
          <w:color w:val="000000"/>
          <w:sz w:val="24"/>
          <w:szCs w:val="24"/>
          <w:lang w:eastAsia="sk-SK"/>
        </w:rPr>
        <w:t xml:space="preserve">Poskytovanie </w:t>
      </w:r>
      <w:proofErr w:type="spellStart"/>
      <w:r>
        <w:rPr>
          <w:rFonts w:ascii="Calibri" w:eastAsia="Times New Roman" w:hAnsi="Calibri" w:cs="Calibri"/>
          <w:color w:val="000000"/>
          <w:sz w:val="24"/>
          <w:szCs w:val="24"/>
          <w:lang w:eastAsia="sk-SK"/>
        </w:rPr>
        <w:t>služie</w:t>
      </w:r>
      <w:proofErr w:type="spellEnd"/>
      <w:r>
        <w:rPr>
          <w:rFonts w:ascii="Calibri" w:eastAsia="Times New Roman" w:hAnsi="Calibri" w:cs="Calibri"/>
          <w:color w:val="000000"/>
          <w:sz w:val="24"/>
          <w:szCs w:val="24"/>
          <w:lang w:eastAsia="sk-SK"/>
        </w:rPr>
        <w:t xml:space="preserve"> rýchleho občerstvenia</w:t>
      </w:r>
    </w:p>
    <w:p w:rsidR="00F2234F" w:rsidRDefault="00F2234F" w:rsidP="00F2234F">
      <w:pPr>
        <w:spacing w:after="0" w:line="240" w:lineRule="auto"/>
        <w:ind w:left="1416"/>
        <w:rPr>
          <w:rFonts w:ascii="Calibri" w:eastAsia="Times New Roman" w:hAnsi="Calibri" w:cs="Calibri"/>
          <w:color w:val="000000"/>
          <w:sz w:val="24"/>
          <w:szCs w:val="24"/>
          <w:lang w:eastAsia="sk-SK"/>
        </w:rPr>
      </w:pPr>
      <w:r>
        <w:rPr>
          <w:rFonts w:ascii="Calibri" w:eastAsia="Times New Roman" w:hAnsi="Calibri" w:cs="Calibri"/>
          <w:color w:val="000000"/>
          <w:sz w:val="24"/>
          <w:szCs w:val="24"/>
          <w:lang w:eastAsia="sk-SK"/>
        </w:rPr>
        <w:t>Prenájom hnuteľných vecí</w:t>
      </w:r>
    </w:p>
    <w:p w:rsidR="00F2234F" w:rsidRDefault="00F2234F" w:rsidP="00F2234F">
      <w:pPr>
        <w:spacing w:after="0" w:line="240" w:lineRule="auto"/>
        <w:ind w:left="1416"/>
        <w:rPr>
          <w:rFonts w:ascii="Calibri" w:eastAsia="Times New Roman" w:hAnsi="Calibri" w:cs="Calibri"/>
          <w:color w:val="000000"/>
          <w:sz w:val="24"/>
          <w:szCs w:val="24"/>
          <w:lang w:eastAsia="sk-SK"/>
        </w:rPr>
      </w:pPr>
      <w:r>
        <w:rPr>
          <w:rFonts w:ascii="Calibri" w:eastAsia="Times New Roman" w:hAnsi="Calibri" w:cs="Calibri"/>
          <w:color w:val="000000"/>
          <w:sz w:val="24"/>
          <w:szCs w:val="24"/>
          <w:lang w:eastAsia="sk-SK"/>
        </w:rPr>
        <w:t>Čistiace a upratovacie služby</w:t>
      </w:r>
    </w:p>
    <w:p w:rsidR="00F2234F" w:rsidRDefault="00F2234F" w:rsidP="00F2234F">
      <w:pPr>
        <w:spacing w:after="0" w:line="240" w:lineRule="auto"/>
        <w:ind w:left="1416"/>
        <w:rPr>
          <w:rFonts w:ascii="Calibri" w:eastAsia="Times New Roman" w:hAnsi="Calibri" w:cs="Calibri"/>
          <w:color w:val="000000"/>
          <w:sz w:val="24"/>
          <w:szCs w:val="24"/>
          <w:lang w:eastAsia="sk-SK"/>
        </w:rPr>
      </w:pPr>
      <w:r>
        <w:rPr>
          <w:rFonts w:ascii="Calibri" w:eastAsia="Times New Roman" w:hAnsi="Calibri" w:cs="Calibri"/>
          <w:color w:val="000000"/>
          <w:sz w:val="24"/>
          <w:szCs w:val="24"/>
          <w:lang w:eastAsia="sk-SK"/>
        </w:rPr>
        <w:t>Odevná výroba</w:t>
      </w:r>
    </w:p>
    <w:p w:rsidR="00F2234F" w:rsidRDefault="00E71A0B" w:rsidP="00F2234F">
      <w:pPr>
        <w:spacing w:after="0" w:line="240" w:lineRule="auto"/>
        <w:ind w:left="1416"/>
        <w:rPr>
          <w:rFonts w:ascii="Calibri" w:eastAsia="Times New Roman" w:hAnsi="Calibri" w:cs="Calibri"/>
          <w:color w:val="000000"/>
          <w:sz w:val="24"/>
          <w:szCs w:val="24"/>
          <w:lang w:eastAsia="sk-SK"/>
        </w:rPr>
      </w:pPr>
      <w:r>
        <w:rPr>
          <w:rFonts w:ascii="Calibri" w:eastAsia="Times New Roman" w:hAnsi="Calibri" w:cs="Calibri"/>
          <w:color w:val="000000"/>
          <w:sz w:val="24"/>
          <w:szCs w:val="24"/>
          <w:lang w:eastAsia="sk-SK"/>
        </w:rPr>
        <w:t>Výroba sviečok a tieniacej techniky</w:t>
      </w:r>
    </w:p>
    <w:p w:rsidR="00F2234F" w:rsidRDefault="00F2234F" w:rsidP="00347ACF">
      <w:pPr>
        <w:spacing w:after="0" w:line="240" w:lineRule="auto"/>
        <w:ind w:left="1080"/>
        <w:rPr>
          <w:rFonts w:ascii="Times New Roman" w:eastAsia="Times New Roman" w:hAnsi="Times New Roman" w:cs="Times New Roman"/>
          <w:sz w:val="24"/>
          <w:szCs w:val="24"/>
          <w:lang w:eastAsia="sk-SK"/>
        </w:rPr>
      </w:pPr>
    </w:p>
    <w:p w:rsidR="00347ACF" w:rsidRPr="00F2234F" w:rsidRDefault="00347ACF" w:rsidP="00F2234F">
      <w:pPr>
        <w:pStyle w:val="Odstavecseseznamem"/>
        <w:numPr>
          <w:ilvl w:val="0"/>
          <w:numId w:val="3"/>
        </w:numPr>
        <w:spacing w:after="0" w:line="240" w:lineRule="auto"/>
        <w:textAlignment w:val="baseline"/>
        <w:rPr>
          <w:rFonts w:ascii="Calibri" w:eastAsia="Times New Roman" w:hAnsi="Calibri" w:cs="Calibri"/>
          <w:color w:val="000000"/>
          <w:sz w:val="24"/>
          <w:szCs w:val="24"/>
          <w:lang w:eastAsia="sk-SK"/>
        </w:rPr>
      </w:pPr>
      <w:r w:rsidRPr="00F2234F">
        <w:rPr>
          <w:rFonts w:ascii="Calibri" w:eastAsia="Times New Roman" w:hAnsi="Calibri" w:cs="Calibri"/>
          <w:color w:val="000000"/>
          <w:sz w:val="24"/>
          <w:szCs w:val="24"/>
          <w:lang w:eastAsia="sk-SK"/>
        </w:rPr>
        <w:t xml:space="preserve">K dátumu zostavenia účtovnej uzávierky mala spoločnosť </w:t>
      </w:r>
      <w:r w:rsidR="00F2234F" w:rsidRPr="00F2234F">
        <w:rPr>
          <w:rFonts w:ascii="Calibri" w:eastAsia="Times New Roman" w:hAnsi="Calibri" w:cs="Calibri"/>
          <w:color w:val="000000"/>
          <w:sz w:val="24"/>
          <w:szCs w:val="24"/>
          <w:lang w:eastAsia="sk-SK"/>
        </w:rPr>
        <w:t>nemala žiadnych zamestnancov</w:t>
      </w:r>
    </w:p>
    <w:p w:rsidR="00347ACF" w:rsidRPr="00F2234F" w:rsidRDefault="00347ACF" w:rsidP="00F2234F">
      <w:pPr>
        <w:pStyle w:val="Odstavecseseznamem"/>
        <w:numPr>
          <w:ilvl w:val="0"/>
          <w:numId w:val="3"/>
        </w:numPr>
        <w:spacing w:after="0" w:line="240" w:lineRule="auto"/>
        <w:textAlignment w:val="baseline"/>
        <w:rPr>
          <w:rFonts w:ascii="Calibri" w:eastAsia="Times New Roman" w:hAnsi="Calibri" w:cs="Calibri"/>
          <w:color w:val="000000"/>
          <w:sz w:val="24"/>
          <w:szCs w:val="24"/>
          <w:lang w:eastAsia="sk-SK"/>
        </w:rPr>
      </w:pPr>
      <w:r w:rsidRPr="00F2234F">
        <w:rPr>
          <w:rFonts w:ascii="Calibri" w:eastAsia="Times New Roman" w:hAnsi="Calibri" w:cs="Calibri"/>
          <w:color w:val="000000"/>
          <w:sz w:val="24"/>
          <w:szCs w:val="24"/>
          <w:lang w:eastAsia="sk-SK"/>
        </w:rPr>
        <w:t>Obchodná spoločnosť nie je obmedzene ručiacim spoločníkom v žiadnej spoločnosti.</w:t>
      </w:r>
    </w:p>
    <w:p w:rsidR="00347ACF" w:rsidRPr="00F2234F" w:rsidRDefault="00347ACF" w:rsidP="00F2234F">
      <w:pPr>
        <w:pStyle w:val="Odstavecseseznamem"/>
        <w:numPr>
          <w:ilvl w:val="0"/>
          <w:numId w:val="3"/>
        </w:numPr>
        <w:spacing w:after="0" w:line="240" w:lineRule="auto"/>
        <w:textAlignment w:val="baseline"/>
        <w:rPr>
          <w:rFonts w:ascii="Calibri" w:eastAsia="Times New Roman" w:hAnsi="Calibri" w:cs="Calibri"/>
          <w:color w:val="000000"/>
          <w:sz w:val="24"/>
          <w:szCs w:val="24"/>
          <w:lang w:eastAsia="sk-SK"/>
        </w:rPr>
      </w:pPr>
      <w:r w:rsidRPr="00F2234F">
        <w:rPr>
          <w:rFonts w:ascii="Calibri" w:eastAsia="Times New Roman" w:hAnsi="Calibri" w:cs="Calibri"/>
          <w:color w:val="000000"/>
          <w:sz w:val="24"/>
          <w:szCs w:val="24"/>
          <w:lang w:eastAsia="sk-SK"/>
        </w:rPr>
        <w:t xml:space="preserve">Účtovná uzávierka spoločnosti bola k 31.12.2019 zostavená ako riadna účtovná uzávierka podľa § 17ods. 6 zákona č. 431/2002 </w:t>
      </w:r>
      <w:proofErr w:type="spellStart"/>
      <w:r w:rsidRPr="00F2234F">
        <w:rPr>
          <w:rFonts w:ascii="Calibri" w:eastAsia="Times New Roman" w:hAnsi="Calibri" w:cs="Calibri"/>
          <w:color w:val="000000"/>
          <w:sz w:val="24"/>
          <w:szCs w:val="24"/>
          <w:lang w:eastAsia="sk-SK"/>
        </w:rPr>
        <w:t>Z.z</w:t>
      </w:r>
      <w:proofErr w:type="spellEnd"/>
      <w:r w:rsidRPr="00F2234F">
        <w:rPr>
          <w:rFonts w:ascii="Calibri" w:eastAsia="Times New Roman" w:hAnsi="Calibri" w:cs="Calibri"/>
          <w:color w:val="000000"/>
          <w:sz w:val="24"/>
          <w:szCs w:val="24"/>
          <w:lang w:eastAsia="sk-SK"/>
        </w:rPr>
        <w:t>. o účtovníctve v znení neskorších predpisov.</w:t>
      </w:r>
    </w:p>
    <w:p w:rsidR="00347ACF" w:rsidRPr="00347ACF" w:rsidRDefault="00347ACF" w:rsidP="00347ACF">
      <w:pPr>
        <w:spacing w:after="0" w:line="240" w:lineRule="auto"/>
        <w:rPr>
          <w:rFonts w:ascii="Times New Roman" w:eastAsia="Times New Roman" w:hAnsi="Times New Roman" w:cs="Times New Roman"/>
          <w:sz w:val="24"/>
          <w:szCs w:val="24"/>
          <w:lang w:eastAsia="sk-SK"/>
        </w:rPr>
      </w:pPr>
      <w:r w:rsidRPr="00347ACF">
        <w:rPr>
          <w:rFonts w:ascii="Times New Roman" w:eastAsia="Times New Roman" w:hAnsi="Times New Roman" w:cs="Times New Roman"/>
          <w:sz w:val="24"/>
          <w:szCs w:val="24"/>
          <w:lang w:eastAsia="sk-SK"/>
        </w:rPr>
        <w:br/>
      </w:r>
    </w:p>
    <w:p w:rsidR="00347ACF" w:rsidRPr="00347ACF" w:rsidRDefault="00347ACF" w:rsidP="00347ACF">
      <w:pPr>
        <w:numPr>
          <w:ilvl w:val="0"/>
          <w:numId w:val="7"/>
        </w:numPr>
        <w:spacing w:line="240" w:lineRule="auto"/>
        <w:ind w:left="1275"/>
        <w:textAlignment w:val="baseline"/>
        <w:rPr>
          <w:rFonts w:ascii="Calibri" w:eastAsia="Times New Roman" w:hAnsi="Calibri" w:cs="Calibri"/>
          <w:b/>
          <w:bCs/>
          <w:color w:val="000000"/>
          <w:lang w:eastAsia="sk-SK"/>
        </w:rPr>
      </w:pPr>
      <w:r w:rsidRPr="00347ACF">
        <w:rPr>
          <w:rFonts w:ascii="Calibri" w:eastAsia="Times New Roman" w:hAnsi="Calibri" w:cs="Calibri"/>
          <w:b/>
          <w:bCs/>
          <w:color w:val="000000"/>
          <w:sz w:val="24"/>
          <w:szCs w:val="24"/>
          <w:lang w:eastAsia="sk-SK"/>
        </w:rPr>
        <w:t>Informácie o počte zamestnancov</w:t>
      </w:r>
    </w:p>
    <w:tbl>
      <w:tblPr>
        <w:tblW w:w="0" w:type="auto"/>
        <w:tblCellMar>
          <w:top w:w="15" w:type="dxa"/>
          <w:left w:w="15" w:type="dxa"/>
          <w:bottom w:w="15" w:type="dxa"/>
          <w:right w:w="15" w:type="dxa"/>
        </w:tblCellMar>
        <w:tblLook w:val="04A0"/>
      </w:tblPr>
      <w:tblGrid>
        <w:gridCol w:w="4423"/>
        <w:gridCol w:w="1969"/>
        <w:gridCol w:w="2896"/>
      </w:tblGrid>
      <w:tr w:rsidR="00347ACF" w:rsidRPr="00347ACF" w:rsidTr="00347AC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8"/>
                <w:szCs w:val="28"/>
                <w:lang w:eastAsia="sk-SK"/>
              </w:rPr>
              <w:t>      Názov položky</w:t>
            </w:r>
          </w:p>
          <w:p w:rsidR="00347ACF" w:rsidRPr="00347ACF" w:rsidRDefault="00347ACF" w:rsidP="00347ACF">
            <w:pPr>
              <w:spacing w:after="0" w:line="0" w:lineRule="atLeast"/>
              <w:rPr>
                <w:rFonts w:ascii="Times New Roman" w:eastAsia="Times New Roman" w:hAnsi="Times New Roman" w:cs="Times New Roman"/>
                <w:sz w:val="24"/>
                <w:szCs w:val="24"/>
                <w:lang w:eastAsia="sk-SK"/>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8"/>
                <w:szCs w:val="28"/>
                <w:lang w:eastAsia="sk-SK"/>
              </w:rPr>
              <w:t>Bežné účtovné obdobie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8"/>
                <w:szCs w:val="28"/>
                <w:lang w:eastAsia="sk-SK"/>
              </w:rPr>
              <w:t>Bezprostredne predchádzajúce </w:t>
            </w:r>
          </w:p>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8"/>
                <w:szCs w:val="28"/>
                <w:lang w:eastAsia="sk-SK"/>
              </w:rPr>
              <w:t>            účtovné obdobie</w:t>
            </w:r>
          </w:p>
        </w:tc>
      </w:tr>
      <w:tr w:rsidR="00347ACF" w:rsidRPr="00347ACF" w:rsidTr="00347AC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Priemerný prepočítaný počet zamestnancov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E71A0B" w:rsidP="00347ACF">
            <w:pPr>
              <w:spacing w:after="0" w:line="0" w:lineRule="atLeast"/>
              <w:rPr>
                <w:rFonts w:ascii="Times New Roman" w:eastAsia="Times New Roman" w:hAnsi="Times New Roman" w:cs="Times New Roman"/>
                <w:sz w:val="24"/>
                <w:szCs w:val="24"/>
                <w:lang w:eastAsia="sk-SK"/>
              </w:rPr>
            </w:pPr>
            <w:r>
              <w:rPr>
                <w:rFonts w:ascii="Calibri" w:eastAsia="Times New Roman" w:hAnsi="Calibri" w:cs="Calibri"/>
                <w:b/>
                <w:bCs/>
                <w:color w:val="000000"/>
                <w:lang w:eastAsia="sk-SK"/>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p>
        </w:tc>
      </w:tr>
      <w:tr w:rsidR="00347ACF" w:rsidRPr="00347ACF" w:rsidTr="00347AC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Stav zamestnancov ku dňu, ku ktorému sa zostavuje účtovná závierka , z toho: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E71A0B" w:rsidP="00347ACF">
            <w:pPr>
              <w:spacing w:after="0" w:line="0" w:lineRule="atLeast"/>
              <w:rPr>
                <w:rFonts w:ascii="Times New Roman" w:eastAsia="Times New Roman" w:hAnsi="Times New Roman" w:cs="Times New Roman"/>
                <w:b/>
                <w:sz w:val="24"/>
                <w:szCs w:val="24"/>
                <w:lang w:eastAsia="sk-SK"/>
              </w:rPr>
            </w:pPr>
            <w:r w:rsidRPr="00E71A0B">
              <w:rPr>
                <w:rFonts w:ascii="Times New Roman" w:eastAsia="Times New Roman" w:hAnsi="Times New Roman" w:cs="Times New Roman"/>
                <w:b/>
                <w:sz w:val="24"/>
                <w:szCs w:val="24"/>
                <w:lang w:eastAsia="sk-SK"/>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p>
        </w:tc>
      </w:tr>
      <w:tr w:rsidR="00347ACF" w:rsidRPr="00347ACF" w:rsidTr="00347AC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color w:val="000000"/>
                <w:lang w:eastAsia="sk-SK"/>
              </w:rPr>
              <w:t>Počet vedúcich zamestnancov</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E71A0B" w:rsidP="00347ACF">
            <w:pPr>
              <w:spacing w:after="0" w:line="0" w:lineRule="atLeast"/>
              <w:rPr>
                <w:rFonts w:ascii="Times New Roman" w:eastAsia="Times New Roman" w:hAnsi="Times New Roman" w:cs="Times New Roman"/>
                <w:sz w:val="24"/>
                <w:szCs w:val="24"/>
                <w:lang w:eastAsia="sk-SK"/>
              </w:rPr>
            </w:pPr>
            <w:r>
              <w:rPr>
                <w:rFonts w:ascii="Calibri" w:eastAsia="Times New Roman" w:hAnsi="Calibri" w:cs="Calibri"/>
                <w:b/>
                <w:bCs/>
                <w:color w:val="000000"/>
                <w:lang w:eastAsia="sk-SK"/>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p>
        </w:tc>
      </w:tr>
    </w:tbl>
    <w:p w:rsidR="00347ACF" w:rsidRPr="00347ACF" w:rsidRDefault="00347ACF" w:rsidP="00347ACF">
      <w:pPr>
        <w:spacing w:after="240" w:line="240" w:lineRule="auto"/>
        <w:rPr>
          <w:rFonts w:ascii="Times New Roman" w:eastAsia="Times New Roman" w:hAnsi="Times New Roman" w:cs="Times New Roman"/>
          <w:sz w:val="24"/>
          <w:szCs w:val="24"/>
          <w:lang w:eastAsia="sk-SK"/>
        </w:rPr>
      </w:pP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lang w:eastAsia="sk-SK"/>
        </w:rPr>
        <w:t>                 Informácie o konsolidovanom celku :</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lang w:eastAsia="sk-SK"/>
        </w:rPr>
        <w:t>                 </w:t>
      </w:r>
      <w:r w:rsidRPr="00347ACF">
        <w:rPr>
          <w:rFonts w:ascii="Calibri" w:eastAsia="Times New Roman" w:hAnsi="Calibri" w:cs="Calibri"/>
          <w:color w:val="000000"/>
          <w:lang w:eastAsia="sk-SK"/>
        </w:rPr>
        <w:t>Spoločnosť nie je súčasťou konsolidovaného celku.</w:t>
      </w:r>
    </w:p>
    <w:p w:rsidR="00347ACF" w:rsidRPr="00347ACF" w:rsidRDefault="00347ACF" w:rsidP="00347ACF">
      <w:pPr>
        <w:spacing w:after="0" w:line="240" w:lineRule="auto"/>
        <w:rPr>
          <w:rFonts w:ascii="Times New Roman" w:eastAsia="Times New Roman" w:hAnsi="Times New Roman" w:cs="Times New Roman"/>
          <w:sz w:val="24"/>
          <w:szCs w:val="24"/>
          <w:lang w:eastAsia="sk-SK"/>
        </w:rPr>
      </w:pPr>
      <w:r w:rsidRPr="00347ACF">
        <w:rPr>
          <w:rFonts w:ascii="Times New Roman" w:eastAsia="Times New Roman" w:hAnsi="Times New Roman" w:cs="Times New Roman"/>
          <w:sz w:val="24"/>
          <w:szCs w:val="24"/>
          <w:lang w:eastAsia="sk-SK"/>
        </w:rPr>
        <w:lastRenderedPageBreak/>
        <w:br/>
      </w:r>
      <w:r w:rsidRPr="00347ACF">
        <w:rPr>
          <w:rFonts w:ascii="Times New Roman" w:eastAsia="Times New Roman" w:hAnsi="Times New Roman" w:cs="Times New Roman"/>
          <w:sz w:val="24"/>
          <w:szCs w:val="24"/>
          <w:lang w:eastAsia="sk-SK"/>
        </w:rPr>
        <w:br/>
      </w:r>
    </w:p>
    <w:p w:rsidR="00347ACF" w:rsidRPr="00347ACF" w:rsidRDefault="00347ACF" w:rsidP="00347ACF">
      <w:pPr>
        <w:numPr>
          <w:ilvl w:val="0"/>
          <w:numId w:val="8"/>
        </w:numPr>
        <w:spacing w:after="0" w:line="240" w:lineRule="auto"/>
        <w:ind w:left="644"/>
        <w:textAlignment w:val="baseline"/>
        <w:rPr>
          <w:rFonts w:ascii="Calibri" w:eastAsia="Times New Roman" w:hAnsi="Calibri" w:cs="Calibri"/>
          <w:b/>
          <w:bCs/>
          <w:color w:val="000000"/>
          <w:sz w:val="28"/>
          <w:szCs w:val="28"/>
          <w:lang w:eastAsia="sk-SK"/>
        </w:rPr>
      </w:pPr>
      <w:r w:rsidRPr="00347ACF">
        <w:rPr>
          <w:rFonts w:ascii="Calibri" w:eastAsia="Times New Roman" w:hAnsi="Calibri" w:cs="Calibri"/>
          <w:b/>
          <w:bCs/>
          <w:color w:val="000000"/>
          <w:sz w:val="28"/>
          <w:szCs w:val="28"/>
          <w:lang w:eastAsia="sk-SK"/>
        </w:rPr>
        <w:t>Informácie o orgánoch účtovnej jednotky</w:t>
      </w:r>
    </w:p>
    <w:p w:rsidR="00347ACF" w:rsidRPr="00347ACF" w:rsidRDefault="00347ACF" w:rsidP="00347ACF">
      <w:pPr>
        <w:spacing w:after="0" w:line="240" w:lineRule="auto"/>
        <w:rPr>
          <w:rFonts w:ascii="Times New Roman" w:eastAsia="Times New Roman" w:hAnsi="Times New Roman" w:cs="Times New Roman"/>
          <w:sz w:val="24"/>
          <w:szCs w:val="24"/>
          <w:lang w:eastAsia="sk-SK"/>
        </w:rPr>
      </w:pPr>
    </w:p>
    <w:p w:rsidR="00347ACF" w:rsidRPr="00347ACF" w:rsidRDefault="00347ACF" w:rsidP="00347ACF">
      <w:pPr>
        <w:spacing w:after="0" w:line="240" w:lineRule="auto"/>
        <w:ind w:left="720"/>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 xml:space="preserve">Konatelia:  </w:t>
      </w:r>
      <w:r w:rsidR="007D6E4E">
        <w:rPr>
          <w:rFonts w:ascii="Calibri" w:eastAsia="Times New Roman" w:hAnsi="Calibri" w:cs="Calibri"/>
          <w:color w:val="000000"/>
          <w:sz w:val="24"/>
          <w:szCs w:val="24"/>
          <w:lang w:eastAsia="sk-SK"/>
        </w:rPr>
        <w:t xml:space="preserve">Ing. Daniela Lukáčová, Milan </w:t>
      </w:r>
      <w:proofErr w:type="spellStart"/>
      <w:r w:rsidR="007D6E4E">
        <w:rPr>
          <w:rFonts w:ascii="Calibri" w:eastAsia="Times New Roman" w:hAnsi="Calibri" w:cs="Calibri"/>
          <w:color w:val="000000"/>
          <w:sz w:val="24"/>
          <w:szCs w:val="24"/>
          <w:lang w:eastAsia="sk-SK"/>
        </w:rPr>
        <w:t>Majling</w:t>
      </w:r>
      <w:proofErr w:type="spellEnd"/>
    </w:p>
    <w:p w:rsidR="00347ACF" w:rsidRPr="00347ACF" w:rsidRDefault="00347ACF" w:rsidP="00347ACF">
      <w:pPr>
        <w:spacing w:after="0" w:line="240" w:lineRule="auto"/>
        <w:ind w:left="720"/>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Konateľom neboli v roku 2019 poskytnuté pôžičky, záruky alebo iné formy zabezpečenia, ani finančné prostriedky alebo iné plnenia na súkromné účely.</w:t>
      </w:r>
    </w:p>
    <w:p w:rsidR="00347ACF" w:rsidRPr="00347ACF" w:rsidRDefault="00347ACF" w:rsidP="00347ACF">
      <w:pPr>
        <w:spacing w:after="0" w:line="240" w:lineRule="auto"/>
        <w:ind w:left="720"/>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 xml:space="preserve">Spoločníci: </w:t>
      </w:r>
      <w:r w:rsidR="007D6E4E">
        <w:rPr>
          <w:rFonts w:ascii="Calibri" w:eastAsia="Times New Roman" w:hAnsi="Calibri" w:cs="Calibri"/>
          <w:color w:val="000000"/>
          <w:sz w:val="24"/>
          <w:szCs w:val="24"/>
          <w:lang w:eastAsia="sk-SK"/>
        </w:rPr>
        <w:t xml:space="preserve">Ing. Daniela Lukáčová, Milan </w:t>
      </w:r>
      <w:proofErr w:type="spellStart"/>
      <w:r w:rsidR="007D6E4E">
        <w:rPr>
          <w:rFonts w:ascii="Calibri" w:eastAsia="Times New Roman" w:hAnsi="Calibri" w:cs="Calibri"/>
          <w:color w:val="000000"/>
          <w:sz w:val="24"/>
          <w:szCs w:val="24"/>
          <w:lang w:eastAsia="sk-SK"/>
        </w:rPr>
        <w:t>Majling</w:t>
      </w:r>
      <w:proofErr w:type="spellEnd"/>
    </w:p>
    <w:p w:rsidR="00347ACF" w:rsidRPr="00347ACF" w:rsidRDefault="00347ACF" w:rsidP="00347ACF">
      <w:pPr>
        <w:spacing w:after="0" w:line="240" w:lineRule="auto"/>
        <w:rPr>
          <w:rFonts w:ascii="Times New Roman" w:eastAsia="Times New Roman" w:hAnsi="Times New Roman" w:cs="Times New Roman"/>
          <w:sz w:val="24"/>
          <w:szCs w:val="24"/>
          <w:lang w:eastAsia="sk-SK"/>
        </w:rPr>
      </w:pPr>
      <w:r w:rsidRPr="00347ACF">
        <w:rPr>
          <w:rFonts w:ascii="Times New Roman" w:eastAsia="Times New Roman" w:hAnsi="Times New Roman" w:cs="Times New Roman"/>
          <w:sz w:val="24"/>
          <w:szCs w:val="24"/>
          <w:lang w:eastAsia="sk-SK"/>
        </w:rPr>
        <w:br/>
      </w:r>
      <w:r w:rsidRPr="00347ACF">
        <w:rPr>
          <w:rFonts w:ascii="Times New Roman" w:eastAsia="Times New Roman" w:hAnsi="Times New Roman" w:cs="Times New Roman"/>
          <w:sz w:val="24"/>
          <w:szCs w:val="24"/>
          <w:lang w:eastAsia="sk-SK"/>
        </w:rPr>
        <w:br/>
      </w:r>
    </w:p>
    <w:p w:rsidR="00347ACF" w:rsidRPr="00347ACF" w:rsidRDefault="00347ACF" w:rsidP="00347ACF">
      <w:pPr>
        <w:numPr>
          <w:ilvl w:val="0"/>
          <w:numId w:val="9"/>
        </w:numPr>
        <w:spacing w:after="0" w:line="240" w:lineRule="auto"/>
        <w:ind w:left="644"/>
        <w:textAlignment w:val="baseline"/>
        <w:rPr>
          <w:rFonts w:ascii="Calibri" w:eastAsia="Times New Roman" w:hAnsi="Calibri" w:cs="Calibri"/>
          <w:b/>
          <w:bCs/>
          <w:color w:val="000000"/>
          <w:sz w:val="28"/>
          <w:szCs w:val="28"/>
          <w:lang w:eastAsia="sk-SK"/>
        </w:rPr>
      </w:pPr>
      <w:r w:rsidRPr="00347ACF">
        <w:rPr>
          <w:rFonts w:ascii="Calibri" w:eastAsia="Times New Roman" w:hAnsi="Calibri" w:cs="Calibri"/>
          <w:b/>
          <w:bCs/>
          <w:color w:val="000000"/>
          <w:sz w:val="28"/>
          <w:szCs w:val="28"/>
          <w:lang w:eastAsia="sk-SK"/>
        </w:rPr>
        <w:t>Informácie o použitých účtovných zásadách a účtovných metódach :  </w:t>
      </w:r>
    </w:p>
    <w:p w:rsidR="00347ACF" w:rsidRPr="00347ACF" w:rsidRDefault="00347ACF" w:rsidP="00347ACF">
      <w:pPr>
        <w:spacing w:after="0" w:line="240" w:lineRule="auto"/>
        <w:ind w:left="644"/>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Základné účtovné metódy použité pri zostavovaní tejto individuálnej účtovnej závierky sú opísané nižšie . Tieto metódy sa uplatňujú konzistentne počas všetkých účtovných období, ak nie je uvedené inak.</w:t>
      </w:r>
    </w:p>
    <w:p w:rsidR="00347ACF" w:rsidRPr="00347ACF" w:rsidRDefault="00347ACF" w:rsidP="00347ACF">
      <w:pPr>
        <w:spacing w:after="0" w:line="240" w:lineRule="auto"/>
        <w:ind w:left="644"/>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Spoločnosť zostavila účtovnú závierku za predpokladu nepretržitého pokračovania vo svojej činnosti.</w:t>
      </w:r>
    </w:p>
    <w:p w:rsidR="00347ACF" w:rsidRPr="00347ACF" w:rsidRDefault="00347ACF" w:rsidP="00347ACF">
      <w:pPr>
        <w:spacing w:after="0" w:line="240" w:lineRule="auto"/>
        <w:rPr>
          <w:rFonts w:ascii="Times New Roman" w:eastAsia="Times New Roman" w:hAnsi="Times New Roman" w:cs="Times New Roman"/>
          <w:sz w:val="24"/>
          <w:szCs w:val="24"/>
          <w:lang w:eastAsia="sk-SK"/>
        </w:rPr>
      </w:pP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Spôsob oceňovania jednotlivých zložiek majetku a záväzkov :</w:t>
      </w:r>
    </w:p>
    <w:p w:rsidR="00347ACF" w:rsidRPr="00347ACF" w:rsidRDefault="00347ACF" w:rsidP="00347ACF">
      <w:pPr>
        <w:spacing w:after="0" w:line="240" w:lineRule="auto"/>
        <w:ind w:left="644"/>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Dlhodobý nehmotný majetok</w:t>
      </w:r>
    </w:p>
    <w:p w:rsidR="00347ACF" w:rsidRPr="00347ACF" w:rsidRDefault="00347ACF" w:rsidP="00347ACF">
      <w:pPr>
        <w:numPr>
          <w:ilvl w:val="0"/>
          <w:numId w:val="10"/>
        </w:numPr>
        <w:spacing w:after="0" w:line="240" w:lineRule="auto"/>
        <w:ind w:left="1004"/>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Dlhodobý nehmotný majetok nakupovaný sa oceňuje obstarávacou cenou, ktorá zahŕňa cenu obstarania a náklady súvisiace s obstaraním ( clo, prepravu, montáž, poistné a pod.) Súčasťou obstarávacej ceny dlhodobého nehmotného majetku nie sú úroky z úverov súvisiacich s obstaraním majetku, ktoré vznikli do momentu zaradenia majetku do užívania.</w:t>
      </w:r>
    </w:p>
    <w:p w:rsidR="00347ACF" w:rsidRPr="00347ACF" w:rsidRDefault="00347ACF" w:rsidP="00347ACF">
      <w:pPr>
        <w:numPr>
          <w:ilvl w:val="0"/>
          <w:numId w:val="10"/>
        </w:numPr>
        <w:spacing w:after="0" w:line="240" w:lineRule="auto"/>
        <w:ind w:left="1004"/>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Dlhodobý nehmotný majetok vytvorený vlastnou činnosťou sa oceňuje vlastnými nákladmi. Vlastnými nákladmi sú všetky priame náklady vynaložené na výrobu alebo na inú činnosť a nepriame náklady, ktoré sa vzťahujú na výrobu a činnosť.</w:t>
      </w:r>
    </w:p>
    <w:p w:rsidR="00347ACF" w:rsidRPr="00347ACF" w:rsidRDefault="00347ACF" w:rsidP="00347ACF">
      <w:pPr>
        <w:spacing w:line="240" w:lineRule="auto"/>
        <w:ind w:left="644"/>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Dlhodobý hmotný majetok</w:t>
      </w:r>
    </w:p>
    <w:p w:rsidR="00347ACF" w:rsidRPr="00347ACF" w:rsidRDefault="00347ACF" w:rsidP="00347ACF">
      <w:pPr>
        <w:numPr>
          <w:ilvl w:val="0"/>
          <w:numId w:val="11"/>
        </w:numPr>
        <w:spacing w:after="0" w:line="240" w:lineRule="auto"/>
        <w:ind w:left="1004"/>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Dlhodobý hmotný majetok nakupovaný sa oceňuje obstarávacou cenou, ktorá zahŕňa cenu obstarania a náklady súvisiace s obstaraním (clo, prepravu, montáž, poistné a pod.) Súčasťou obstarávacej ceny dlhodobého hmotného majetku nie sú úroku z úverov súvisiacich s obstaraním majetku, ktoré vznikli do momentu zaradenia majetku do užívania.</w:t>
      </w:r>
    </w:p>
    <w:p w:rsidR="00347ACF" w:rsidRPr="00347ACF" w:rsidRDefault="00347ACF" w:rsidP="00347ACF">
      <w:pPr>
        <w:numPr>
          <w:ilvl w:val="0"/>
          <w:numId w:val="11"/>
        </w:numPr>
        <w:spacing w:after="0" w:line="240" w:lineRule="auto"/>
        <w:ind w:left="1004"/>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 xml:space="preserve">Do dlhodobého hmotného majetku patrí majetok, ku ktorému má účtovná jednotka vlastnícke právo. Súčasťou dlhodobého </w:t>
      </w:r>
      <w:proofErr w:type="spellStart"/>
      <w:r w:rsidRPr="00347ACF">
        <w:rPr>
          <w:rFonts w:ascii="Calibri" w:eastAsia="Times New Roman" w:hAnsi="Calibri" w:cs="Calibri"/>
          <w:color w:val="000000"/>
          <w:sz w:val="24"/>
          <w:szCs w:val="24"/>
          <w:lang w:eastAsia="sk-SK"/>
        </w:rPr>
        <w:t>hmot</w:t>
      </w:r>
      <w:proofErr w:type="spellEnd"/>
      <w:r w:rsidRPr="00347ACF">
        <w:rPr>
          <w:rFonts w:ascii="Calibri" w:eastAsia="Times New Roman" w:hAnsi="Calibri" w:cs="Calibri"/>
          <w:color w:val="000000"/>
          <w:sz w:val="24"/>
          <w:szCs w:val="24"/>
          <w:lang w:eastAsia="sk-SK"/>
        </w:rPr>
        <w:t>. majetku je aj majetok, ktorý spoločnosť obstarala na základe zmluvy o finančnom prenájme.</w:t>
      </w:r>
    </w:p>
    <w:p w:rsidR="00347ACF" w:rsidRPr="00347ACF" w:rsidRDefault="00347ACF" w:rsidP="00347ACF">
      <w:pPr>
        <w:numPr>
          <w:ilvl w:val="0"/>
          <w:numId w:val="11"/>
        </w:numPr>
        <w:spacing w:after="0" w:line="240" w:lineRule="auto"/>
        <w:ind w:left="1004"/>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 xml:space="preserve">Odpisy dlhodobého </w:t>
      </w:r>
      <w:proofErr w:type="spellStart"/>
      <w:r w:rsidRPr="00347ACF">
        <w:rPr>
          <w:rFonts w:ascii="Calibri" w:eastAsia="Times New Roman" w:hAnsi="Calibri" w:cs="Calibri"/>
          <w:color w:val="000000"/>
          <w:sz w:val="24"/>
          <w:szCs w:val="24"/>
          <w:lang w:eastAsia="sk-SK"/>
        </w:rPr>
        <w:t>hmot</w:t>
      </w:r>
      <w:proofErr w:type="spellEnd"/>
      <w:r w:rsidRPr="00347ACF">
        <w:rPr>
          <w:rFonts w:ascii="Calibri" w:eastAsia="Times New Roman" w:hAnsi="Calibri" w:cs="Calibri"/>
          <w:color w:val="000000"/>
          <w:sz w:val="24"/>
          <w:szCs w:val="24"/>
          <w:lang w:eastAsia="sk-SK"/>
        </w:rPr>
        <w:t>. majetku sú stanovené podľa predpokladanej doby jeho používania a predpokladaného priebehu jeho opotrebenia. Pozemky sa neodpisujú.</w:t>
      </w:r>
    </w:p>
    <w:p w:rsidR="00347ACF" w:rsidRPr="00347ACF" w:rsidRDefault="00347ACF" w:rsidP="00347ACF">
      <w:pPr>
        <w:numPr>
          <w:ilvl w:val="0"/>
          <w:numId w:val="11"/>
        </w:numPr>
        <w:spacing w:after="0" w:line="240" w:lineRule="auto"/>
        <w:ind w:left="1004"/>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Vypracuje sa odpisový plán pre jednotlivé druhy majetku so stanovenou metódou odpisovania a ročnou odpisovou sadzbou.</w:t>
      </w:r>
    </w:p>
    <w:p w:rsidR="00347ACF" w:rsidRPr="00347ACF" w:rsidRDefault="00347ACF" w:rsidP="00347ACF">
      <w:pPr>
        <w:numPr>
          <w:ilvl w:val="0"/>
          <w:numId w:val="11"/>
        </w:numPr>
        <w:spacing w:after="0" w:line="240" w:lineRule="auto"/>
        <w:ind w:left="1004"/>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Technické zhodnotenie dlhodobého hmotného majetku nie je technickým zhodnotením, ak neprevyšuje úhrnne za účtovné obdobie sumu 1700 eur.</w:t>
      </w:r>
    </w:p>
    <w:p w:rsidR="00347ACF" w:rsidRPr="00347ACF" w:rsidRDefault="00347ACF" w:rsidP="00347ACF">
      <w:pPr>
        <w:spacing w:after="240" w:line="240" w:lineRule="auto"/>
        <w:rPr>
          <w:rFonts w:ascii="Times New Roman" w:eastAsia="Times New Roman" w:hAnsi="Times New Roman" w:cs="Times New Roman"/>
          <w:sz w:val="24"/>
          <w:szCs w:val="24"/>
          <w:lang w:eastAsia="sk-SK"/>
        </w:rPr>
      </w:pPr>
      <w:r w:rsidRPr="00347ACF">
        <w:rPr>
          <w:rFonts w:ascii="Times New Roman" w:eastAsia="Times New Roman" w:hAnsi="Times New Roman" w:cs="Times New Roman"/>
          <w:sz w:val="24"/>
          <w:szCs w:val="24"/>
          <w:lang w:eastAsia="sk-SK"/>
        </w:rPr>
        <w:lastRenderedPageBreak/>
        <w:br/>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Cenné papiere a podiely</w:t>
      </w:r>
    </w:p>
    <w:p w:rsidR="00347ACF" w:rsidRPr="00347ACF" w:rsidRDefault="00347ACF" w:rsidP="00347ACF">
      <w:pPr>
        <w:numPr>
          <w:ilvl w:val="0"/>
          <w:numId w:val="12"/>
        </w:numPr>
        <w:spacing w:after="0" w:line="240" w:lineRule="auto"/>
        <w:ind w:left="1110"/>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Cenné papiere a podiely sa oceňujú pri nadobudnutí obstarávacou cenou, vrátane nákladov súvisiacich s obstaraním.</w:t>
      </w:r>
    </w:p>
    <w:p w:rsidR="00347ACF" w:rsidRPr="00347ACF" w:rsidRDefault="00347ACF" w:rsidP="00347ACF">
      <w:pPr>
        <w:numPr>
          <w:ilvl w:val="0"/>
          <w:numId w:val="12"/>
        </w:numPr>
        <w:spacing w:after="0" w:line="240" w:lineRule="auto"/>
        <w:ind w:left="1110"/>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Ku dňu, ku ktorému sa zostavuje účtovná závierka spoločnosť nevlastnila cenné papiere a podiely</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       Zásoby</w:t>
      </w:r>
    </w:p>
    <w:p w:rsidR="00347ACF" w:rsidRPr="00347ACF" w:rsidRDefault="00347ACF" w:rsidP="00347ACF">
      <w:pPr>
        <w:numPr>
          <w:ilvl w:val="0"/>
          <w:numId w:val="13"/>
        </w:numPr>
        <w:spacing w:after="0" w:line="240" w:lineRule="auto"/>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Do zásob patrí skladovaný materiál a skladovaný tovar a priame náklady na neukončené servisné opravy.</w:t>
      </w:r>
    </w:p>
    <w:p w:rsidR="00347ACF" w:rsidRPr="00347ACF" w:rsidRDefault="00347ACF" w:rsidP="00347ACF">
      <w:pPr>
        <w:numPr>
          <w:ilvl w:val="0"/>
          <w:numId w:val="13"/>
        </w:numPr>
        <w:spacing w:after="0" w:line="240" w:lineRule="auto"/>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Materiál a tovar sa prvotne oceňujú obstarávacou cenou, ktorú tvorí cena obstarania a náklady súvisiace s obstaraním (prepravné, poistné, provízie, skonto). Úroky z úverov nie sú súčasťou obstarávacej ceny.</w:t>
      </w:r>
    </w:p>
    <w:p w:rsidR="00347ACF" w:rsidRPr="00347ACF" w:rsidRDefault="00347ACF" w:rsidP="00347ACF">
      <w:pPr>
        <w:numPr>
          <w:ilvl w:val="0"/>
          <w:numId w:val="13"/>
        </w:numPr>
        <w:spacing w:after="0" w:line="240" w:lineRule="auto"/>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Nakupované zásoby sa:</w:t>
      </w:r>
    </w:p>
    <w:p w:rsidR="00347ACF" w:rsidRPr="00347ACF" w:rsidRDefault="00347ACF" w:rsidP="00347ACF">
      <w:pPr>
        <w:numPr>
          <w:ilvl w:val="0"/>
          <w:numId w:val="14"/>
        </w:numPr>
        <w:spacing w:after="0" w:line="240" w:lineRule="auto"/>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Vyskladňujú váženým aritmetickým priemerom z obstarávaných cien</w:t>
      </w:r>
    </w:p>
    <w:p w:rsidR="00347ACF" w:rsidRPr="00347ACF" w:rsidRDefault="00347ACF" w:rsidP="00347ACF">
      <w:pPr>
        <w:numPr>
          <w:ilvl w:val="0"/>
          <w:numId w:val="14"/>
        </w:numPr>
        <w:spacing w:after="0" w:line="240" w:lineRule="auto"/>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 xml:space="preserve">Úbytok vedľajších nákladov, pripadajúcich na spotrebované zásoby sa určí – úbytok zásob za </w:t>
      </w:r>
      <w:proofErr w:type="spellStart"/>
      <w:r w:rsidRPr="00347ACF">
        <w:rPr>
          <w:rFonts w:ascii="Calibri" w:eastAsia="Times New Roman" w:hAnsi="Calibri" w:cs="Calibri"/>
          <w:color w:val="000000"/>
          <w:sz w:val="24"/>
          <w:szCs w:val="24"/>
          <w:lang w:eastAsia="sk-SK"/>
        </w:rPr>
        <w:t>mesiac*priemerné</w:t>
      </w:r>
      <w:proofErr w:type="spellEnd"/>
      <w:r w:rsidRPr="00347ACF">
        <w:rPr>
          <w:rFonts w:ascii="Calibri" w:eastAsia="Times New Roman" w:hAnsi="Calibri" w:cs="Calibri"/>
          <w:color w:val="000000"/>
          <w:sz w:val="24"/>
          <w:szCs w:val="24"/>
          <w:lang w:eastAsia="sk-SK"/>
        </w:rPr>
        <w:t xml:space="preserve"> percento /100</w:t>
      </w:r>
    </w:p>
    <w:p w:rsidR="00347ACF" w:rsidRPr="00347ACF" w:rsidRDefault="00347ACF" w:rsidP="00347ACF">
      <w:pPr>
        <w:spacing w:after="0" w:line="240" w:lineRule="auto"/>
        <w:rPr>
          <w:rFonts w:ascii="Times New Roman" w:eastAsia="Times New Roman" w:hAnsi="Times New Roman" w:cs="Times New Roman"/>
          <w:sz w:val="24"/>
          <w:szCs w:val="24"/>
          <w:lang w:eastAsia="sk-SK"/>
        </w:rPr>
      </w:pP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Pohľadávky</w:t>
      </w:r>
    </w:p>
    <w:p w:rsidR="00347ACF" w:rsidRPr="00347ACF" w:rsidRDefault="00347ACF" w:rsidP="00347ACF">
      <w:pPr>
        <w:numPr>
          <w:ilvl w:val="0"/>
          <w:numId w:val="15"/>
        </w:numPr>
        <w:spacing w:after="0" w:line="240" w:lineRule="auto"/>
        <w:ind w:left="840"/>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Pohľadávky pri ich vzniku sa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rsidR="00347ACF" w:rsidRPr="00347ACF" w:rsidRDefault="00347ACF" w:rsidP="00347ACF">
      <w:pPr>
        <w:numPr>
          <w:ilvl w:val="0"/>
          <w:numId w:val="15"/>
        </w:numPr>
        <w:spacing w:after="0" w:line="240" w:lineRule="auto"/>
        <w:ind w:left="840"/>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Pohľadávky s dobou splatnosti od dňa, ktorému sa zostavuje účtovná závierka menej ako 12 mesiacov sú dlhodobé a pohľadávky s dobou splatnosti odo dňa ku ktorému sa zostavuje účtovná závierka menej ako 12 mesiacov sa vykazujú ako krátkodobé.</w:t>
      </w:r>
    </w:p>
    <w:p w:rsidR="00347ACF" w:rsidRPr="00347ACF" w:rsidRDefault="00347ACF" w:rsidP="00347ACF">
      <w:pPr>
        <w:numPr>
          <w:ilvl w:val="0"/>
          <w:numId w:val="15"/>
        </w:numPr>
        <w:spacing w:after="0" w:line="240" w:lineRule="auto"/>
        <w:ind w:left="840"/>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Ak je zostatková doba splatnosti pohľadávky dlhšia ako jeden rok, vytvára sa opravná položka, ktorá predstavuje rozdiel medzi menovitou a súčasnou hodnotou pohľadávky.</w:t>
      </w:r>
    </w:p>
    <w:p w:rsidR="00347ACF" w:rsidRPr="00347ACF" w:rsidRDefault="00347ACF" w:rsidP="00347ACF">
      <w:pPr>
        <w:numPr>
          <w:ilvl w:val="0"/>
          <w:numId w:val="15"/>
        </w:numPr>
        <w:spacing w:after="0" w:line="240" w:lineRule="auto"/>
        <w:ind w:left="840"/>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347ACF" w:rsidRPr="00347ACF" w:rsidRDefault="00347ACF" w:rsidP="00347ACF">
      <w:pPr>
        <w:spacing w:after="240" w:line="240" w:lineRule="auto"/>
        <w:rPr>
          <w:rFonts w:ascii="Times New Roman" w:eastAsia="Times New Roman" w:hAnsi="Times New Roman" w:cs="Times New Roman"/>
          <w:sz w:val="24"/>
          <w:szCs w:val="24"/>
          <w:lang w:eastAsia="sk-SK"/>
        </w:rPr>
      </w:pPr>
      <w:r w:rsidRPr="00347ACF">
        <w:rPr>
          <w:rFonts w:ascii="Times New Roman" w:eastAsia="Times New Roman" w:hAnsi="Times New Roman" w:cs="Times New Roman"/>
          <w:sz w:val="24"/>
          <w:szCs w:val="24"/>
          <w:lang w:eastAsia="sk-SK"/>
        </w:rPr>
        <w:br/>
      </w:r>
      <w:r w:rsidRPr="00347ACF">
        <w:rPr>
          <w:rFonts w:ascii="Times New Roman" w:eastAsia="Times New Roman" w:hAnsi="Times New Roman" w:cs="Times New Roman"/>
          <w:sz w:val="24"/>
          <w:szCs w:val="24"/>
          <w:lang w:eastAsia="sk-SK"/>
        </w:rPr>
        <w:br/>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Peňažné prostriedky, ekvivalenty peňažných prostriedkov a peňažné ekvivalenty</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            </w:t>
      </w:r>
      <w:r w:rsidRPr="00347ACF">
        <w:rPr>
          <w:rFonts w:ascii="Calibri" w:eastAsia="Times New Roman" w:hAnsi="Calibri" w:cs="Calibri"/>
          <w:color w:val="000000"/>
          <w:sz w:val="24"/>
          <w:szCs w:val="24"/>
          <w:lang w:eastAsia="sk-SK"/>
        </w:rPr>
        <w:t xml:space="preserve">Peňažné prostriedky a ceniny sa oceňujú ich menovitou hodnotou. Zníženie ich hodnoty sa vyjadruje opravnou položkou. Peňažné prostriedky a peňažné ekvivalenty </w:t>
      </w:r>
      <w:r w:rsidRPr="00347ACF">
        <w:rPr>
          <w:rFonts w:ascii="Calibri" w:eastAsia="Times New Roman" w:hAnsi="Calibri" w:cs="Calibri"/>
          <w:color w:val="000000"/>
          <w:sz w:val="24"/>
          <w:szCs w:val="24"/>
          <w:lang w:eastAsia="sk-SK"/>
        </w:rPr>
        <w:lastRenderedPageBreak/>
        <w:t>zahŕňajú peňažnú hotovosť, termínované vklady v bankách, iné krátkodobé vysoko likvidné investície s pôvodnou lehotou splatnosti do troch mesiacov a kontokorentné úvery. V súvahe sú kontokorentné úvery vykázané ako krátkodobé bankové úvery.</w:t>
      </w:r>
    </w:p>
    <w:p w:rsidR="00347ACF" w:rsidRPr="00347ACF" w:rsidRDefault="00347ACF" w:rsidP="00347ACF">
      <w:pPr>
        <w:spacing w:after="0" w:line="240" w:lineRule="auto"/>
        <w:rPr>
          <w:rFonts w:ascii="Times New Roman" w:eastAsia="Times New Roman" w:hAnsi="Times New Roman" w:cs="Times New Roman"/>
          <w:sz w:val="24"/>
          <w:szCs w:val="24"/>
          <w:lang w:eastAsia="sk-SK"/>
        </w:rPr>
      </w:pP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Náklady budúcich období a príjmy budúcich období</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Náklady budúcich období a príjmy budúcich období sa vykazujú vo výške, ktorá je potrebná na dodržanie zásady vecnej a časovej súvislosti s účtovným obdobím.</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Rezervy</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Rezervy sa vytvárajú, ak má obchodná spoločnosť súčasný zákonný, zmluvný alebo mimozmluvný záväzok, ktorý je dôsledkom minulých udalostí a na základe ktorého pravdepodobne dôjde k úbytku ekonomických úžitkov, a zároveň je možné vykonať spoľahlivý odhad výšky týchto záväzkov. Rezervy sú záväzky s neurčitým časovým vymedzením alebo výškou, tvoria sa na krytie známych rizík alebo strát z podnikania. Oceňujú sa v očakávanej výške záväzku. Rezervy sa oceňujú odhadom v sume dostatočnej na splnenie existujúcej povinnosti ku dňu , ku ktorému sa zostavuje účtovná závierka pri zohľadnení rizík a neistôt.</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Záväzky </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Odložené dane</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Odložené dane sa vzťahujú na :</w:t>
      </w:r>
    </w:p>
    <w:p w:rsidR="00347ACF" w:rsidRPr="00347ACF" w:rsidRDefault="00347ACF" w:rsidP="00347ACF">
      <w:pPr>
        <w:numPr>
          <w:ilvl w:val="0"/>
          <w:numId w:val="16"/>
        </w:numPr>
        <w:spacing w:after="0" w:line="240" w:lineRule="auto"/>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Dočasné rozdiely medzi účtovnou hodnotou majetku a účtovnou hodnotou záväzkov vykázanou v súvahe a ich daňovou základňou,</w:t>
      </w:r>
    </w:p>
    <w:p w:rsidR="00347ACF" w:rsidRPr="00347ACF" w:rsidRDefault="00347ACF" w:rsidP="00347ACF">
      <w:pPr>
        <w:numPr>
          <w:ilvl w:val="0"/>
          <w:numId w:val="16"/>
        </w:numPr>
        <w:spacing w:after="0" w:line="240" w:lineRule="auto"/>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Možnosť umorovať daňovú stratu v budúcnosti, ktorou sa rozumie možnosť odpočítať daňovú stratu od základu dane v budúcnosti,</w:t>
      </w:r>
    </w:p>
    <w:p w:rsidR="00347ACF" w:rsidRPr="00347ACF" w:rsidRDefault="00347ACF" w:rsidP="00347ACF">
      <w:pPr>
        <w:numPr>
          <w:ilvl w:val="0"/>
          <w:numId w:val="16"/>
        </w:numPr>
        <w:spacing w:after="0" w:line="240" w:lineRule="auto"/>
        <w:textAlignment w:val="baseline"/>
        <w:rPr>
          <w:rFonts w:ascii="Calibri" w:eastAsia="Times New Roman" w:hAnsi="Calibri" w:cs="Calibri"/>
          <w:color w:val="000000"/>
          <w:sz w:val="24"/>
          <w:szCs w:val="24"/>
          <w:lang w:eastAsia="sk-SK"/>
        </w:rPr>
      </w:pPr>
      <w:r w:rsidRPr="00347ACF">
        <w:rPr>
          <w:rFonts w:ascii="Calibri" w:eastAsia="Times New Roman" w:hAnsi="Calibri" w:cs="Calibri"/>
          <w:color w:val="000000"/>
          <w:sz w:val="24"/>
          <w:szCs w:val="24"/>
          <w:lang w:eastAsia="sk-SK"/>
        </w:rPr>
        <w:t>Možnosť previesť nevyužité daňové odpočty a iné daňové nároky do budúcich období. Odložená daň z príjmov sa účtuje použitím záväzkovej metódy. O odloženej dani z príjmov sa neúčtuje , ak vzniká pri prvotnom zaúčtovaní majetku alebo záväzku v účtovníctve ,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 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 Odložené daňové pohľadávky sa účtujú, ak je pravdepodobné, že v budúcnosti bude generovaný zisk, voči ktorému sa budú môcť dočasné rozdiely zrealizovať.</w:t>
      </w:r>
    </w:p>
    <w:p w:rsidR="00347ACF" w:rsidRPr="00347ACF" w:rsidRDefault="00347ACF" w:rsidP="00347ACF">
      <w:pPr>
        <w:spacing w:after="0" w:line="240" w:lineRule="auto"/>
        <w:rPr>
          <w:rFonts w:ascii="Times New Roman" w:eastAsia="Times New Roman" w:hAnsi="Times New Roman" w:cs="Times New Roman"/>
          <w:sz w:val="24"/>
          <w:szCs w:val="24"/>
          <w:lang w:eastAsia="sk-SK"/>
        </w:rPr>
      </w:pP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Výdavky budúcich období a výnosy budúcich období</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lastRenderedPageBreak/>
        <w:t>Výdavky budúcich období a výnosy budúcich období sa vykazujú vo výške, ktorá je potrebná na dodržanie zásady vecnej a časovej súvislosti s účtovným obdobím.</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Cudzia mena</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Majetok a záväzky vyjadrené v cudzej mene sa ku dňu uskutočnenia účtovného prípadu prepočítavajú a menu euro referenčným výmenným kurzom určeným a vyhláseným Európskou centrálnou bankou alebo Národnou bankou Slovenskej republiky v deň predchádzajúci dňu uskutočnenia účtovného prípadu.</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Majetok a záväzky vyjadrené v cudzej mene (okrem prijatých a poskytnutých preddavkov)sa ku dňu, ku ktorému sa zostavuje účtovná závierka, prepočítavajú na menu euro referenčným výmenným kurzom určeným a vyhláseným Európskou centrálnou bankou alebo Národnou bankou Slovenska v deň, ku ktorému sa zostavuje účtovná závierka a účtujú sa vplyvom na výsledok hospodárenia.</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Prijaté a poskytnuté preddavky v cudzej mene sa prepočítavajú a menu euro referenčným výmenným kurzom určeným a vyhláseným Európskou centrálnou bankou alebo Národnou </w:t>
      </w:r>
    </w:p>
    <w:p w:rsidR="00347ACF" w:rsidRPr="00347ACF" w:rsidRDefault="00347ACF" w:rsidP="00347ACF">
      <w:pPr>
        <w:spacing w:after="0" w:line="240" w:lineRule="auto"/>
        <w:rPr>
          <w:rFonts w:ascii="Times New Roman" w:eastAsia="Times New Roman" w:hAnsi="Times New Roman" w:cs="Times New Roman"/>
          <w:sz w:val="24"/>
          <w:szCs w:val="24"/>
          <w:lang w:eastAsia="sk-SK"/>
        </w:rPr>
      </w:pP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 xml:space="preserve">bankou Slovenska v deň predchádzajúci dňu uskutočnenia účtovného prípadu. Ku </w:t>
      </w:r>
      <w:proofErr w:type="spellStart"/>
      <w:r w:rsidRPr="00347ACF">
        <w:rPr>
          <w:rFonts w:ascii="Calibri" w:eastAsia="Times New Roman" w:hAnsi="Calibri" w:cs="Calibri"/>
          <w:color w:val="000000"/>
          <w:sz w:val="24"/>
          <w:szCs w:val="24"/>
          <w:lang w:eastAsia="sk-SK"/>
        </w:rPr>
        <w:t>dňu,ku</w:t>
      </w:r>
      <w:proofErr w:type="spellEnd"/>
      <w:r w:rsidRPr="00347ACF">
        <w:rPr>
          <w:rFonts w:ascii="Calibri" w:eastAsia="Times New Roman" w:hAnsi="Calibri" w:cs="Calibri"/>
          <w:color w:val="000000"/>
          <w:sz w:val="24"/>
          <w:szCs w:val="24"/>
          <w:lang w:eastAsia="sk-SK"/>
        </w:rPr>
        <w:t xml:space="preserve"> ktorému sa zostavuje účtovná závierka sa na menu euro neprepočítavajú.</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Výnosy </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Tržba za vlastné výkony a tovar neobsahuje daň z pridanej hodnoty. Sú tiež znížené o zľavy a zrážky (rabaty, bonusy, skontá, dobropisy a pod.)bez ohľadu na to, či zákazník mal vopred nárok, alebo či ide o dodatočne uznanú zľavu.</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Oprava chýb minulých účtovných období</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V roku 20</w:t>
      </w:r>
      <w:r w:rsidR="007D6E4E">
        <w:rPr>
          <w:rFonts w:ascii="Calibri" w:eastAsia="Times New Roman" w:hAnsi="Calibri" w:cs="Calibri"/>
          <w:color w:val="000000"/>
          <w:sz w:val="24"/>
          <w:szCs w:val="24"/>
          <w:lang w:eastAsia="sk-SK"/>
        </w:rPr>
        <w:t>21</w:t>
      </w:r>
      <w:r w:rsidRPr="00347ACF">
        <w:rPr>
          <w:rFonts w:ascii="Calibri" w:eastAsia="Times New Roman" w:hAnsi="Calibri" w:cs="Calibri"/>
          <w:color w:val="000000"/>
          <w:sz w:val="24"/>
          <w:szCs w:val="24"/>
          <w:lang w:eastAsia="sk-SK"/>
        </w:rPr>
        <w:t xml:space="preserve"> spoločnosť neúčtovala o oprave chýb minulých účtovných období.</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 </w:t>
      </w:r>
    </w:p>
    <w:p w:rsidR="00347ACF" w:rsidRPr="00347ACF" w:rsidRDefault="00347ACF" w:rsidP="00347ACF">
      <w:pPr>
        <w:numPr>
          <w:ilvl w:val="0"/>
          <w:numId w:val="17"/>
        </w:numPr>
        <w:spacing w:after="0" w:line="240" w:lineRule="auto"/>
        <w:ind w:left="644"/>
        <w:textAlignment w:val="baseline"/>
        <w:rPr>
          <w:rFonts w:ascii="Calibri" w:eastAsia="Times New Roman" w:hAnsi="Calibri" w:cs="Calibri"/>
          <w:b/>
          <w:bCs/>
          <w:color w:val="000000"/>
          <w:sz w:val="28"/>
          <w:szCs w:val="28"/>
          <w:lang w:eastAsia="sk-SK"/>
        </w:rPr>
      </w:pPr>
      <w:r w:rsidRPr="00347ACF">
        <w:rPr>
          <w:rFonts w:ascii="Calibri" w:eastAsia="Times New Roman" w:hAnsi="Calibri" w:cs="Calibri"/>
          <w:b/>
          <w:bCs/>
          <w:color w:val="000000"/>
          <w:sz w:val="28"/>
          <w:szCs w:val="28"/>
          <w:lang w:eastAsia="sk-SK"/>
        </w:rPr>
        <w:t>Informácie k položkám úvahy z výkazu ziskov a strát</w:t>
      </w:r>
    </w:p>
    <w:p w:rsidR="00347ACF" w:rsidRPr="00347ACF" w:rsidRDefault="00347ACF" w:rsidP="00347ACF">
      <w:pPr>
        <w:spacing w:after="240" w:line="240" w:lineRule="auto"/>
        <w:rPr>
          <w:rFonts w:ascii="Times New Roman" w:eastAsia="Times New Roman" w:hAnsi="Times New Roman" w:cs="Times New Roman"/>
          <w:sz w:val="24"/>
          <w:szCs w:val="24"/>
          <w:lang w:eastAsia="sk-SK"/>
        </w:rPr>
      </w:pPr>
    </w:p>
    <w:tbl>
      <w:tblPr>
        <w:tblW w:w="0" w:type="auto"/>
        <w:tblCellMar>
          <w:top w:w="15" w:type="dxa"/>
          <w:left w:w="15" w:type="dxa"/>
          <w:bottom w:w="15" w:type="dxa"/>
          <w:right w:w="15" w:type="dxa"/>
        </w:tblCellMar>
        <w:tblLook w:val="04A0"/>
      </w:tblPr>
      <w:tblGrid>
        <w:gridCol w:w="4359"/>
        <w:gridCol w:w="1828"/>
        <w:gridCol w:w="3101"/>
      </w:tblGrid>
      <w:tr w:rsidR="00347ACF" w:rsidRPr="00347ACF" w:rsidTr="00347ACF">
        <w:tc>
          <w:tcPr>
            <w:tcW w:w="0" w:type="auto"/>
            <w:tcBorders>
              <w:top w:val="single" w:sz="4" w:space="0" w:color="000000"/>
              <w:left w:val="single" w:sz="4" w:space="0" w:color="000000"/>
              <w:right w:val="single" w:sz="4" w:space="0" w:color="000000"/>
            </w:tcBorders>
            <w:shd w:val="clear" w:color="auto" w:fill="FDE9D9"/>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8"/>
                <w:szCs w:val="28"/>
                <w:lang w:eastAsia="sk-SK"/>
              </w:rPr>
              <w:t>      Názov položky</w:t>
            </w:r>
          </w:p>
        </w:tc>
        <w:tc>
          <w:tcPr>
            <w:tcW w:w="0" w:type="auto"/>
            <w:tcBorders>
              <w:top w:val="single" w:sz="4" w:space="0" w:color="000000"/>
              <w:left w:val="single" w:sz="4" w:space="0" w:color="000000"/>
              <w:right w:val="single" w:sz="4" w:space="0" w:color="000000"/>
            </w:tcBorders>
            <w:shd w:val="clear" w:color="auto" w:fill="FDE9D9"/>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8"/>
                <w:szCs w:val="28"/>
                <w:lang w:eastAsia="sk-SK"/>
              </w:rPr>
              <w:t xml:space="preserve">     Bežné účtovné </w:t>
            </w:r>
          </w:p>
        </w:tc>
        <w:tc>
          <w:tcPr>
            <w:tcW w:w="0" w:type="auto"/>
            <w:tcBorders>
              <w:top w:val="single" w:sz="4" w:space="0" w:color="000000"/>
              <w:left w:val="single" w:sz="4" w:space="0" w:color="000000"/>
              <w:right w:val="single" w:sz="4" w:space="0" w:color="000000"/>
            </w:tcBorders>
            <w:shd w:val="clear" w:color="auto" w:fill="FDE9D9"/>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8"/>
                <w:szCs w:val="28"/>
                <w:lang w:eastAsia="sk-SK"/>
              </w:rPr>
              <w:t>Bezprostredne predchádzajúce </w:t>
            </w:r>
          </w:p>
        </w:tc>
      </w:tr>
      <w:tr w:rsidR="00347ACF" w:rsidRPr="00347ACF" w:rsidTr="00347ACF">
        <w:tc>
          <w:tcPr>
            <w:tcW w:w="0" w:type="auto"/>
            <w:tcBorders>
              <w:left w:val="single" w:sz="4" w:space="0" w:color="000000"/>
              <w:bottom w:val="single" w:sz="4" w:space="0" w:color="000000"/>
              <w:right w:val="single" w:sz="4" w:space="0" w:color="000000"/>
            </w:tcBorders>
            <w:shd w:val="clear" w:color="auto" w:fill="FDE9D9"/>
            <w:tcMar>
              <w:top w:w="0" w:type="dxa"/>
              <w:left w:w="108" w:type="dxa"/>
              <w:bottom w:w="0" w:type="dxa"/>
              <w:right w:w="108" w:type="dxa"/>
            </w:tcMar>
            <w:hideMark/>
          </w:tcPr>
          <w:p w:rsidR="00347ACF" w:rsidRPr="00347ACF" w:rsidRDefault="00347ACF" w:rsidP="00347ACF">
            <w:pPr>
              <w:spacing w:after="0" w:line="240" w:lineRule="auto"/>
              <w:rPr>
                <w:rFonts w:ascii="Times New Roman" w:eastAsia="Times New Roman" w:hAnsi="Times New Roman" w:cs="Times New Roman"/>
                <w:sz w:val="1"/>
                <w:szCs w:val="24"/>
                <w:lang w:eastAsia="sk-SK"/>
              </w:rPr>
            </w:pPr>
          </w:p>
        </w:tc>
        <w:tc>
          <w:tcPr>
            <w:tcW w:w="0" w:type="auto"/>
            <w:tcBorders>
              <w:left w:val="single" w:sz="4" w:space="0" w:color="000000"/>
              <w:bottom w:val="single" w:sz="4" w:space="0" w:color="000000"/>
              <w:right w:val="single" w:sz="4" w:space="0" w:color="000000"/>
            </w:tcBorders>
            <w:shd w:val="clear" w:color="auto" w:fill="FDE9D9"/>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8"/>
                <w:szCs w:val="28"/>
                <w:lang w:eastAsia="sk-SK"/>
              </w:rPr>
              <w:t xml:space="preserve">           obdobie</w:t>
            </w:r>
          </w:p>
        </w:tc>
        <w:tc>
          <w:tcPr>
            <w:tcW w:w="0" w:type="auto"/>
            <w:tcBorders>
              <w:left w:val="single" w:sz="4" w:space="0" w:color="000000"/>
              <w:bottom w:val="single" w:sz="4" w:space="0" w:color="000000"/>
              <w:right w:val="single" w:sz="4" w:space="0" w:color="000000"/>
            </w:tcBorders>
            <w:shd w:val="clear" w:color="auto" w:fill="FDE9D9"/>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8"/>
                <w:szCs w:val="28"/>
                <w:lang w:eastAsia="sk-SK"/>
              </w:rPr>
              <w:t>            účtovné obdobie</w:t>
            </w:r>
          </w:p>
        </w:tc>
      </w:tr>
      <w:tr w:rsidR="00347ACF" w:rsidRPr="00347ACF" w:rsidTr="00347AC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Záväzky po lehote splatnosti</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Default="007D6E4E" w:rsidP="00347ACF">
            <w:pPr>
              <w:spacing w:after="0" w:line="0" w:lineRule="atLeas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p w:rsidR="00347ACF" w:rsidRPr="00347ACF" w:rsidRDefault="00347ACF" w:rsidP="00347ACF">
            <w:pPr>
              <w:spacing w:after="0" w:line="0" w:lineRule="atLeast"/>
              <w:rPr>
                <w:rFonts w:ascii="Times New Roman" w:eastAsia="Times New Roman" w:hAnsi="Times New Roman" w:cs="Times New Roman"/>
                <w:sz w:val="24"/>
                <w:szCs w:val="24"/>
                <w:lang w:eastAsia="sk-SK"/>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p>
        </w:tc>
      </w:tr>
      <w:tr w:rsidR="00347ACF" w:rsidRPr="00347ACF" w:rsidTr="00347ACF">
        <w:tc>
          <w:tcPr>
            <w:tcW w:w="0" w:type="auto"/>
            <w:tcBorders>
              <w:top w:val="single" w:sz="4" w:space="0" w:color="000000"/>
              <w:left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Záväzky so zostatkovou dobou splatnosti do jedného roka vrátane</w:t>
            </w:r>
          </w:p>
        </w:tc>
        <w:tc>
          <w:tcPr>
            <w:tcW w:w="0" w:type="auto"/>
            <w:tcBorders>
              <w:top w:val="single" w:sz="4" w:space="0" w:color="000000"/>
              <w:left w:val="single" w:sz="4" w:space="0" w:color="000000"/>
              <w:right w:val="single" w:sz="4" w:space="0" w:color="000000"/>
            </w:tcBorders>
            <w:tcMar>
              <w:top w:w="0" w:type="dxa"/>
              <w:left w:w="108" w:type="dxa"/>
              <w:bottom w:w="0" w:type="dxa"/>
              <w:right w:w="108" w:type="dxa"/>
            </w:tcMar>
            <w:hideMark/>
          </w:tcPr>
          <w:p w:rsidR="00347ACF" w:rsidRPr="00347ACF" w:rsidRDefault="007D6E4E" w:rsidP="00347ACF">
            <w:pPr>
              <w:spacing w:after="0" w:line="0" w:lineRule="atLeas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0" w:type="auto"/>
            <w:tcBorders>
              <w:top w:val="single" w:sz="4" w:space="0" w:color="000000"/>
              <w:left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p>
        </w:tc>
      </w:tr>
      <w:tr w:rsidR="00347ACF" w:rsidRPr="00347ACF" w:rsidTr="00347ACF">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240" w:lineRule="auto"/>
              <w:rPr>
                <w:rFonts w:ascii="Times New Roman" w:eastAsia="Times New Roman" w:hAnsi="Times New Roman" w:cs="Times New Roman"/>
                <w:sz w:val="1"/>
                <w:szCs w:val="24"/>
                <w:lang w:eastAsia="sk-SK"/>
              </w:rPr>
            </w:pP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240" w:lineRule="auto"/>
              <w:rPr>
                <w:rFonts w:ascii="Times New Roman" w:eastAsia="Times New Roman" w:hAnsi="Times New Roman" w:cs="Times New Roman"/>
                <w:sz w:val="1"/>
                <w:szCs w:val="24"/>
                <w:lang w:eastAsia="sk-SK"/>
              </w:rPr>
            </w:pP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240" w:lineRule="auto"/>
              <w:rPr>
                <w:rFonts w:ascii="Times New Roman" w:eastAsia="Times New Roman" w:hAnsi="Times New Roman" w:cs="Times New Roman"/>
                <w:sz w:val="1"/>
                <w:szCs w:val="24"/>
                <w:lang w:eastAsia="sk-SK"/>
              </w:rPr>
            </w:pPr>
          </w:p>
        </w:tc>
      </w:tr>
      <w:tr w:rsidR="00347ACF" w:rsidRPr="00347ACF" w:rsidTr="00347AC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b/>
                <w:bCs/>
                <w:color w:val="000000"/>
                <w:sz w:val="24"/>
                <w:szCs w:val="24"/>
                <w:lang w:eastAsia="sk-SK"/>
              </w:rPr>
              <w:t>Krátkodobé záväzky spolu</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7D6E4E" w:rsidP="00347ACF">
            <w:pPr>
              <w:spacing w:after="0" w:line="0" w:lineRule="atLeas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p>
        </w:tc>
      </w:tr>
      <w:tr w:rsidR="00347ACF" w:rsidRPr="00347ACF" w:rsidTr="00347ACF">
        <w:tc>
          <w:tcPr>
            <w:tcW w:w="0" w:type="auto"/>
            <w:tcBorders>
              <w:top w:val="single" w:sz="4" w:space="0" w:color="000000"/>
              <w:left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Záväzky so zostatkovou dobou splatnosti jeden rok až päť </w:t>
            </w:r>
          </w:p>
        </w:tc>
        <w:tc>
          <w:tcPr>
            <w:tcW w:w="0" w:type="auto"/>
            <w:tcBorders>
              <w:top w:val="single" w:sz="4" w:space="0" w:color="000000"/>
              <w:left w:val="single" w:sz="4" w:space="0" w:color="000000"/>
              <w:right w:val="single" w:sz="4" w:space="0" w:color="000000"/>
            </w:tcBorders>
            <w:tcMar>
              <w:top w:w="0" w:type="dxa"/>
              <w:left w:w="108" w:type="dxa"/>
              <w:bottom w:w="0" w:type="dxa"/>
              <w:right w:w="108" w:type="dxa"/>
            </w:tcMar>
            <w:hideMark/>
          </w:tcPr>
          <w:p w:rsidR="00347ACF" w:rsidRPr="00347ACF" w:rsidRDefault="007D6E4E" w:rsidP="00347ACF">
            <w:pPr>
              <w:spacing w:after="0" w:line="0" w:lineRule="atLeas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0" w:type="auto"/>
            <w:tcBorders>
              <w:top w:val="single" w:sz="4" w:space="0" w:color="000000"/>
              <w:left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p>
        </w:tc>
      </w:tr>
      <w:tr w:rsidR="00347ACF" w:rsidRPr="00347ACF" w:rsidTr="00347ACF">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rokov</w:t>
            </w: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240" w:lineRule="auto"/>
              <w:rPr>
                <w:rFonts w:ascii="Times New Roman" w:eastAsia="Times New Roman" w:hAnsi="Times New Roman" w:cs="Times New Roman"/>
                <w:sz w:val="1"/>
                <w:szCs w:val="24"/>
                <w:lang w:eastAsia="sk-SK"/>
              </w:rPr>
            </w:pP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240" w:lineRule="auto"/>
              <w:rPr>
                <w:rFonts w:ascii="Times New Roman" w:eastAsia="Times New Roman" w:hAnsi="Times New Roman" w:cs="Times New Roman"/>
                <w:sz w:val="1"/>
                <w:szCs w:val="24"/>
                <w:lang w:eastAsia="sk-SK"/>
              </w:rPr>
            </w:pPr>
          </w:p>
        </w:tc>
      </w:tr>
      <w:tr w:rsidR="00347ACF" w:rsidRPr="00347ACF" w:rsidTr="00347ACF">
        <w:tc>
          <w:tcPr>
            <w:tcW w:w="0" w:type="auto"/>
            <w:tcBorders>
              <w:top w:val="single" w:sz="4" w:space="0" w:color="000000"/>
              <w:left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lastRenderedPageBreak/>
              <w:t>Záväzky so zostatkovou dobou</w:t>
            </w:r>
          </w:p>
        </w:tc>
        <w:tc>
          <w:tcPr>
            <w:tcW w:w="0" w:type="auto"/>
            <w:tcBorders>
              <w:top w:val="single" w:sz="4" w:space="0" w:color="000000"/>
              <w:left w:val="single" w:sz="4" w:space="0" w:color="000000"/>
              <w:right w:val="single" w:sz="4" w:space="0" w:color="000000"/>
            </w:tcBorders>
            <w:tcMar>
              <w:top w:w="0" w:type="dxa"/>
              <w:left w:w="108" w:type="dxa"/>
              <w:bottom w:w="0" w:type="dxa"/>
              <w:right w:w="108" w:type="dxa"/>
            </w:tcMar>
            <w:hideMark/>
          </w:tcPr>
          <w:p w:rsidR="00347ACF" w:rsidRPr="00347ACF" w:rsidRDefault="007D6E4E" w:rsidP="00347ACF">
            <w:pPr>
              <w:spacing w:after="0" w:line="240" w:lineRule="auto"/>
              <w:rPr>
                <w:rFonts w:ascii="Times New Roman" w:eastAsia="Times New Roman" w:hAnsi="Times New Roman" w:cs="Times New Roman"/>
                <w:sz w:val="1"/>
                <w:szCs w:val="24"/>
                <w:lang w:eastAsia="sk-SK"/>
              </w:rPr>
            </w:pPr>
            <w:r>
              <w:rPr>
                <w:rFonts w:ascii="Times New Roman" w:eastAsia="Times New Roman" w:hAnsi="Times New Roman" w:cs="Times New Roman"/>
                <w:sz w:val="1"/>
                <w:szCs w:val="24"/>
                <w:lang w:eastAsia="sk-SK"/>
              </w:rPr>
              <w:t>0</w:t>
            </w:r>
          </w:p>
        </w:tc>
        <w:tc>
          <w:tcPr>
            <w:tcW w:w="0" w:type="auto"/>
            <w:tcBorders>
              <w:top w:val="single" w:sz="4" w:space="0" w:color="000000"/>
              <w:left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240" w:lineRule="auto"/>
              <w:rPr>
                <w:rFonts w:ascii="Times New Roman" w:eastAsia="Times New Roman" w:hAnsi="Times New Roman" w:cs="Times New Roman"/>
                <w:sz w:val="1"/>
                <w:szCs w:val="24"/>
                <w:lang w:eastAsia="sk-SK"/>
              </w:rPr>
            </w:pPr>
          </w:p>
        </w:tc>
      </w:tr>
      <w:tr w:rsidR="00347ACF" w:rsidRPr="00347ACF" w:rsidTr="00347ACF">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0" w:lineRule="atLeast"/>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splatnosti nad päť rokov</w:t>
            </w: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240" w:lineRule="auto"/>
              <w:rPr>
                <w:rFonts w:ascii="Times New Roman" w:eastAsia="Times New Roman" w:hAnsi="Times New Roman" w:cs="Times New Roman"/>
                <w:sz w:val="1"/>
                <w:szCs w:val="24"/>
                <w:lang w:eastAsia="sk-SK"/>
              </w:rPr>
            </w:pPr>
          </w:p>
        </w:tc>
        <w:tc>
          <w:tcPr>
            <w:tcW w:w="0" w:type="auto"/>
            <w:tcBorders>
              <w:left w:val="single" w:sz="4" w:space="0" w:color="000000"/>
              <w:bottom w:val="single" w:sz="4" w:space="0" w:color="000000"/>
              <w:right w:val="single" w:sz="4" w:space="0" w:color="000000"/>
            </w:tcBorders>
            <w:tcMar>
              <w:top w:w="0" w:type="dxa"/>
              <w:left w:w="108" w:type="dxa"/>
              <w:bottom w:w="0" w:type="dxa"/>
              <w:right w:w="108" w:type="dxa"/>
            </w:tcMar>
            <w:hideMark/>
          </w:tcPr>
          <w:p w:rsidR="00347ACF" w:rsidRPr="00347ACF" w:rsidRDefault="00347ACF" w:rsidP="00347ACF">
            <w:pPr>
              <w:spacing w:after="0" w:line="240" w:lineRule="auto"/>
              <w:rPr>
                <w:rFonts w:ascii="Times New Roman" w:eastAsia="Times New Roman" w:hAnsi="Times New Roman" w:cs="Times New Roman"/>
                <w:sz w:val="1"/>
                <w:szCs w:val="24"/>
                <w:lang w:eastAsia="sk-SK"/>
              </w:rPr>
            </w:pPr>
          </w:p>
        </w:tc>
      </w:tr>
    </w:tbl>
    <w:p w:rsidR="00347ACF" w:rsidRPr="00347ACF" w:rsidRDefault="00347ACF" w:rsidP="00347ACF">
      <w:pPr>
        <w:spacing w:after="0" w:line="240" w:lineRule="auto"/>
        <w:rPr>
          <w:rFonts w:ascii="Times New Roman" w:eastAsia="Times New Roman" w:hAnsi="Times New Roman" w:cs="Times New Roman"/>
          <w:sz w:val="24"/>
          <w:szCs w:val="24"/>
          <w:lang w:eastAsia="sk-SK"/>
        </w:rPr>
      </w:pPr>
      <w:r w:rsidRPr="00347ACF">
        <w:rPr>
          <w:rFonts w:ascii="Times New Roman" w:eastAsia="Times New Roman" w:hAnsi="Times New Roman" w:cs="Times New Roman"/>
          <w:sz w:val="24"/>
          <w:szCs w:val="24"/>
          <w:lang w:eastAsia="sk-SK"/>
        </w:rPr>
        <w:br/>
      </w:r>
      <w:r w:rsidRPr="00347ACF">
        <w:rPr>
          <w:rFonts w:ascii="Times New Roman" w:eastAsia="Times New Roman" w:hAnsi="Times New Roman" w:cs="Times New Roman"/>
          <w:sz w:val="24"/>
          <w:szCs w:val="24"/>
          <w:lang w:eastAsia="sk-SK"/>
        </w:rPr>
        <w:br/>
      </w:r>
      <w:r w:rsidRPr="00347ACF">
        <w:rPr>
          <w:rFonts w:ascii="Times New Roman" w:eastAsia="Times New Roman" w:hAnsi="Times New Roman" w:cs="Times New Roman"/>
          <w:sz w:val="24"/>
          <w:szCs w:val="24"/>
          <w:lang w:eastAsia="sk-SK"/>
        </w:rPr>
        <w:br/>
      </w:r>
    </w:p>
    <w:p w:rsidR="00347ACF" w:rsidRPr="00347ACF" w:rsidRDefault="00347ACF" w:rsidP="00347ACF">
      <w:pPr>
        <w:numPr>
          <w:ilvl w:val="0"/>
          <w:numId w:val="18"/>
        </w:numPr>
        <w:spacing w:after="0" w:line="240" w:lineRule="auto"/>
        <w:ind w:left="644"/>
        <w:textAlignment w:val="baseline"/>
        <w:rPr>
          <w:rFonts w:ascii="Calibri" w:eastAsia="Times New Roman" w:hAnsi="Calibri" w:cs="Calibri"/>
          <w:b/>
          <w:bCs/>
          <w:color w:val="000000"/>
          <w:sz w:val="28"/>
          <w:szCs w:val="28"/>
          <w:lang w:eastAsia="sk-SK"/>
        </w:rPr>
      </w:pPr>
      <w:r w:rsidRPr="00347ACF">
        <w:rPr>
          <w:rFonts w:ascii="Calibri" w:eastAsia="Times New Roman" w:hAnsi="Calibri" w:cs="Calibri"/>
          <w:b/>
          <w:bCs/>
          <w:color w:val="000000"/>
          <w:sz w:val="28"/>
          <w:szCs w:val="28"/>
          <w:lang w:eastAsia="sk-SK"/>
        </w:rPr>
        <w:t>Informácie o iných aktívach a pasívach</w:t>
      </w: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Spoločnosť nemá podmienené záväzky.</w:t>
      </w:r>
    </w:p>
    <w:p w:rsidR="00347ACF" w:rsidRPr="00347ACF" w:rsidRDefault="00347ACF" w:rsidP="00347ACF">
      <w:pPr>
        <w:numPr>
          <w:ilvl w:val="0"/>
          <w:numId w:val="19"/>
        </w:numPr>
        <w:spacing w:after="0" w:line="240" w:lineRule="auto"/>
        <w:ind w:left="644"/>
        <w:textAlignment w:val="baseline"/>
        <w:rPr>
          <w:rFonts w:ascii="Calibri" w:eastAsia="Times New Roman" w:hAnsi="Calibri" w:cs="Calibri"/>
          <w:b/>
          <w:bCs/>
          <w:color w:val="000000"/>
          <w:sz w:val="24"/>
          <w:szCs w:val="24"/>
          <w:lang w:eastAsia="sk-SK"/>
        </w:rPr>
      </w:pPr>
      <w:r w:rsidRPr="00347ACF">
        <w:rPr>
          <w:rFonts w:ascii="Calibri" w:eastAsia="Times New Roman" w:hAnsi="Calibri" w:cs="Calibri"/>
          <w:b/>
          <w:bCs/>
          <w:color w:val="000000"/>
          <w:sz w:val="28"/>
          <w:szCs w:val="28"/>
          <w:lang w:eastAsia="sk-SK"/>
        </w:rPr>
        <w:t>Informácie o skutočnostiach, ktoré nastali po dni, ku ktorému sa zostavuje účtovná závierka do dňa zostavenia účtovnej závierky</w:t>
      </w:r>
    </w:p>
    <w:p w:rsidR="00347ACF" w:rsidRPr="00347ACF" w:rsidRDefault="00347ACF" w:rsidP="00347ACF">
      <w:pPr>
        <w:spacing w:line="240" w:lineRule="auto"/>
        <w:ind w:left="284"/>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Do dňa zostavenia účtovnej závierky nevnikli žiadne skutočnosti, ktoré by mali vplyv na finančnú situáciu spoločnosti.</w:t>
      </w:r>
    </w:p>
    <w:p w:rsidR="00347ACF" w:rsidRPr="00347ACF" w:rsidRDefault="00347ACF" w:rsidP="00347ACF">
      <w:pPr>
        <w:spacing w:after="240" w:line="240" w:lineRule="auto"/>
        <w:rPr>
          <w:rFonts w:ascii="Times New Roman" w:eastAsia="Times New Roman" w:hAnsi="Times New Roman" w:cs="Times New Roman"/>
          <w:sz w:val="24"/>
          <w:szCs w:val="24"/>
          <w:lang w:eastAsia="sk-SK"/>
        </w:rPr>
      </w:pPr>
      <w:r w:rsidRPr="00347ACF">
        <w:rPr>
          <w:rFonts w:ascii="Times New Roman" w:eastAsia="Times New Roman" w:hAnsi="Times New Roman" w:cs="Times New Roman"/>
          <w:sz w:val="24"/>
          <w:szCs w:val="24"/>
          <w:lang w:eastAsia="sk-SK"/>
        </w:rPr>
        <w:br/>
      </w:r>
      <w:r w:rsidRPr="00347ACF">
        <w:rPr>
          <w:rFonts w:ascii="Times New Roman" w:eastAsia="Times New Roman" w:hAnsi="Times New Roman" w:cs="Times New Roman"/>
          <w:sz w:val="24"/>
          <w:szCs w:val="24"/>
          <w:lang w:eastAsia="sk-SK"/>
        </w:rPr>
        <w:br/>
      </w:r>
    </w:p>
    <w:p w:rsidR="00347ACF" w:rsidRPr="00347ACF" w:rsidRDefault="00347ACF" w:rsidP="00347ACF">
      <w:pPr>
        <w:spacing w:after="0" w:line="240" w:lineRule="auto"/>
        <w:ind w:left="990"/>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  </w:t>
      </w:r>
    </w:p>
    <w:p w:rsidR="00347ACF" w:rsidRPr="00347ACF" w:rsidRDefault="00347ACF" w:rsidP="00347ACF">
      <w:pPr>
        <w:spacing w:after="240" w:line="240" w:lineRule="auto"/>
        <w:rPr>
          <w:rFonts w:ascii="Times New Roman" w:eastAsia="Times New Roman" w:hAnsi="Times New Roman" w:cs="Times New Roman"/>
          <w:sz w:val="24"/>
          <w:szCs w:val="24"/>
          <w:lang w:eastAsia="sk-SK"/>
        </w:rPr>
      </w:pPr>
    </w:p>
    <w:p w:rsidR="00347ACF" w:rsidRPr="00347ACF" w:rsidRDefault="00347ACF" w:rsidP="00347ACF">
      <w:pPr>
        <w:spacing w:line="240" w:lineRule="auto"/>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 </w:t>
      </w:r>
    </w:p>
    <w:p w:rsidR="00347ACF" w:rsidRPr="00347ACF" w:rsidRDefault="00347ACF" w:rsidP="00347ACF">
      <w:pPr>
        <w:spacing w:after="240" w:line="240" w:lineRule="auto"/>
        <w:rPr>
          <w:rFonts w:ascii="Times New Roman" w:eastAsia="Times New Roman" w:hAnsi="Times New Roman" w:cs="Times New Roman"/>
          <w:sz w:val="24"/>
          <w:szCs w:val="24"/>
          <w:lang w:eastAsia="sk-SK"/>
        </w:rPr>
      </w:pPr>
    </w:p>
    <w:p w:rsidR="00347ACF" w:rsidRPr="00347ACF" w:rsidRDefault="00347ACF" w:rsidP="00347ACF">
      <w:pPr>
        <w:spacing w:after="0" w:line="240" w:lineRule="auto"/>
        <w:ind w:left="1004"/>
        <w:rPr>
          <w:rFonts w:ascii="Times New Roman" w:eastAsia="Times New Roman" w:hAnsi="Times New Roman" w:cs="Times New Roman"/>
          <w:sz w:val="24"/>
          <w:szCs w:val="24"/>
          <w:lang w:eastAsia="sk-SK"/>
        </w:rPr>
      </w:pPr>
      <w:r w:rsidRPr="00347ACF">
        <w:rPr>
          <w:rFonts w:ascii="Calibri" w:eastAsia="Times New Roman" w:hAnsi="Calibri" w:cs="Calibri"/>
          <w:color w:val="000000"/>
          <w:sz w:val="24"/>
          <w:szCs w:val="24"/>
          <w:lang w:eastAsia="sk-SK"/>
        </w:rPr>
        <w:t> </w:t>
      </w:r>
    </w:p>
    <w:p w:rsidR="00713ED4" w:rsidRDefault="00713ED4"/>
    <w:sectPr w:rsidR="00713ED4" w:rsidSect="00713ED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F45598"/>
    <w:multiLevelType w:val="multilevel"/>
    <w:tmpl w:val="C0CA7D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E272C26"/>
    <w:multiLevelType w:val="multilevel"/>
    <w:tmpl w:val="D5C0E1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F456B2C"/>
    <w:multiLevelType w:val="multilevel"/>
    <w:tmpl w:val="A44C62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6197709"/>
    <w:multiLevelType w:val="multilevel"/>
    <w:tmpl w:val="CB7625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2F302C0"/>
    <w:multiLevelType w:val="multilevel"/>
    <w:tmpl w:val="7C8EB5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36638D3"/>
    <w:multiLevelType w:val="hybridMultilevel"/>
    <w:tmpl w:val="84F04B36"/>
    <w:lvl w:ilvl="0" w:tplc="B0B6D4B8">
      <w:start w:val="3"/>
      <w:numFmt w:val="upperLetter"/>
      <w:lvlText w:val="%1."/>
      <w:lvlJc w:val="left"/>
      <w:pPr>
        <w:tabs>
          <w:tab w:val="num" w:pos="720"/>
        </w:tabs>
        <w:ind w:left="720" w:hanging="360"/>
      </w:pPr>
    </w:lvl>
    <w:lvl w:ilvl="1" w:tplc="3E3878C4" w:tentative="1">
      <w:start w:val="1"/>
      <w:numFmt w:val="decimal"/>
      <w:lvlText w:val="%2."/>
      <w:lvlJc w:val="left"/>
      <w:pPr>
        <w:tabs>
          <w:tab w:val="num" w:pos="1440"/>
        </w:tabs>
        <w:ind w:left="1440" w:hanging="360"/>
      </w:pPr>
    </w:lvl>
    <w:lvl w:ilvl="2" w:tplc="7D76A8B0" w:tentative="1">
      <w:start w:val="1"/>
      <w:numFmt w:val="decimal"/>
      <w:lvlText w:val="%3."/>
      <w:lvlJc w:val="left"/>
      <w:pPr>
        <w:tabs>
          <w:tab w:val="num" w:pos="2160"/>
        </w:tabs>
        <w:ind w:left="2160" w:hanging="360"/>
      </w:pPr>
    </w:lvl>
    <w:lvl w:ilvl="3" w:tplc="FCC83F02" w:tentative="1">
      <w:start w:val="1"/>
      <w:numFmt w:val="decimal"/>
      <w:lvlText w:val="%4."/>
      <w:lvlJc w:val="left"/>
      <w:pPr>
        <w:tabs>
          <w:tab w:val="num" w:pos="2880"/>
        </w:tabs>
        <w:ind w:left="2880" w:hanging="360"/>
      </w:pPr>
    </w:lvl>
    <w:lvl w:ilvl="4" w:tplc="95347A1C" w:tentative="1">
      <w:start w:val="1"/>
      <w:numFmt w:val="decimal"/>
      <w:lvlText w:val="%5."/>
      <w:lvlJc w:val="left"/>
      <w:pPr>
        <w:tabs>
          <w:tab w:val="num" w:pos="3600"/>
        </w:tabs>
        <w:ind w:left="3600" w:hanging="360"/>
      </w:pPr>
    </w:lvl>
    <w:lvl w:ilvl="5" w:tplc="02C490F6" w:tentative="1">
      <w:start w:val="1"/>
      <w:numFmt w:val="decimal"/>
      <w:lvlText w:val="%6."/>
      <w:lvlJc w:val="left"/>
      <w:pPr>
        <w:tabs>
          <w:tab w:val="num" w:pos="4320"/>
        </w:tabs>
        <w:ind w:left="4320" w:hanging="360"/>
      </w:pPr>
    </w:lvl>
    <w:lvl w:ilvl="6" w:tplc="B9CA25F6" w:tentative="1">
      <w:start w:val="1"/>
      <w:numFmt w:val="decimal"/>
      <w:lvlText w:val="%7."/>
      <w:lvlJc w:val="left"/>
      <w:pPr>
        <w:tabs>
          <w:tab w:val="num" w:pos="5040"/>
        </w:tabs>
        <w:ind w:left="5040" w:hanging="360"/>
      </w:pPr>
    </w:lvl>
    <w:lvl w:ilvl="7" w:tplc="BD700ABA" w:tentative="1">
      <w:start w:val="1"/>
      <w:numFmt w:val="decimal"/>
      <w:lvlText w:val="%8."/>
      <w:lvlJc w:val="left"/>
      <w:pPr>
        <w:tabs>
          <w:tab w:val="num" w:pos="5760"/>
        </w:tabs>
        <w:ind w:left="5760" w:hanging="360"/>
      </w:pPr>
    </w:lvl>
    <w:lvl w:ilvl="8" w:tplc="F55ED136" w:tentative="1">
      <w:start w:val="1"/>
      <w:numFmt w:val="decimal"/>
      <w:lvlText w:val="%9."/>
      <w:lvlJc w:val="left"/>
      <w:pPr>
        <w:tabs>
          <w:tab w:val="num" w:pos="6480"/>
        </w:tabs>
        <w:ind w:left="6480" w:hanging="360"/>
      </w:pPr>
    </w:lvl>
  </w:abstractNum>
  <w:abstractNum w:abstractNumId="6">
    <w:nsid w:val="494402F5"/>
    <w:multiLevelType w:val="hybridMultilevel"/>
    <w:tmpl w:val="230AAFDE"/>
    <w:lvl w:ilvl="0" w:tplc="5F14103C">
      <w:start w:val="6"/>
      <w:numFmt w:val="upperLetter"/>
      <w:lvlText w:val="%1."/>
      <w:lvlJc w:val="left"/>
      <w:pPr>
        <w:tabs>
          <w:tab w:val="num" w:pos="720"/>
        </w:tabs>
        <w:ind w:left="720" w:hanging="360"/>
      </w:pPr>
    </w:lvl>
    <w:lvl w:ilvl="1" w:tplc="528670D2" w:tentative="1">
      <w:start w:val="1"/>
      <w:numFmt w:val="decimal"/>
      <w:lvlText w:val="%2."/>
      <w:lvlJc w:val="left"/>
      <w:pPr>
        <w:tabs>
          <w:tab w:val="num" w:pos="1440"/>
        </w:tabs>
        <w:ind w:left="1440" w:hanging="360"/>
      </w:pPr>
    </w:lvl>
    <w:lvl w:ilvl="2" w:tplc="A18C230C" w:tentative="1">
      <w:start w:val="1"/>
      <w:numFmt w:val="decimal"/>
      <w:lvlText w:val="%3."/>
      <w:lvlJc w:val="left"/>
      <w:pPr>
        <w:tabs>
          <w:tab w:val="num" w:pos="2160"/>
        </w:tabs>
        <w:ind w:left="2160" w:hanging="360"/>
      </w:pPr>
    </w:lvl>
    <w:lvl w:ilvl="3" w:tplc="F89AEE18" w:tentative="1">
      <w:start w:val="1"/>
      <w:numFmt w:val="decimal"/>
      <w:lvlText w:val="%4."/>
      <w:lvlJc w:val="left"/>
      <w:pPr>
        <w:tabs>
          <w:tab w:val="num" w:pos="2880"/>
        </w:tabs>
        <w:ind w:left="2880" w:hanging="360"/>
      </w:pPr>
    </w:lvl>
    <w:lvl w:ilvl="4" w:tplc="A246E916" w:tentative="1">
      <w:start w:val="1"/>
      <w:numFmt w:val="decimal"/>
      <w:lvlText w:val="%5."/>
      <w:lvlJc w:val="left"/>
      <w:pPr>
        <w:tabs>
          <w:tab w:val="num" w:pos="3600"/>
        </w:tabs>
        <w:ind w:left="3600" w:hanging="360"/>
      </w:pPr>
    </w:lvl>
    <w:lvl w:ilvl="5" w:tplc="82F6A266" w:tentative="1">
      <w:start w:val="1"/>
      <w:numFmt w:val="decimal"/>
      <w:lvlText w:val="%6."/>
      <w:lvlJc w:val="left"/>
      <w:pPr>
        <w:tabs>
          <w:tab w:val="num" w:pos="4320"/>
        </w:tabs>
        <w:ind w:left="4320" w:hanging="360"/>
      </w:pPr>
    </w:lvl>
    <w:lvl w:ilvl="6" w:tplc="9A4833AC" w:tentative="1">
      <w:start w:val="1"/>
      <w:numFmt w:val="decimal"/>
      <w:lvlText w:val="%7."/>
      <w:lvlJc w:val="left"/>
      <w:pPr>
        <w:tabs>
          <w:tab w:val="num" w:pos="5040"/>
        </w:tabs>
        <w:ind w:left="5040" w:hanging="360"/>
      </w:pPr>
    </w:lvl>
    <w:lvl w:ilvl="7" w:tplc="C646F636" w:tentative="1">
      <w:start w:val="1"/>
      <w:numFmt w:val="decimal"/>
      <w:lvlText w:val="%8."/>
      <w:lvlJc w:val="left"/>
      <w:pPr>
        <w:tabs>
          <w:tab w:val="num" w:pos="5760"/>
        </w:tabs>
        <w:ind w:left="5760" w:hanging="360"/>
      </w:pPr>
    </w:lvl>
    <w:lvl w:ilvl="8" w:tplc="F76C87A2" w:tentative="1">
      <w:start w:val="1"/>
      <w:numFmt w:val="decimal"/>
      <w:lvlText w:val="%9."/>
      <w:lvlJc w:val="left"/>
      <w:pPr>
        <w:tabs>
          <w:tab w:val="num" w:pos="6480"/>
        </w:tabs>
        <w:ind w:left="6480" w:hanging="360"/>
      </w:pPr>
    </w:lvl>
  </w:abstractNum>
  <w:abstractNum w:abstractNumId="7">
    <w:nsid w:val="4D102034"/>
    <w:multiLevelType w:val="hybridMultilevel"/>
    <w:tmpl w:val="270202E0"/>
    <w:lvl w:ilvl="0" w:tplc="A19C7036">
      <w:start w:val="4"/>
      <w:numFmt w:val="upperLetter"/>
      <w:lvlText w:val="%1."/>
      <w:lvlJc w:val="left"/>
      <w:pPr>
        <w:tabs>
          <w:tab w:val="num" w:pos="720"/>
        </w:tabs>
        <w:ind w:left="720" w:hanging="360"/>
      </w:pPr>
    </w:lvl>
    <w:lvl w:ilvl="1" w:tplc="2ECA70F0" w:tentative="1">
      <w:start w:val="1"/>
      <w:numFmt w:val="decimal"/>
      <w:lvlText w:val="%2."/>
      <w:lvlJc w:val="left"/>
      <w:pPr>
        <w:tabs>
          <w:tab w:val="num" w:pos="1440"/>
        </w:tabs>
        <w:ind w:left="1440" w:hanging="360"/>
      </w:pPr>
    </w:lvl>
    <w:lvl w:ilvl="2" w:tplc="26D89FE0" w:tentative="1">
      <w:start w:val="1"/>
      <w:numFmt w:val="decimal"/>
      <w:lvlText w:val="%3."/>
      <w:lvlJc w:val="left"/>
      <w:pPr>
        <w:tabs>
          <w:tab w:val="num" w:pos="2160"/>
        </w:tabs>
        <w:ind w:left="2160" w:hanging="360"/>
      </w:pPr>
    </w:lvl>
    <w:lvl w:ilvl="3" w:tplc="FC9C855C" w:tentative="1">
      <w:start w:val="1"/>
      <w:numFmt w:val="decimal"/>
      <w:lvlText w:val="%4."/>
      <w:lvlJc w:val="left"/>
      <w:pPr>
        <w:tabs>
          <w:tab w:val="num" w:pos="2880"/>
        </w:tabs>
        <w:ind w:left="2880" w:hanging="360"/>
      </w:pPr>
    </w:lvl>
    <w:lvl w:ilvl="4" w:tplc="7CFA115E" w:tentative="1">
      <w:start w:val="1"/>
      <w:numFmt w:val="decimal"/>
      <w:lvlText w:val="%5."/>
      <w:lvlJc w:val="left"/>
      <w:pPr>
        <w:tabs>
          <w:tab w:val="num" w:pos="3600"/>
        </w:tabs>
        <w:ind w:left="3600" w:hanging="360"/>
      </w:pPr>
    </w:lvl>
    <w:lvl w:ilvl="5" w:tplc="AFB410BC" w:tentative="1">
      <w:start w:val="1"/>
      <w:numFmt w:val="decimal"/>
      <w:lvlText w:val="%6."/>
      <w:lvlJc w:val="left"/>
      <w:pPr>
        <w:tabs>
          <w:tab w:val="num" w:pos="4320"/>
        </w:tabs>
        <w:ind w:left="4320" w:hanging="360"/>
      </w:pPr>
    </w:lvl>
    <w:lvl w:ilvl="6" w:tplc="524451A0" w:tentative="1">
      <w:start w:val="1"/>
      <w:numFmt w:val="decimal"/>
      <w:lvlText w:val="%7."/>
      <w:lvlJc w:val="left"/>
      <w:pPr>
        <w:tabs>
          <w:tab w:val="num" w:pos="5040"/>
        </w:tabs>
        <w:ind w:left="5040" w:hanging="360"/>
      </w:pPr>
    </w:lvl>
    <w:lvl w:ilvl="7" w:tplc="ECFAB882" w:tentative="1">
      <w:start w:val="1"/>
      <w:numFmt w:val="decimal"/>
      <w:lvlText w:val="%8."/>
      <w:lvlJc w:val="left"/>
      <w:pPr>
        <w:tabs>
          <w:tab w:val="num" w:pos="5760"/>
        </w:tabs>
        <w:ind w:left="5760" w:hanging="360"/>
      </w:pPr>
    </w:lvl>
    <w:lvl w:ilvl="8" w:tplc="DEA64AA6" w:tentative="1">
      <w:start w:val="1"/>
      <w:numFmt w:val="decimal"/>
      <w:lvlText w:val="%9."/>
      <w:lvlJc w:val="left"/>
      <w:pPr>
        <w:tabs>
          <w:tab w:val="num" w:pos="6480"/>
        </w:tabs>
        <w:ind w:left="6480" w:hanging="360"/>
      </w:pPr>
    </w:lvl>
  </w:abstractNum>
  <w:abstractNum w:abstractNumId="8">
    <w:nsid w:val="51B42F28"/>
    <w:multiLevelType w:val="hybridMultilevel"/>
    <w:tmpl w:val="9BA6A252"/>
    <w:lvl w:ilvl="0" w:tplc="8B8E2F54">
      <w:start w:val="5"/>
      <w:numFmt w:val="upperLetter"/>
      <w:lvlText w:val="%1."/>
      <w:lvlJc w:val="left"/>
      <w:pPr>
        <w:tabs>
          <w:tab w:val="num" w:pos="720"/>
        </w:tabs>
        <w:ind w:left="720" w:hanging="360"/>
      </w:pPr>
    </w:lvl>
    <w:lvl w:ilvl="1" w:tplc="150AA42A" w:tentative="1">
      <w:start w:val="1"/>
      <w:numFmt w:val="decimal"/>
      <w:lvlText w:val="%2."/>
      <w:lvlJc w:val="left"/>
      <w:pPr>
        <w:tabs>
          <w:tab w:val="num" w:pos="1440"/>
        </w:tabs>
        <w:ind w:left="1440" w:hanging="360"/>
      </w:pPr>
    </w:lvl>
    <w:lvl w:ilvl="2" w:tplc="932C6A40" w:tentative="1">
      <w:start w:val="1"/>
      <w:numFmt w:val="decimal"/>
      <w:lvlText w:val="%3."/>
      <w:lvlJc w:val="left"/>
      <w:pPr>
        <w:tabs>
          <w:tab w:val="num" w:pos="2160"/>
        </w:tabs>
        <w:ind w:left="2160" w:hanging="360"/>
      </w:pPr>
    </w:lvl>
    <w:lvl w:ilvl="3" w:tplc="9194487A" w:tentative="1">
      <w:start w:val="1"/>
      <w:numFmt w:val="decimal"/>
      <w:lvlText w:val="%4."/>
      <w:lvlJc w:val="left"/>
      <w:pPr>
        <w:tabs>
          <w:tab w:val="num" w:pos="2880"/>
        </w:tabs>
        <w:ind w:left="2880" w:hanging="360"/>
      </w:pPr>
    </w:lvl>
    <w:lvl w:ilvl="4" w:tplc="DE004D7A" w:tentative="1">
      <w:start w:val="1"/>
      <w:numFmt w:val="decimal"/>
      <w:lvlText w:val="%5."/>
      <w:lvlJc w:val="left"/>
      <w:pPr>
        <w:tabs>
          <w:tab w:val="num" w:pos="3600"/>
        </w:tabs>
        <w:ind w:left="3600" w:hanging="360"/>
      </w:pPr>
    </w:lvl>
    <w:lvl w:ilvl="5" w:tplc="ADA2B5D0" w:tentative="1">
      <w:start w:val="1"/>
      <w:numFmt w:val="decimal"/>
      <w:lvlText w:val="%6."/>
      <w:lvlJc w:val="left"/>
      <w:pPr>
        <w:tabs>
          <w:tab w:val="num" w:pos="4320"/>
        </w:tabs>
        <w:ind w:left="4320" w:hanging="360"/>
      </w:pPr>
    </w:lvl>
    <w:lvl w:ilvl="6" w:tplc="5E1CD63A" w:tentative="1">
      <w:start w:val="1"/>
      <w:numFmt w:val="decimal"/>
      <w:lvlText w:val="%7."/>
      <w:lvlJc w:val="left"/>
      <w:pPr>
        <w:tabs>
          <w:tab w:val="num" w:pos="5040"/>
        </w:tabs>
        <w:ind w:left="5040" w:hanging="360"/>
      </w:pPr>
    </w:lvl>
    <w:lvl w:ilvl="7" w:tplc="236EA11E" w:tentative="1">
      <w:start w:val="1"/>
      <w:numFmt w:val="decimal"/>
      <w:lvlText w:val="%8."/>
      <w:lvlJc w:val="left"/>
      <w:pPr>
        <w:tabs>
          <w:tab w:val="num" w:pos="5760"/>
        </w:tabs>
        <w:ind w:left="5760" w:hanging="360"/>
      </w:pPr>
    </w:lvl>
    <w:lvl w:ilvl="8" w:tplc="81ECAE18" w:tentative="1">
      <w:start w:val="1"/>
      <w:numFmt w:val="decimal"/>
      <w:lvlText w:val="%9."/>
      <w:lvlJc w:val="left"/>
      <w:pPr>
        <w:tabs>
          <w:tab w:val="num" w:pos="6480"/>
        </w:tabs>
        <w:ind w:left="6480" w:hanging="360"/>
      </w:pPr>
    </w:lvl>
  </w:abstractNum>
  <w:abstractNum w:abstractNumId="9">
    <w:nsid w:val="52887C9C"/>
    <w:multiLevelType w:val="multilevel"/>
    <w:tmpl w:val="63DA41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511391B"/>
    <w:multiLevelType w:val="multilevel"/>
    <w:tmpl w:val="2340A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5A204C29"/>
    <w:multiLevelType w:val="multilevel"/>
    <w:tmpl w:val="2826B0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680972EB"/>
    <w:multiLevelType w:val="multilevel"/>
    <w:tmpl w:val="97CE3870"/>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69400BC9"/>
    <w:multiLevelType w:val="hybridMultilevel"/>
    <w:tmpl w:val="95E4E860"/>
    <w:lvl w:ilvl="0" w:tplc="696CEF5A">
      <w:start w:val="3"/>
      <w:numFmt w:val="lowerLetter"/>
      <w:lvlText w:val="%1."/>
      <w:lvlJc w:val="left"/>
      <w:pPr>
        <w:tabs>
          <w:tab w:val="num" w:pos="1428"/>
        </w:tabs>
        <w:ind w:left="1428" w:hanging="360"/>
      </w:pPr>
    </w:lvl>
    <w:lvl w:ilvl="1" w:tplc="E2682BB4">
      <w:start w:val="1"/>
      <w:numFmt w:val="decimal"/>
      <w:lvlText w:val="%2."/>
      <w:lvlJc w:val="left"/>
      <w:pPr>
        <w:tabs>
          <w:tab w:val="num" w:pos="2148"/>
        </w:tabs>
        <w:ind w:left="2148" w:hanging="360"/>
      </w:pPr>
    </w:lvl>
    <w:lvl w:ilvl="2" w:tplc="DF5083FE" w:tentative="1">
      <w:start w:val="1"/>
      <w:numFmt w:val="decimal"/>
      <w:lvlText w:val="%3."/>
      <w:lvlJc w:val="left"/>
      <w:pPr>
        <w:tabs>
          <w:tab w:val="num" w:pos="2868"/>
        </w:tabs>
        <w:ind w:left="2868" w:hanging="360"/>
      </w:pPr>
    </w:lvl>
    <w:lvl w:ilvl="3" w:tplc="40A6ADD8" w:tentative="1">
      <w:start w:val="1"/>
      <w:numFmt w:val="decimal"/>
      <w:lvlText w:val="%4."/>
      <w:lvlJc w:val="left"/>
      <w:pPr>
        <w:tabs>
          <w:tab w:val="num" w:pos="3588"/>
        </w:tabs>
        <w:ind w:left="3588" w:hanging="360"/>
      </w:pPr>
    </w:lvl>
    <w:lvl w:ilvl="4" w:tplc="DAC2E932" w:tentative="1">
      <w:start w:val="1"/>
      <w:numFmt w:val="decimal"/>
      <w:lvlText w:val="%5."/>
      <w:lvlJc w:val="left"/>
      <w:pPr>
        <w:tabs>
          <w:tab w:val="num" w:pos="4308"/>
        </w:tabs>
        <w:ind w:left="4308" w:hanging="360"/>
      </w:pPr>
    </w:lvl>
    <w:lvl w:ilvl="5" w:tplc="C1E4DF16" w:tentative="1">
      <w:start w:val="1"/>
      <w:numFmt w:val="decimal"/>
      <w:lvlText w:val="%6."/>
      <w:lvlJc w:val="left"/>
      <w:pPr>
        <w:tabs>
          <w:tab w:val="num" w:pos="5028"/>
        </w:tabs>
        <w:ind w:left="5028" w:hanging="360"/>
      </w:pPr>
    </w:lvl>
    <w:lvl w:ilvl="6" w:tplc="F05A66EA" w:tentative="1">
      <w:start w:val="1"/>
      <w:numFmt w:val="decimal"/>
      <w:lvlText w:val="%7."/>
      <w:lvlJc w:val="left"/>
      <w:pPr>
        <w:tabs>
          <w:tab w:val="num" w:pos="5748"/>
        </w:tabs>
        <w:ind w:left="5748" w:hanging="360"/>
      </w:pPr>
    </w:lvl>
    <w:lvl w:ilvl="7" w:tplc="A7B4233E" w:tentative="1">
      <w:start w:val="1"/>
      <w:numFmt w:val="decimal"/>
      <w:lvlText w:val="%8."/>
      <w:lvlJc w:val="left"/>
      <w:pPr>
        <w:tabs>
          <w:tab w:val="num" w:pos="6468"/>
        </w:tabs>
        <w:ind w:left="6468" w:hanging="360"/>
      </w:pPr>
    </w:lvl>
    <w:lvl w:ilvl="8" w:tplc="7174C92E" w:tentative="1">
      <w:start w:val="1"/>
      <w:numFmt w:val="decimal"/>
      <w:lvlText w:val="%9."/>
      <w:lvlJc w:val="left"/>
      <w:pPr>
        <w:tabs>
          <w:tab w:val="num" w:pos="7188"/>
        </w:tabs>
        <w:ind w:left="7188" w:hanging="360"/>
      </w:pPr>
    </w:lvl>
  </w:abstractNum>
  <w:abstractNum w:abstractNumId="14">
    <w:nsid w:val="7C4F3E33"/>
    <w:multiLevelType w:val="hybridMultilevel"/>
    <w:tmpl w:val="BF8263A2"/>
    <w:lvl w:ilvl="0" w:tplc="BB9E22D6">
      <w:start w:val="2"/>
      <w:numFmt w:val="upperLetter"/>
      <w:lvlText w:val="%1."/>
      <w:lvlJc w:val="left"/>
      <w:pPr>
        <w:tabs>
          <w:tab w:val="num" w:pos="720"/>
        </w:tabs>
        <w:ind w:left="720" w:hanging="360"/>
      </w:pPr>
    </w:lvl>
    <w:lvl w:ilvl="1" w:tplc="EE98015A" w:tentative="1">
      <w:start w:val="1"/>
      <w:numFmt w:val="decimal"/>
      <w:lvlText w:val="%2."/>
      <w:lvlJc w:val="left"/>
      <w:pPr>
        <w:tabs>
          <w:tab w:val="num" w:pos="1440"/>
        </w:tabs>
        <w:ind w:left="1440" w:hanging="360"/>
      </w:pPr>
    </w:lvl>
    <w:lvl w:ilvl="2" w:tplc="488C9B76" w:tentative="1">
      <w:start w:val="1"/>
      <w:numFmt w:val="decimal"/>
      <w:lvlText w:val="%3."/>
      <w:lvlJc w:val="left"/>
      <w:pPr>
        <w:tabs>
          <w:tab w:val="num" w:pos="2160"/>
        </w:tabs>
        <w:ind w:left="2160" w:hanging="360"/>
      </w:pPr>
    </w:lvl>
    <w:lvl w:ilvl="3" w:tplc="A6080728" w:tentative="1">
      <w:start w:val="1"/>
      <w:numFmt w:val="decimal"/>
      <w:lvlText w:val="%4."/>
      <w:lvlJc w:val="left"/>
      <w:pPr>
        <w:tabs>
          <w:tab w:val="num" w:pos="2880"/>
        </w:tabs>
        <w:ind w:left="2880" w:hanging="360"/>
      </w:pPr>
    </w:lvl>
    <w:lvl w:ilvl="4" w:tplc="D9C849D8" w:tentative="1">
      <w:start w:val="1"/>
      <w:numFmt w:val="decimal"/>
      <w:lvlText w:val="%5."/>
      <w:lvlJc w:val="left"/>
      <w:pPr>
        <w:tabs>
          <w:tab w:val="num" w:pos="3600"/>
        </w:tabs>
        <w:ind w:left="3600" w:hanging="360"/>
      </w:pPr>
    </w:lvl>
    <w:lvl w:ilvl="5" w:tplc="703E9AD8" w:tentative="1">
      <w:start w:val="1"/>
      <w:numFmt w:val="decimal"/>
      <w:lvlText w:val="%6."/>
      <w:lvlJc w:val="left"/>
      <w:pPr>
        <w:tabs>
          <w:tab w:val="num" w:pos="4320"/>
        </w:tabs>
        <w:ind w:left="4320" w:hanging="360"/>
      </w:pPr>
    </w:lvl>
    <w:lvl w:ilvl="6" w:tplc="FC0AB1F6" w:tentative="1">
      <w:start w:val="1"/>
      <w:numFmt w:val="decimal"/>
      <w:lvlText w:val="%7."/>
      <w:lvlJc w:val="left"/>
      <w:pPr>
        <w:tabs>
          <w:tab w:val="num" w:pos="5040"/>
        </w:tabs>
        <w:ind w:left="5040" w:hanging="360"/>
      </w:pPr>
    </w:lvl>
    <w:lvl w:ilvl="7" w:tplc="C218B1D6" w:tentative="1">
      <w:start w:val="1"/>
      <w:numFmt w:val="decimal"/>
      <w:lvlText w:val="%8."/>
      <w:lvlJc w:val="left"/>
      <w:pPr>
        <w:tabs>
          <w:tab w:val="num" w:pos="5760"/>
        </w:tabs>
        <w:ind w:left="5760" w:hanging="360"/>
      </w:pPr>
    </w:lvl>
    <w:lvl w:ilvl="8" w:tplc="F1E452DC" w:tentative="1">
      <w:start w:val="1"/>
      <w:numFmt w:val="decimal"/>
      <w:lvlText w:val="%9."/>
      <w:lvlJc w:val="left"/>
      <w:pPr>
        <w:tabs>
          <w:tab w:val="num" w:pos="6480"/>
        </w:tabs>
        <w:ind w:left="6480" w:hanging="360"/>
      </w:pPr>
    </w:lvl>
  </w:abstractNum>
  <w:abstractNum w:abstractNumId="15">
    <w:nsid w:val="7E3877A9"/>
    <w:multiLevelType w:val="multilevel"/>
    <w:tmpl w:val="C52014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lvlOverride w:ilvl="0">
      <w:lvl w:ilvl="0">
        <w:numFmt w:val="upperLetter"/>
        <w:lvlText w:val="%1."/>
        <w:lvlJc w:val="left"/>
      </w:lvl>
    </w:lvlOverride>
  </w:num>
  <w:num w:numId="2">
    <w:abstractNumId w:val="4"/>
    <w:lvlOverride w:ilvl="0">
      <w:lvl w:ilvl="0">
        <w:numFmt w:val="lowerLetter"/>
        <w:lvlText w:val="%1."/>
        <w:lvlJc w:val="left"/>
      </w:lvl>
    </w:lvlOverride>
  </w:num>
  <w:num w:numId="3">
    <w:abstractNumId w:val="13"/>
  </w:num>
  <w:num w:numId="4">
    <w:abstractNumId w:val="13"/>
    <w:lvlOverride w:ilvl="0">
      <w:lvl w:ilvl="0" w:tplc="696CEF5A">
        <w:numFmt w:val="lowerLetter"/>
        <w:lvlText w:val="%1."/>
        <w:lvlJc w:val="left"/>
      </w:lvl>
    </w:lvlOverride>
  </w:num>
  <w:num w:numId="5">
    <w:abstractNumId w:val="13"/>
    <w:lvlOverride w:ilvl="0">
      <w:lvl w:ilvl="0" w:tplc="696CEF5A">
        <w:numFmt w:val="lowerLetter"/>
        <w:lvlText w:val="%1."/>
        <w:lvlJc w:val="left"/>
      </w:lvl>
    </w:lvlOverride>
  </w:num>
  <w:num w:numId="6">
    <w:abstractNumId w:val="13"/>
    <w:lvlOverride w:ilvl="0">
      <w:lvl w:ilvl="0" w:tplc="696CEF5A">
        <w:numFmt w:val="lowerLetter"/>
        <w:lvlText w:val="%1."/>
        <w:lvlJc w:val="left"/>
      </w:lvl>
    </w:lvlOverride>
  </w:num>
  <w:num w:numId="7">
    <w:abstractNumId w:val="9"/>
  </w:num>
  <w:num w:numId="8">
    <w:abstractNumId w:val="14"/>
  </w:num>
  <w:num w:numId="9">
    <w:abstractNumId w:val="5"/>
  </w:num>
  <w:num w:numId="10">
    <w:abstractNumId w:val="11"/>
  </w:num>
  <w:num w:numId="11">
    <w:abstractNumId w:val="3"/>
  </w:num>
  <w:num w:numId="12">
    <w:abstractNumId w:val="2"/>
  </w:num>
  <w:num w:numId="13">
    <w:abstractNumId w:val="10"/>
  </w:num>
  <w:num w:numId="14">
    <w:abstractNumId w:val="0"/>
    <w:lvlOverride w:ilvl="0">
      <w:lvl w:ilvl="0">
        <w:numFmt w:val="lowerLetter"/>
        <w:lvlText w:val="%1."/>
        <w:lvlJc w:val="left"/>
      </w:lvl>
    </w:lvlOverride>
  </w:num>
  <w:num w:numId="15">
    <w:abstractNumId w:val="15"/>
  </w:num>
  <w:num w:numId="16">
    <w:abstractNumId w:val="1"/>
    <w:lvlOverride w:ilvl="0">
      <w:lvl w:ilvl="0">
        <w:numFmt w:val="lowerLetter"/>
        <w:lvlText w:val="%1."/>
        <w:lvlJc w:val="left"/>
      </w:lvl>
    </w:lvlOverride>
  </w:num>
  <w:num w:numId="17">
    <w:abstractNumId w:val="7"/>
  </w:num>
  <w:num w:numId="18">
    <w:abstractNumId w:val="8"/>
  </w:num>
  <w:num w:numId="19">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47ACF"/>
    <w:rsid w:val="00347ACF"/>
    <w:rsid w:val="00713ED4"/>
    <w:rsid w:val="007D6E4E"/>
    <w:rsid w:val="00E71A0B"/>
    <w:rsid w:val="00F2234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13ED4"/>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web">
    <w:name w:val="Normal (Web)"/>
    <w:basedOn w:val="Normln"/>
    <w:uiPriority w:val="99"/>
    <w:unhideWhenUsed/>
    <w:rsid w:val="00347ACF"/>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Odstavecseseznamem">
    <w:name w:val="List Paragraph"/>
    <w:basedOn w:val="Normln"/>
    <w:uiPriority w:val="34"/>
    <w:qFormat/>
    <w:rsid w:val="00F2234F"/>
    <w:pPr>
      <w:ind w:left="720"/>
      <w:contextualSpacing/>
    </w:pPr>
  </w:style>
</w:styles>
</file>

<file path=word/webSettings.xml><?xml version="1.0" encoding="utf-8"?>
<w:webSettings xmlns:r="http://schemas.openxmlformats.org/officeDocument/2006/relationships" xmlns:w="http://schemas.openxmlformats.org/wordprocessingml/2006/main">
  <w:divs>
    <w:div w:id="2118601973">
      <w:bodyDiv w:val="1"/>
      <w:marLeft w:val="0"/>
      <w:marRight w:val="0"/>
      <w:marTop w:val="0"/>
      <w:marBottom w:val="0"/>
      <w:divBdr>
        <w:top w:val="none" w:sz="0" w:space="0" w:color="auto"/>
        <w:left w:val="none" w:sz="0" w:space="0" w:color="auto"/>
        <w:bottom w:val="none" w:sz="0" w:space="0" w:color="auto"/>
        <w:right w:val="none" w:sz="0" w:space="0" w:color="auto"/>
      </w:divBdr>
      <w:divsChild>
        <w:div w:id="809369705">
          <w:marLeft w:val="-426"/>
          <w:marRight w:val="0"/>
          <w:marTop w:val="0"/>
          <w:marBottom w:val="0"/>
          <w:divBdr>
            <w:top w:val="none" w:sz="0" w:space="0" w:color="auto"/>
            <w:left w:val="none" w:sz="0" w:space="0" w:color="auto"/>
            <w:bottom w:val="none" w:sz="0" w:space="0" w:color="auto"/>
            <w:right w:val="none" w:sz="0" w:space="0" w:color="auto"/>
          </w:divBdr>
        </w:div>
        <w:div w:id="462847155">
          <w:marLeft w:val="-284"/>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6</Pages>
  <Words>1646</Words>
  <Characters>9383</Characters>
  <Application>Microsoft Office Word</Application>
  <DocSecurity>0</DocSecurity>
  <Lines>78</Lines>
  <Paragraphs>22</Paragraphs>
  <ScaleCrop>false</ScaleCrop>
  <HeadingPairs>
    <vt:vector size="2" baseType="variant">
      <vt:variant>
        <vt:lpstr>Název</vt:lpstr>
      </vt:variant>
      <vt:variant>
        <vt:i4>1</vt:i4>
      </vt:variant>
    </vt:vector>
  </HeadingPairs>
  <TitlesOfParts>
    <vt:vector size="1" baseType="lpstr">
      <vt:lpstr/>
    </vt:vector>
  </TitlesOfParts>
  <Company>Microsoft</Company>
  <LinksUpToDate>false</LinksUpToDate>
  <CharactersWithSpaces>11007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notebook</dc:creator>
  <cp:lastModifiedBy>notebook</cp:lastModifiedBy>
  <cp:revision>3</cp:revision>
  <dcterms:created xsi:type="dcterms:W3CDTF">2022-03-29T17:54:00Z</dcterms:created>
  <dcterms:modified xsi:type="dcterms:W3CDTF">2022-03-29T18:08:00Z</dcterms:modified>
</cp:coreProperties>
</file>