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lotextu"/>
        <w:rPr/>
      </w:pPr>
      <w:r>
        <w:rPr/>
      </w:r>
    </w:p>
    <w:tbl>
      <w:tblPr>
        <w:tblW w:w="9781" w:type="dxa"/>
        <w:jc w:val="left"/>
        <w:tblInd w:w="3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487"/>
        <w:gridCol w:w="2592"/>
        <w:gridCol w:w="336"/>
        <w:gridCol w:w="341"/>
        <w:gridCol w:w="336"/>
        <w:gridCol w:w="337"/>
        <w:gridCol w:w="340"/>
        <w:gridCol w:w="336"/>
        <w:gridCol w:w="341"/>
        <w:gridCol w:w="336"/>
        <w:gridCol w:w="569"/>
        <w:gridCol w:w="337"/>
        <w:gridCol w:w="336"/>
        <w:gridCol w:w="337"/>
        <w:gridCol w:w="420"/>
      </w:tblGrid>
      <w:tr>
        <w:trPr/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  <w:lang w:eastAsia="sk-SK"/>
              </w:rPr>
              <w:t>Poznámky (Úč  NUJ 3 – 01)</w:t>
            </w:r>
          </w:p>
        </w:tc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IČO 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/SID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781" w:type="dxa"/>
        <w:jc w:val="left"/>
        <w:tblInd w:w="35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724"/>
        <w:gridCol w:w="7056"/>
      </w:tblGrid>
      <w:tr>
        <w:trPr>
          <w:trHeight w:val="284" w:hRule="atLeast"/>
        </w:trPr>
        <w:tc>
          <w:tcPr>
            <w:tcW w:w="27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7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</w:trPr>
        <w:tc>
          <w:tcPr>
            <w:tcW w:w="272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Občianske združenie Svitanie – Združenie na pomoc ľuďom s mentálnym postihnutím v Malackách</w:t>
            </w:r>
          </w:p>
        </w:tc>
      </w:tr>
      <w:tr>
        <w:trPr>
          <w:trHeight w:val="284" w:hRule="atLeast"/>
        </w:trPr>
        <w:tc>
          <w:tcPr>
            <w:tcW w:w="272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1. mája 15, 901 01 Malacky</w:t>
            </w:r>
          </w:p>
        </w:tc>
      </w:tr>
      <w:tr>
        <w:trPr>
          <w:trHeight w:val="178" w:hRule="atLeast"/>
        </w:trPr>
        <w:tc>
          <w:tcPr>
            <w:tcW w:w="2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7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19. 12. 2006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  <w:t xml:space="preserve">Údaje uvedené v Poznámkach sú v mene EUR, ak nie je uvedené inak. </w:t>
      </w:r>
    </w:p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30"/>
        <w:gridCol w:w="6971"/>
      </w:tblGrid>
      <w:tr>
        <w:trPr>
          <w:trHeight w:val="284" w:hRule="atLeast"/>
        </w:trPr>
        <w:tc>
          <w:tcPr>
            <w:tcW w:w="28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Predseda správnej rady: Ing. Jozef Hušek</w:t>
            </w:r>
          </w:p>
        </w:tc>
      </w:tr>
      <w:tr>
        <w:trPr>
          <w:trHeight w:val="284" w:hRule="atLeast"/>
        </w:trPr>
        <w:tc>
          <w:tcPr>
            <w:tcW w:w="283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Členovia správnej rady: Ing. Iveta Hlavenková</w:t>
            </w:r>
          </w:p>
        </w:tc>
      </w:tr>
      <w:tr>
        <w:trPr>
          <w:trHeight w:val="284" w:hRule="atLeast"/>
        </w:trPr>
        <w:tc>
          <w:tcPr>
            <w:tcW w:w="283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</w:t>
            </w:r>
            <w:r>
              <w:rPr>
                <w:b/>
                <w:bCs/>
                <w:sz w:val="16"/>
                <w:szCs w:val="16"/>
              </w:rPr>
              <w:t>Mgr.Katarína Hušková</w:t>
            </w:r>
          </w:p>
        </w:tc>
      </w:tr>
      <w:tr>
        <w:trPr>
          <w:trHeight w:val="284" w:hRule="atLeast"/>
        </w:trPr>
        <w:tc>
          <w:tcPr>
            <w:tcW w:w="283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tabs>
                <w:tab w:val="left" w:pos="1451" w:leader="none"/>
              </w:tabs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</w:t>
            </w:r>
            <w:r>
              <w:rPr>
                <w:b/>
                <w:bCs/>
                <w:sz w:val="16"/>
                <w:szCs w:val="16"/>
              </w:rPr>
              <w:t xml:space="preserve">Mgr. Alena Kmecová </w:t>
            </w:r>
          </w:p>
        </w:tc>
      </w:tr>
      <w:tr>
        <w:trPr>
          <w:trHeight w:val="284" w:hRule="atLeast"/>
        </w:trPr>
        <w:tc>
          <w:tcPr>
            <w:tcW w:w="283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</w:t>
            </w:r>
            <w:r>
              <w:rPr>
                <w:b/>
                <w:bCs/>
                <w:sz w:val="16"/>
                <w:szCs w:val="16"/>
              </w:rPr>
              <w:t>Mária Mináriková</w:t>
            </w:r>
          </w:p>
        </w:tc>
      </w:tr>
      <w:tr>
        <w:trPr>
          <w:trHeight w:val="284" w:hRule="atLeast"/>
        </w:trPr>
        <w:tc>
          <w:tcPr>
            <w:tcW w:w="283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Riaditeľka:                         Katarína Martincová (do 31.12.2021 PeadDr. Martina Ambrušová)</w:t>
            </w:r>
          </w:p>
        </w:tc>
      </w:tr>
      <w:tr>
        <w:trPr>
          <w:trHeight w:val="284" w:hRule="atLeast"/>
        </w:trPr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Revízor:                             Ing. Mgr. Zuzana Baligová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30"/>
        <w:gridCol w:w="6971"/>
      </w:tblGrid>
      <w:tr>
        <w:trPr>
          <w:trHeight w:val="284" w:hRule="atLeast"/>
        </w:trPr>
        <w:tc>
          <w:tcPr>
            <w:tcW w:w="28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Všeobecne prospešné služby v oblasti sociálnej pomoci – sociálne poradenstvo, špecializované sociálne  </w:t>
            </w:r>
          </w:p>
        </w:tc>
      </w:tr>
      <w:tr>
        <w:trPr>
          <w:trHeight w:val="284" w:hRule="atLeast"/>
        </w:trPr>
        <w:tc>
          <w:tcPr>
            <w:tcW w:w="283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poradenstvo, zariadenie podporovaného bývania, rehabilitačné stredisko, sprostredkovanie osobnej </w:t>
            </w:r>
          </w:p>
        </w:tc>
      </w:tr>
      <w:tr>
        <w:trPr>
          <w:trHeight w:val="284" w:hRule="atLeast"/>
        </w:trPr>
        <w:tc>
          <w:tcPr>
            <w:tcW w:w="283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asistencie, chránená dielňa a chránené pracovisko</w:t>
            </w:r>
          </w:p>
        </w:tc>
      </w:tr>
      <w:tr>
        <w:trPr>
          <w:trHeight w:val="284" w:hRule="atLeast"/>
        </w:trPr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Predaj výrobkov z chránenej dielne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>
      <w:pPr>
        <w:pStyle w:val="Normal"/>
        <w:spacing w:lineRule="auto" w:line="240" w:before="0" w:after="120"/>
        <w:ind w:firstLine="36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 ods. 4  o počte zamestnancov a dobrovoľníkov:</w:t>
      </w:r>
    </w:p>
    <w:tbl>
      <w:tblPr>
        <w:tblW w:w="4800" w:type="pct"/>
        <w:jc w:val="left"/>
        <w:tblInd w:w="3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033"/>
        <w:gridCol w:w="2767"/>
        <w:gridCol w:w="2778"/>
      </w:tblGrid>
      <w:tr>
        <w:trPr>
          <w:trHeight w:val="284" w:hRule="atLeast"/>
        </w:trPr>
        <w:tc>
          <w:tcPr>
            <w:tcW w:w="4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Textopatrenia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4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  <w:p>
            <w:pPr>
              <w:pStyle w:val="Textopatrenia"/>
              <w:spacing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22</w:t>
            </w:r>
          </w:p>
          <w:p>
            <w:pPr>
              <w:pStyle w:val="Textopatrenia"/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</w:tr>
      <w:tr>
        <w:trPr>
          <w:trHeight w:val="284" w:hRule="atLeast"/>
        </w:trPr>
        <w:tc>
          <w:tcPr>
            <w:tcW w:w="4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</w:tr>
      <w:tr>
        <w:trPr>
          <w:trHeight w:val="284" w:hRule="atLeast"/>
        </w:trPr>
        <w:tc>
          <w:tcPr>
            <w:tcW w:w="4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nie je zriaďovateľom žiadnej inej účtovnej jednotky. 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Účtovná jednotka predpokladá pokračovať vo svojej činnosti aj v nasledujúcom účtovnom období.</w:t>
        <w:tab/>
        <w:t xml:space="preserve">  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V prvých mesiacoch roku 2020 sa vírus COVID-19, ktorý sa objavil koncom roku 2019 v Číne, rozšíril do celého sveta a negatívne ovplyvnil mnoho krajín a ich hospodárske a obchodné prostredie. Tento trend a jeho dopady kulminovali koncom kalendárneho roka 2020. Samozrejme tieto globálne dopady sa zákonite prejavili aj na neziskovú sféru na Slovensku. Najzásadnejším faktorom je nepredvídateľnosť, ktorá pretrváva, či už ide o parameter času alebo dopadov aj v r. 2021. Organizácia nezaznamenala z dôvodu celosvetovej pandémie pokles tržieb, resp. významne menší objem dotácií a príspevkov na činnosť neziskovej organizácie. 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V súvislosti s vojnovým konfliktom na Ukrajine vedenie Organizácie urobilo analýzu možných účinkov a následkov na Organizáciu a dospelo k názoru, že v súčasnosti nemajú významné nepriaznivé dopady na Organizáciu (okrem rastúcich cien vstupov, najmä pohonných hmôt, energií, materiálov, tovarov a služieb). Vedenie Organizácie nepredpokladá významné ohrozenie predpokladu nepretržitého pokračovania v činnosti v blízkej budúcnosti (t.j. počas nasledujúcich 12 mesiacov od dátumu zostavenia UZ).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00" w:type="pct"/>
        <w:jc w:val="left"/>
        <w:tblInd w:w="30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2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746"/>
        <w:gridCol w:w="3166"/>
        <w:gridCol w:w="3666"/>
      </w:tblGrid>
      <w:tr>
        <w:trPr>
          <w:trHeight w:val="284" w:hRule="atLeast"/>
        </w:trPr>
        <w:tc>
          <w:tcPr>
            <w:tcW w:w="2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>
        <w:trPr>
          <w:trHeight w:val="284" w:hRule="atLeast"/>
        </w:trPr>
        <w:tc>
          <w:tcPr>
            <w:tcW w:w="2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Nenastali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36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294"/>
        <w:gridCol w:w="3507"/>
      </w:tblGrid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vytvorené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netýka sa 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00" w:type="pct"/>
        <w:jc w:val="left"/>
        <w:tblInd w:w="30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2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957"/>
        <w:gridCol w:w="2376"/>
        <w:gridCol w:w="2379"/>
        <w:gridCol w:w="2865"/>
      </w:tblGrid>
      <w:tr>
        <w:trPr>
          <w:trHeight w:val="284" w:hRule="atLeast"/>
        </w:trPr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2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>
        <w:trPr>
          <w:trHeight w:val="284" w:hRule="atLeast"/>
        </w:trPr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Software</w:t>
            </w:r>
          </w:p>
        </w:tc>
        <w:tc>
          <w:tcPr>
            <w:tcW w:w="2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3</w:t>
            </w:r>
          </w:p>
        </w:tc>
        <w:tc>
          <w:tcPr>
            <w:tcW w:w="2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33,33%</w:t>
            </w:r>
          </w:p>
        </w:tc>
        <w:tc>
          <w:tcPr>
            <w:tcW w:w="2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rovnomerný odpis</w:t>
            </w:r>
          </w:p>
        </w:tc>
      </w:tr>
      <w:tr>
        <w:trPr>
          <w:trHeight w:val="284" w:hRule="atLeast"/>
        </w:trPr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Počítače, notebooky, tlačiarne</w:t>
            </w:r>
          </w:p>
        </w:tc>
        <w:tc>
          <w:tcPr>
            <w:tcW w:w="2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</w:t>
            </w:r>
          </w:p>
        </w:tc>
        <w:tc>
          <w:tcPr>
            <w:tcW w:w="2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25%</w:t>
            </w:r>
          </w:p>
        </w:tc>
        <w:tc>
          <w:tcPr>
            <w:tcW w:w="2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rovnomerný odpis</w:t>
            </w:r>
          </w:p>
        </w:tc>
      </w:tr>
      <w:tr>
        <w:trPr>
          <w:trHeight w:val="284" w:hRule="atLeast"/>
        </w:trPr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2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</w:t>
            </w:r>
          </w:p>
        </w:tc>
        <w:tc>
          <w:tcPr>
            <w:tcW w:w="2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25%</w:t>
            </w:r>
          </w:p>
        </w:tc>
        <w:tc>
          <w:tcPr>
            <w:tcW w:w="2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rovnomerný odpis</w:t>
            </w:r>
          </w:p>
        </w:tc>
      </w:tr>
      <w:tr>
        <w:trPr>
          <w:trHeight w:val="284" w:hRule="atLeast"/>
        </w:trPr>
        <w:tc>
          <w:tcPr>
            <w:tcW w:w="1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Snoezelen miestnosť a vypaľovacia pec</w:t>
            </w:r>
          </w:p>
        </w:tc>
        <w:tc>
          <w:tcPr>
            <w:tcW w:w="2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6</w:t>
            </w:r>
          </w:p>
        </w:tc>
        <w:tc>
          <w:tcPr>
            <w:tcW w:w="2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16,67%</w:t>
            </w:r>
          </w:p>
        </w:tc>
        <w:tc>
          <w:tcPr>
            <w:tcW w:w="2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rovnomerný odpis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W w:w="9781" w:type="dxa"/>
        <w:jc w:val="left"/>
        <w:tblInd w:w="3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366"/>
        <w:gridCol w:w="5414"/>
      </w:tblGrid>
      <w:tr>
        <w:trPr>
          <w:trHeight w:val="284" w:hRule="atLeast"/>
        </w:trPr>
        <w:tc>
          <w:tcPr>
            <w:tcW w:w="4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5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Rezervy</w:t>
            </w:r>
          </w:p>
        </w:tc>
      </w:tr>
      <w:tr>
        <w:trPr>
          <w:trHeight w:val="284" w:hRule="atLeast"/>
        </w:trPr>
        <w:tc>
          <w:tcPr>
            <w:tcW w:w="4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nie </w:t>
            </w:r>
          </w:p>
        </w:tc>
        <w:tc>
          <w:tcPr>
            <w:tcW w:w="5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ano</w:t>
            </w:r>
          </w:p>
        </w:tc>
      </w:tr>
    </w:tbl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  o stave a pohybe dlhodobého nehmotného majetku a dlhodobého hmotného majetku: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5000" w:type="pct"/>
        <w:jc w:val="left"/>
        <w:tblInd w:w="-1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5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2206"/>
        <w:gridCol w:w="1073"/>
        <w:gridCol w:w="1002"/>
        <w:gridCol w:w="1054"/>
        <w:gridCol w:w="1029"/>
        <w:gridCol w:w="1191"/>
        <w:gridCol w:w="1215"/>
        <w:gridCol w:w="1206"/>
      </w:tblGrid>
      <w:tr>
        <w:trPr>
          <w:trHeight w:val="1224" w:hRule="atLeast"/>
        </w:trPr>
        <w:tc>
          <w:tcPr>
            <w:tcW w:w="2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612" w:hRule="atLeast"/>
        </w:trPr>
        <w:tc>
          <w:tcPr>
            <w:tcW w:w="2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 - stav na začiatku bežného účtovného obdobia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3 000,00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3 000,00</w:t>
            </w:r>
          </w:p>
        </w:tc>
      </w:tr>
      <w:tr>
        <w:trPr>
          <w:trHeight w:val="288" w:hRule="atLeast"/>
        </w:trPr>
        <w:tc>
          <w:tcPr>
            <w:tcW w:w="2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2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2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408" w:hRule="atLeast"/>
        </w:trPr>
        <w:tc>
          <w:tcPr>
            <w:tcW w:w="2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3 000,00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3 000,00</w:t>
            </w:r>
          </w:p>
        </w:tc>
      </w:tr>
      <w:tr>
        <w:trPr>
          <w:trHeight w:val="408" w:hRule="atLeast"/>
        </w:trPr>
        <w:tc>
          <w:tcPr>
            <w:tcW w:w="2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Oprávky – stav na začiatku bežného účtovného obdobia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1 166,67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1 166,67</w:t>
            </w:r>
          </w:p>
        </w:tc>
      </w:tr>
      <w:tr>
        <w:trPr>
          <w:trHeight w:val="288" w:hRule="atLeast"/>
        </w:trPr>
        <w:tc>
          <w:tcPr>
            <w:tcW w:w="2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750,00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750,00</w:t>
            </w:r>
          </w:p>
        </w:tc>
      </w:tr>
      <w:tr>
        <w:trPr>
          <w:trHeight w:val="288" w:hRule="atLeast"/>
        </w:trPr>
        <w:tc>
          <w:tcPr>
            <w:tcW w:w="2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408" w:hRule="atLeast"/>
        </w:trPr>
        <w:tc>
          <w:tcPr>
            <w:tcW w:w="2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1 916,67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1 916,67</w:t>
            </w:r>
          </w:p>
        </w:tc>
      </w:tr>
      <w:tr>
        <w:trPr>
          <w:trHeight w:val="612" w:hRule="atLeast"/>
        </w:trPr>
        <w:tc>
          <w:tcPr>
            <w:tcW w:w="2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 – stav na začiatku bežného účtovného obdobia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2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2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408" w:hRule="atLeast"/>
        </w:trPr>
        <w:tc>
          <w:tcPr>
            <w:tcW w:w="2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997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2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1 833,33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1 833,33</w:t>
            </w:r>
          </w:p>
        </w:tc>
      </w:tr>
      <w:tr>
        <w:trPr>
          <w:trHeight w:val="408" w:hRule="atLeast"/>
        </w:trPr>
        <w:tc>
          <w:tcPr>
            <w:tcW w:w="2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1 083,33</w:t>
            </w:r>
          </w:p>
        </w:tc>
        <w:tc>
          <w:tcPr>
            <w:tcW w:w="1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1 083,33</w:t>
            </w:r>
          </w:p>
        </w:tc>
      </w:tr>
    </w:tbl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  <w:r>
        <w:br w:type="page"/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10440" w:type="dxa"/>
        <w:jc w:val="left"/>
        <w:tblInd w:w="-1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5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1525"/>
        <w:gridCol w:w="660"/>
        <w:gridCol w:w="842"/>
        <w:gridCol w:w="563"/>
        <w:gridCol w:w="979"/>
        <w:gridCol w:w="846"/>
        <w:gridCol w:w="978"/>
        <w:gridCol w:w="707"/>
        <w:gridCol w:w="844"/>
        <w:gridCol w:w="846"/>
        <w:gridCol w:w="794"/>
        <w:gridCol w:w="855"/>
      </w:tblGrid>
      <w:tr>
        <w:trPr>
          <w:trHeight w:val="1020" w:hRule="atLeast"/>
        </w:trPr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Dopravné prostried-ky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dlhodob. hmotného majetku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 predd. na dlhodobý hmotný majetok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408" w:hRule="atLeast"/>
        </w:trPr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 - stav na začiatku bežného účtovného obdobia</w:t>
            </w:r>
          </w:p>
        </w:tc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28 737,94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31 137,00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236,51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32 021,22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92 132,67 </w:t>
            </w:r>
          </w:p>
        </w:tc>
      </w:tr>
      <w:tr>
        <w:trPr>
          <w:trHeight w:val="288" w:hRule="atLeast"/>
        </w:trPr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1 310,09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184,89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1 494,98</w:t>
            </w:r>
          </w:p>
        </w:tc>
      </w:tr>
      <w:tr>
        <w:trPr>
          <w:trHeight w:val="288" w:hRule="atLeast"/>
        </w:trPr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8 492,66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4 406,08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12 898,74</w:t>
            </w:r>
          </w:p>
        </w:tc>
      </w:tr>
      <w:tr>
        <w:trPr>
          <w:trHeight w:val="288" w:hRule="atLeast"/>
        </w:trPr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184,89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-184,89 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408" w:hRule="atLeast"/>
        </w:trPr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20 245,28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31 137,00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236,51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29 110,12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80 728,91</w:t>
            </w:r>
          </w:p>
        </w:tc>
      </w:tr>
      <w:tr>
        <w:trPr>
          <w:trHeight w:val="408" w:hRule="atLeast"/>
        </w:trPr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Oprávky – stav na začiatku bežného účtovného obdobia</w:t>
            </w:r>
          </w:p>
        </w:tc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26 397,94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15 790,25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236,51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32 021,22 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74 445,92</w:t>
            </w:r>
          </w:p>
        </w:tc>
      </w:tr>
      <w:tr>
        <w:trPr>
          <w:trHeight w:val="288" w:hRule="atLeast"/>
        </w:trPr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796,60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7 784,25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1 402,54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9 983,39</w:t>
            </w:r>
          </w:p>
        </w:tc>
      </w:tr>
      <w:tr>
        <w:trPr>
          <w:trHeight w:val="288" w:hRule="atLeast"/>
        </w:trPr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8 492,66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4 406,08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12 898,74</w:t>
            </w:r>
          </w:p>
        </w:tc>
      </w:tr>
      <w:tr>
        <w:trPr>
          <w:trHeight w:val="408" w:hRule="atLeast"/>
        </w:trPr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18 701,88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23 574,50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236,51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29 017,68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71 530,57</w:t>
            </w:r>
          </w:p>
        </w:tc>
      </w:tr>
      <w:tr>
        <w:trPr>
          <w:trHeight w:val="408" w:hRule="atLeast"/>
        </w:trPr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 – stav na začiatku bežného účtovného obdobia</w:t>
            </w:r>
          </w:p>
        </w:tc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</w:tr>
      <w:tr>
        <w:trPr>
          <w:trHeight w:val="288" w:hRule="atLeast"/>
        </w:trPr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</w:tr>
      <w:tr>
        <w:trPr>
          <w:trHeight w:val="288" w:hRule="atLeast"/>
        </w:trPr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0,00 </w:t>
            </w:r>
          </w:p>
        </w:tc>
      </w:tr>
      <w:tr>
        <w:trPr>
          <w:trHeight w:val="408" w:hRule="atLeast"/>
        </w:trPr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0,00 </w:t>
            </w:r>
          </w:p>
        </w:tc>
      </w:tr>
      <w:tr>
        <w:trPr>
          <w:trHeight w:val="288" w:hRule="atLeast"/>
        </w:trPr>
        <w:tc>
          <w:tcPr>
            <w:tcW w:w="10439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2 340,00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15 346,75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00,0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17 686,75</w:t>
            </w:r>
          </w:p>
        </w:tc>
      </w:tr>
      <w:tr>
        <w:trPr>
          <w:trHeight w:val="408" w:hRule="atLeast"/>
        </w:trPr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1 543,40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7 562,50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92,44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9 198,34</w:t>
            </w:r>
          </w:p>
        </w:tc>
      </w:tr>
      <w:tr>
        <w:trPr>
          <w:trHeight w:val="288" w:hRule="atLeast"/>
        </w:trPr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Organizácia nedisponuje s dlhodobým majetkom, na ktorý je zriadené záložné právo, resp. pri ktorom má účtovná jednotka obmedzené právo s ním nakladať.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realizuje svoju činnosť v prenajatých priestoroch, poistenie nehnuteľnosti je súčasťou nájomného.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neúčtuje o dlhodobom finančnom majetku.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>Organizácia neúčtovala o opravnej položke k dlhodobému finančnému majetku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  <w:r>
        <w:br w:type="page"/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6  o položkách krátkodobého finančného majetku</w:t>
      </w:r>
    </w:p>
    <w:tbl>
      <w:tblPr>
        <w:tblW w:w="10490" w:type="dxa"/>
        <w:jc w:val="left"/>
        <w:tblInd w:w="-8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191"/>
        <w:gridCol w:w="3453"/>
        <w:gridCol w:w="3846"/>
      </w:tblGrid>
      <w:tr>
        <w:trPr>
          <w:trHeight w:val="284" w:hRule="atLeast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3 819,23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4 231,30</w:t>
            </w:r>
          </w:p>
        </w:tc>
      </w:tr>
      <w:tr>
        <w:trPr>
          <w:trHeight w:val="284" w:hRule="atLeast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212,00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3 224,00</w:t>
            </w:r>
          </w:p>
        </w:tc>
      </w:tr>
      <w:tr>
        <w:trPr>
          <w:trHeight w:val="284" w:hRule="atLeast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42 425,14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53 294,24</w:t>
            </w:r>
          </w:p>
        </w:tc>
      </w:tr>
      <w:tr>
        <w:trPr>
          <w:trHeight w:val="284" w:hRule="atLeast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4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46 456,37</w:t>
            </w:r>
          </w:p>
        </w:tc>
        <w:tc>
          <w:tcPr>
            <w:tcW w:w="3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60 749,54</w:t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nevykazuje zásoby a ani neúčtuje o opravnej položke k zásobám.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jc w:val="left"/>
        <w:tblInd w:w="-8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191"/>
        <w:gridCol w:w="4478"/>
        <w:gridCol w:w="2309"/>
      </w:tblGrid>
      <w:tr>
        <w:trPr>
          <w:trHeight w:val="284" w:hRule="atLeast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4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2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</w:t>
            </w:r>
          </w:p>
        </w:tc>
        <w:tc>
          <w:tcPr>
            <w:tcW w:w="4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Zaplatená kaucia za nebytové priestory na ulici Duklianskych hrdinov</w:t>
            </w:r>
          </w:p>
        </w:tc>
        <w:tc>
          <w:tcPr>
            <w:tcW w:w="2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400,57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neúčtovala v priebehu účtovného obdobia o opravných položkách k pohľadávkam.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90"/>
        <w:gridCol w:w="2991"/>
        <w:gridCol w:w="2997"/>
      </w:tblGrid>
      <w:tr>
        <w:trPr>
          <w:trHeight w:val="284" w:hRule="atLeast"/>
        </w:trPr>
        <w:tc>
          <w:tcPr>
            <w:tcW w:w="39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434 255,98</w:t>
            </w:r>
          </w:p>
        </w:tc>
        <w:tc>
          <w:tcPr>
            <w:tcW w:w="2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2 736,76</w:t>
            </w:r>
          </w:p>
        </w:tc>
      </w:tr>
      <w:tr>
        <w:trPr>
          <w:trHeight w:val="284" w:hRule="atLeast"/>
        </w:trPr>
        <w:tc>
          <w:tcPr>
            <w:tcW w:w="3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434 255,98</w:t>
            </w:r>
          </w:p>
        </w:tc>
        <w:tc>
          <w:tcPr>
            <w:tcW w:w="2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2 736,76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92"/>
        <w:gridCol w:w="4990"/>
        <w:gridCol w:w="1996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4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Poistenie áut, doména, Eset licencia,Radiolan,T Com</w:t>
            </w:r>
          </w:p>
        </w:tc>
        <w:tc>
          <w:tcPr>
            <w:tcW w:w="1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792,04</w:t>
            </w:r>
          </w:p>
        </w:tc>
      </w:tr>
    </w:tbl>
    <w:p>
      <w:pPr>
        <w:pStyle w:val="Normal"/>
        <w:spacing w:lineRule="auto" w:line="24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7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Nezisková organizácia bola založená 19.12.2006 pod č. OVVS-1930/205/2006-NO peňažným vkladom vo výške 1 000,00 SKK, t.j. 33,19 EUR.</w:t>
      </w:r>
    </w:p>
    <w:p>
      <w:pPr>
        <w:pStyle w:val="Normal"/>
        <w:numPr>
          <w:ilvl w:val="0"/>
          <w:numId w:val="7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"/>
        <w:spacing w:lineRule="auto" w:line="240" w:before="0" w:after="120"/>
        <w:rPr/>
      </w:pPr>
      <w:r>
        <w:rPr>
          <w:sz w:val="18"/>
          <w:szCs w:val="18"/>
        </w:rPr>
        <w:t xml:space="preserve">Organizácia neúčtovala o opravách významných chýb v priebehu účtovného obdobia 2021. 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  <w:r>
        <w:br w:type="page"/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iCs/>
          <w:sz w:val="18"/>
          <w:szCs w:val="18"/>
        </w:rPr>
        <w:t xml:space="preserve">    </w:t>
      </w:r>
    </w:p>
    <w:tbl>
      <w:tblPr>
        <w:tblW w:w="4950" w:type="pct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49"/>
        <w:gridCol w:w="1181"/>
        <w:gridCol w:w="1179"/>
        <w:gridCol w:w="1186"/>
        <w:gridCol w:w="1185"/>
        <w:gridCol w:w="1197"/>
      </w:tblGrid>
      <w:tr>
        <w:trPr>
          <w:trHeight w:val="283" w:hRule="atLeast"/>
        </w:trPr>
        <w:tc>
          <w:tcPr>
            <w:tcW w:w="3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3" w:hRule="atLeast"/>
        </w:trPr>
        <w:tc>
          <w:tcPr>
            <w:tcW w:w="98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>
        <w:trPr>
          <w:trHeight w:val="283" w:hRule="atLeast"/>
        </w:trPr>
        <w:tc>
          <w:tcPr>
            <w:tcW w:w="3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39,19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39,19</w:t>
            </w:r>
          </w:p>
        </w:tc>
      </w:tr>
      <w:tr>
        <w:trPr>
          <w:trHeight w:val="283" w:hRule="atLeast"/>
        </w:trPr>
        <w:tc>
          <w:tcPr>
            <w:tcW w:w="3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3" w:hRule="atLeast"/>
        </w:trPr>
        <w:tc>
          <w:tcPr>
            <w:tcW w:w="3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39,19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39,19</w:t>
            </w:r>
          </w:p>
        </w:tc>
      </w:tr>
      <w:tr>
        <w:trPr>
          <w:trHeight w:val="283" w:hRule="atLeast"/>
        </w:trPr>
        <w:tc>
          <w:tcPr>
            <w:tcW w:w="3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3" w:hRule="atLeast"/>
        </w:trPr>
        <w:tc>
          <w:tcPr>
            <w:tcW w:w="3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3" w:hRule="atLeast"/>
        </w:trPr>
        <w:tc>
          <w:tcPr>
            <w:tcW w:w="3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3" w:hRule="atLeast"/>
        </w:trPr>
        <w:tc>
          <w:tcPr>
            <w:tcW w:w="3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3" w:hRule="atLeast"/>
        </w:trPr>
        <w:tc>
          <w:tcPr>
            <w:tcW w:w="98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zo zisku</w:t>
            </w:r>
          </w:p>
        </w:tc>
      </w:tr>
      <w:tr>
        <w:trPr>
          <w:trHeight w:val="283" w:hRule="atLeast"/>
        </w:trPr>
        <w:tc>
          <w:tcPr>
            <w:tcW w:w="3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3" w:hRule="atLeast"/>
        </w:trPr>
        <w:tc>
          <w:tcPr>
            <w:tcW w:w="3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3" w:hRule="atLeast"/>
        </w:trPr>
        <w:tc>
          <w:tcPr>
            <w:tcW w:w="3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3" w:hRule="atLeast"/>
        </w:trPr>
        <w:tc>
          <w:tcPr>
            <w:tcW w:w="3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61 244,42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-3 922,68</w:t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57 322,04</w:t>
            </w:r>
          </w:p>
        </w:tc>
      </w:tr>
      <w:tr>
        <w:trPr>
          <w:trHeight w:val="283" w:hRule="atLeast"/>
        </w:trPr>
        <w:tc>
          <w:tcPr>
            <w:tcW w:w="3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-3 922,38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-24 468,83</w:t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3 922,68</w:t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-24 468,83</w:t>
            </w:r>
          </w:p>
        </w:tc>
      </w:tr>
      <w:tr>
        <w:trPr>
          <w:trHeight w:val="283" w:hRule="atLeast"/>
        </w:trPr>
        <w:tc>
          <w:tcPr>
            <w:tcW w:w="3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57 360,93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-24 468,83</w:t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32 892,40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13 o rozdelení účtovného zisku alebo vysporiadaní účtovnej straty</w:t>
      </w:r>
    </w:p>
    <w:tbl>
      <w:tblPr>
        <w:tblW w:w="5000" w:type="pct"/>
        <w:jc w:val="left"/>
        <w:tblInd w:w="-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653"/>
        <w:gridCol w:w="4324"/>
      </w:tblGrid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-3 922,68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účtovnej straty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-3 922,68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  <w:r>
        <w:br w:type="page"/>
      </w:r>
    </w:p>
    <w:p>
      <w:pPr>
        <w:pStyle w:val="Normal"/>
        <w:spacing w:lineRule="auto" w:line="240" w:before="0" w:after="120"/>
        <w:ind w:left="360" w:hanging="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a) o  tvorbe a použití rezerv</w:t>
      </w:r>
    </w:p>
    <w:tbl>
      <w:tblPr>
        <w:tblW w:w="49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06"/>
        <w:gridCol w:w="1405"/>
        <w:gridCol w:w="1404"/>
        <w:gridCol w:w="1403"/>
        <w:gridCol w:w="1278"/>
        <w:gridCol w:w="1381"/>
      </w:tblGrid>
      <w:tr>
        <w:trPr>
          <w:trHeight w:val="284" w:hRule="atLeast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nevyčerpanú dovolenku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5 950,27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5 123,12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5 950,27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5 843,12</w:t>
            </w:r>
          </w:p>
        </w:tc>
      </w:tr>
      <w:tr>
        <w:trPr>
          <w:trHeight w:val="284" w:hRule="atLeast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5 950,27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5 123,12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5 950,27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5 843,12</w:t>
            </w:r>
          </w:p>
        </w:tc>
      </w:tr>
      <w:tr>
        <w:trPr>
          <w:trHeight w:val="284" w:hRule="atLeast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štatutárny audit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720,00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720,00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720,00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720,00</w:t>
            </w:r>
          </w:p>
        </w:tc>
      </w:tr>
      <w:tr>
        <w:trPr>
          <w:trHeight w:val="284" w:hRule="atLeast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720,00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720,00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720,00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720,00</w:t>
            </w:r>
          </w:p>
        </w:tc>
      </w:tr>
      <w:tr>
        <w:trPr>
          <w:trHeight w:val="284" w:hRule="atLeast"/>
        </w:trPr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6 670,27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5 843,12</w:t>
            </w:r>
          </w:p>
        </w:tc>
        <w:tc>
          <w:tcPr>
            <w:tcW w:w="1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6 670,27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5 843,12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p>
      <w:pPr>
        <w:pStyle w:val="Normal"/>
        <w:spacing w:lineRule="auto" w:line="240"/>
        <w:rPr/>
      </w:pPr>
      <w:r>
        <w:rPr>
          <w:sz w:val="18"/>
          <w:szCs w:val="18"/>
        </w:rPr>
        <w:t>Organizácia nevykazovala konečný zostatok na účtoch 325 - Ostatné záväzky a 379 – Iné záväzky k 31.12.2021</w:t>
      </w:r>
    </w:p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90"/>
        <w:gridCol w:w="2991"/>
        <w:gridCol w:w="2997"/>
      </w:tblGrid>
      <w:tr>
        <w:trPr>
          <w:trHeight w:val="284" w:hRule="atLeast"/>
        </w:trPr>
        <w:tc>
          <w:tcPr>
            <w:tcW w:w="39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6 348,04</w:t>
            </w:r>
          </w:p>
        </w:tc>
        <w:tc>
          <w:tcPr>
            <w:tcW w:w="2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4 255,27</w:t>
            </w:r>
          </w:p>
        </w:tc>
      </w:tr>
      <w:tr>
        <w:trPr>
          <w:trHeight w:val="284" w:hRule="atLeast"/>
        </w:trPr>
        <w:tc>
          <w:tcPr>
            <w:tcW w:w="3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Záväzky spolu</w:t>
            </w:r>
          </w:p>
        </w:tc>
        <w:tc>
          <w:tcPr>
            <w:tcW w:w="2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6 348,08</w:t>
            </w:r>
          </w:p>
        </w:tc>
        <w:tc>
          <w:tcPr>
            <w:tcW w:w="2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4 255,27</w:t>
            </w:r>
          </w:p>
        </w:tc>
      </w:tr>
    </w:tbl>
    <w:p>
      <w:pPr>
        <w:pStyle w:val="Normal"/>
        <w:spacing w:lineRule="auto" w:line="240" w:before="0" w:after="0"/>
        <w:ind w:left="36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77" w:hanging="357"/>
        <w:rPr>
          <w:sz w:val="18"/>
          <w:szCs w:val="18"/>
        </w:rPr>
      </w:pPr>
      <w:r>
        <w:rPr>
          <w:sz w:val="18"/>
          <w:szCs w:val="18"/>
        </w:rPr>
        <w:t>viac ako päť rokov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c) a d) o záväzkoch</w:t>
      </w:r>
    </w:p>
    <w:tbl>
      <w:tblPr>
        <w:tblW w:w="50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981"/>
        <w:gridCol w:w="2496"/>
        <w:gridCol w:w="2501"/>
      </w:tblGrid>
      <w:tr>
        <w:trPr>
          <w:trHeight w:val="284" w:hRule="atLeast"/>
        </w:trPr>
        <w:tc>
          <w:tcPr>
            <w:tcW w:w="49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49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8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5 327,93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4 074,14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5 327,93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  <w:lang w:eastAsia="sk-SK"/>
              </w:rPr>
              <w:t>4 074,14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1 020,11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181,13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1 020,11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181,13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6 348,04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4 255,27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720"/>
        <w:gridCol w:w="3147"/>
        <w:gridCol w:w="3111"/>
      </w:tblGrid>
      <w:tr>
        <w:trPr>
          <w:trHeight w:val="284" w:hRule="atLeast"/>
        </w:trPr>
        <w:tc>
          <w:tcPr>
            <w:tcW w:w="3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181,13</w:t>
            </w:r>
          </w:p>
        </w:tc>
        <w:tc>
          <w:tcPr>
            <w:tcW w:w="3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680,98</w:t>
            </w:r>
          </w:p>
        </w:tc>
      </w:tr>
      <w:tr>
        <w:trPr>
          <w:trHeight w:val="298" w:hRule="atLeast"/>
        </w:trPr>
        <w:tc>
          <w:tcPr>
            <w:tcW w:w="3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838,98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747,04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1 246,89</w:t>
            </w:r>
          </w:p>
        </w:tc>
      </w:tr>
      <w:tr>
        <w:trPr>
          <w:trHeight w:val="284" w:hRule="atLeast"/>
        </w:trPr>
        <w:tc>
          <w:tcPr>
            <w:tcW w:w="3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1 020,11</w:t>
            </w:r>
          </w:p>
        </w:tc>
        <w:tc>
          <w:tcPr>
            <w:tcW w:w="3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181,13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>
      <w:pPr>
        <w:pStyle w:val="Normal"/>
        <w:spacing w:lineRule="auto" w:line="240" w:before="0" w:after="120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Účtovná jednotka neeviduje prijaté bankové úvery, pôžičky ani iné výpomoci. </w:t>
      </w:r>
    </w:p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významných položkách časového rozlíšenia výdavkov budúcich období.</w:t>
      </w:r>
    </w:p>
    <w:p>
      <w:pPr>
        <w:pStyle w:val="Normal"/>
        <w:spacing w:lineRule="auto" w:line="240" w:before="0" w:after="120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Účtovná jednotka neeviduje </w:t>
      </w:r>
      <w:r>
        <w:rPr>
          <w:sz w:val="18"/>
          <w:szCs w:val="18"/>
        </w:rPr>
        <w:t>významné položky časového rozlíšenia výdavkov budúcich období</w:t>
      </w:r>
      <w:r>
        <w:rPr>
          <w:bCs/>
          <w:iCs/>
          <w:sz w:val="18"/>
          <w:szCs w:val="18"/>
        </w:rPr>
        <w:t xml:space="preserve">. 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 významných položkách výnosov budúcich období v členení najmä na</w:t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zostatkovú hodnotu bezodplatne nadobudnutého dlhodobého majetku,</w:t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dotácie,</w:t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zostatok nepoužitej dotácie alebo grantu,</w:t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zostatok nepoužitej časti podielu zaplatenej dane,</w:t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714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podielu zaplatenej dane.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15 o významných položkách výnosov budúcich období</w:t>
      </w:r>
    </w:p>
    <w:tbl>
      <w:tblPr>
        <w:tblW w:w="10382" w:type="dxa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73"/>
        <w:gridCol w:w="1550"/>
        <w:gridCol w:w="1550"/>
        <w:gridCol w:w="1550"/>
        <w:gridCol w:w="1559"/>
      </w:tblGrid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432 985,32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2 563,63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430 421,69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Grantu z Nadácie Pontis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1 833,33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750,00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1 083,33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8 343,87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9 628,93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8 343,87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9 628,93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5 628,05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963,48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4 664,57</w:t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prenájmu, a to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nemá prenajatý dlhodobý finančný majetok formou finančného lízingu. 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IV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Informácie, ktoré dopĺňajú a vysvetľujú údaje vo výkaze ziskov a strát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4026"/>
        <w:gridCol w:w="2974"/>
        <w:gridCol w:w="2978"/>
      </w:tblGrid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Prehľad tržieb za vlastné výkony, služby a tovar spolu, z toho: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22 151,46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22 151,46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 príspevky, príspevky na činnosť od FO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2 069,92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Ministerstvo práce, sociálnych vecí a rodiny Slovenskej republiky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138 012,17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Bratislavský samosprávny kraj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64 689,92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Úrad práce, sociálnych vecí a rodiny SR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42 501,53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Nadácia Pontis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750,00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 Malacky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1 500,00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Trnavský samosprávny kraj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1 336,42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/>
              <w:t>IROP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2 563,63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  <w:t xml:space="preserve">Organizácia nevykazuje významné položky finančných výnosov. 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 do chránenej dielne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1 947,76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Nákup drobného majetku a iné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5 328,20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Spotreba materiálu celkom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i/>
                <w:iCs/>
                <w:sz w:val="16"/>
                <w:szCs w:val="16"/>
              </w:rPr>
              <w:t>7 275,96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Spotreba energií celkom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i/>
                <w:iCs/>
                <w:sz w:val="16"/>
                <w:szCs w:val="16"/>
              </w:rPr>
              <w:t>5 015,13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Prenájom priestorov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11 902,96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Školenia a cvičenia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3 165,00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Účtovníctvo a audit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4 590,00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13 685,82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Ostatné služby celkom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i/>
                <w:iCs/>
                <w:sz w:val="16"/>
                <w:szCs w:val="16"/>
              </w:rPr>
              <w:t>33 343,78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Personálne náklady celkom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i/>
                <w:iCs/>
                <w:sz w:val="16"/>
                <w:szCs w:val="16"/>
              </w:rPr>
              <w:t>24 0183,00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Odpisy hmotného a nehmotného majetku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9 423,30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i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Iné poplatky a náklady celkom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i/>
                <w:iCs/>
                <w:sz w:val="16"/>
                <w:szCs w:val="16"/>
              </w:rPr>
              <w:t>1 628,15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>
      <w:pPr>
        <w:pStyle w:val="Normal"/>
        <w:spacing w:lineRule="auto" w:line="240" w:before="0" w:after="120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802"/>
        <w:gridCol w:w="2729"/>
        <w:gridCol w:w="2247"/>
      </w:tblGrid>
      <w:tr>
        <w:trPr>
          <w:trHeight w:val="284" w:hRule="atLeast"/>
        </w:trPr>
        <w:tc>
          <w:tcPr>
            <w:tcW w:w="4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8 343,87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75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9 628,93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  <w:t xml:space="preserve">Organizácia nevykazuje významné položky finančných nákladov. 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uisťovacie audítorské služby s výnimkou overenia účtovnej závierky,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súvisiace audítorské služby,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daňové poradenstvo,</w:t>
      </w:r>
    </w:p>
    <w:p>
      <w:pPr>
        <w:pStyle w:val="Normal"/>
        <w:numPr>
          <w:ilvl w:val="0"/>
          <w:numId w:val="12"/>
        </w:numPr>
        <w:spacing w:lineRule="auto" w:line="240"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>ostatné neaudítorské služby.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IV  ods. 8 o nákladoch vynaložených v súvislosti s auditom účtovnej závierky</w:t>
      </w:r>
    </w:p>
    <w:tbl>
      <w:tblPr>
        <w:tblW w:w="4900" w:type="pct"/>
        <w:jc w:val="left"/>
        <w:tblInd w:w="-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609"/>
        <w:gridCol w:w="3168"/>
      </w:tblGrid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720,00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poradenstvo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720,00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jc w:val="left"/>
        <w:rPr>
          <w:b/>
          <w:b/>
          <w:bCs/>
        </w:rPr>
      </w:pPr>
      <w:r>
        <w:rPr>
          <w:b/>
          <w:bCs/>
        </w:rPr>
      </w:r>
      <w:r>
        <w:br w:type="page"/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Opis údajov na podsúvahových účtoch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Významné položky prenajatého majetku, majetku prijatého do úschovy, odpísané pohľadávky a prípadné ďalšie položky.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Organizácia si prenajíma nasledovné priestory:</w:t>
      </w:r>
    </w:p>
    <w:p>
      <w:pPr>
        <w:pStyle w:val="ListParagraph"/>
        <w:numPr>
          <w:ilvl w:val="0"/>
          <w:numId w:val="16"/>
        </w:numPr>
        <w:spacing w:lineRule="auto" w:line="259" w:before="0" w:after="160"/>
        <w:contextualSpacing/>
        <w:rPr>
          <w:sz w:val="18"/>
          <w:szCs w:val="18"/>
        </w:rPr>
      </w:pPr>
      <w:r>
        <w:rPr>
          <w:sz w:val="18"/>
          <w:szCs w:val="18"/>
        </w:rPr>
        <w:t>2 izbový byt Bernolákova 7, Malacky, mesačné nájomné 91,97 EUR - energie, prenajímateľ Michal Soják, nájomné dohodnuté do 26.7.2025, účel: poskytovanie sociálnej služby podporovaného bývania;</w:t>
      </w:r>
    </w:p>
    <w:p>
      <w:pPr>
        <w:pStyle w:val="ListParagraph"/>
        <w:numPr>
          <w:ilvl w:val="0"/>
          <w:numId w:val="16"/>
        </w:numPr>
        <w:spacing w:lineRule="auto" w:line="259" w:before="0" w:after="160"/>
        <w:contextualSpacing/>
        <w:rPr>
          <w:sz w:val="18"/>
          <w:szCs w:val="18"/>
        </w:rPr>
      </w:pPr>
      <w:r>
        <w:rPr>
          <w:sz w:val="18"/>
          <w:szCs w:val="18"/>
        </w:rPr>
        <w:t>3 izbový byt 1. mája, Malacky, mesačné nájomné 500 EUR, prenajímateľ Dušan a Jana Oravcová, nájomné dohodnuté do 1.4.2025, účel: poskytovanie sociálnej služby podporovaného bývania;</w:t>
      </w:r>
    </w:p>
    <w:p>
      <w:pPr>
        <w:pStyle w:val="ListParagraph"/>
        <w:numPr>
          <w:ilvl w:val="0"/>
          <w:numId w:val="16"/>
        </w:numPr>
        <w:spacing w:lineRule="auto" w:line="259" w:before="0" w:after="160"/>
        <w:contextualSpacing/>
        <w:rPr/>
      </w:pPr>
      <w:r>
        <w:rPr>
          <w:sz w:val="18"/>
          <w:szCs w:val="18"/>
        </w:rPr>
        <w:t>Nebytový priestor Duklianskych hrdinov, Malacky, mesačné nájomné 400 EUR a k 31.12.2019 uhradená kaucia vo výške 400 EUR, prenajímateľ PROPER Servis s.r.o., nájomné do 1.1.2030, účel: obchodný priestory na predaj výrobkov z chránenej dielne</w:t>
      </w:r>
    </w:p>
    <w:p>
      <w:pPr>
        <w:pStyle w:val="ListParagraph"/>
        <w:numPr>
          <w:ilvl w:val="0"/>
          <w:numId w:val="16"/>
        </w:numPr>
        <w:spacing w:lineRule="auto" w:line="259" w:before="0" w:after="160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Budova 1.máj 15, ročné nájomné 1 EUR, prenajímateľ Mesto Malacky, nájomné do 31.12.2034, účel: poskytovanie všeobecne prospešných služieb  </w:t>
      </w:r>
    </w:p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Ďalšie informácie</w:t>
      </w:r>
    </w:p>
    <w:p>
      <w:pPr>
        <w:pStyle w:val="Textopatrenia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iné aktíva alebo pasíva, ktoré by nevykazovala v súvahe.</w:t>
      </w:r>
    </w:p>
    <w:p>
      <w:pPr>
        <w:pStyle w:val="Textopatrenia"/>
        <w:numPr>
          <w:ilvl w:val="0"/>
          <w:numId w:val="13"/>
        </w:numPr>
        <w:spacing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pStyle w:val="Textopatrenia"/>
        <w:numPr>
          <w:ilvl w:val="0"/>
          <w:numId w:val="14"/>
        </w:numPr>
        <w:spacing w:before="0" w:after="120"/>
        <w:rPr>
          <w:sz w:val="18"/>
          <w:szCs w:val="18"/>
        </w:rPr>
      </w:pPr>
      <w:r>
        <w:rPr>
          <w:sz w:val="18"/>
          <w:szCs w:val="18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Textopatrenia"/>
        <w:numPr>
          <w:ilvl w:val="0"/>
          <w:numId w:val="14"/>
        </w:numPr>
        <w:spacing w:before="0" w:after="120"/>
        <w:rPr>
          <w:sz w:val="18"/>
          <w:szCs w:val="18"/>
        </w:rPr>
      </w:pPr>
      <w:r>
        <w:rPr>
          <w:sz w:val="18"/>
          <w:szCs w:val="18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Textopatrenia"/>
        <w:spacing w:before="0" w:after="120"/>
        <w:rPr>
          <w:sz w:val="18"/>
          <w:szCs w:val="18"/>
        </w:rPr>
      </w:pPr>
      <w:r>
        <w:rPr>
          <w:sz w:val="18"/>
          <w:szCs w:val="18"/>
        </w:rPr>
        <w:t>Účtovná jednotka nemá iné aktíva alebo pasíva, ktoré by nevykazovala v súvahe.</w:t>
      </w:r>
    </w:p>
    <w:p>
      <w:pPr>
        <w:pStyle w:val="Textopatrenia"/>
        <w:numPr>
          <w:ilvl w:val="0"/>
          <w:numId w:val="13"/>
        </w:numPr>
        <w:spacing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pStyle w:val="Textopatrenia"/>
        <w:numPr>
          <w:ilvl w:val="0"/>
          <w:numId w:val="15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devízových termínovaných obchodov a iných finančných derivátov,</w:t>
      </w:r>
    </w:p>
    <w:p>
      <w:pPr>
        <w:pStyle w:val="Textopatrenia"/>
        <w:numPr>
          <w:ilvl w:val="0"/>
          <w:numId w:val="15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opčných obchodov,</w:t>
      </w:r>
    </w:p>
    <w:p>
      <w:pPr>
        <w:pStyle w:val="Textopatrenia"/>
        <w:numPr>
          <w:ilvl w:val="0"/>
          <w:numId w:val="15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zákonná povinnosť alebo zmluvná povinnosť odobrať určité produkty alebo služby, napríklad z dodávateľských alebo odberateľských zmlúv,</w:t>
      </w:r>
    </w:p>
    <w:p>
      <w:pPr>
        <w:pStyle w:val="Textopatrenia"/>
        <w:numPr>
          <w:ilvl w:val="0"/>
          <w:numId w:val="15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leasingových, nájomných, servisných, poistných, koncesionárskych, licenčných zmlúv a podobných zmlúv,</w:t>
      </w:r>
    </w:p>
    <w:p>
      <w:pPr>
        <w:pStyle w:val="Textopatrenia"/>
        <w:numPr>
          <w:ilvl w:val="0"/>
          <w:numId w:val="15"/>
        </w:numPr>
        <w:spacing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iné povinnosti. 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ostatné finančné povinnosti, ktoré by nevykazovala v súvahe.</w:t>
      </w:r>
    </w:p>
    <w:p>
      <w:pPr>
        <w:pStyle w:val="Normal"/>
        <w:numPr>
          <w:ilvl w:val="0"/>
          <w:numId w:val="13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nehnuteľných kultúrnych pamiatok, ktoré sú v správe alebo vo vlastníctve účtovnej jednotky. Informácie o významných skutočnostiach, ktoré nastali medzi dňom, ku ktorému sa zostavuje účtovná závierka a dňom jej zostavenia.</w:t>
      </w:r>
    </w:p>
    <w:p>
      <w:pPr>
        <w:pStyle w:val="Textopatrenia"/>
        <w:ind w:left="3" w:hanging="0"/>
        <w:rPr>
          <w:sz w:val="18"/>
          <w:szCs w:val="18"/>
        </w:rPr>
      </w:pPr>
      <w:r>
        <w:rPr>
          <w:sz w:val="18"/>
          <w:szCs w:val="18"/>
        </w:rPr>
        <w:t>Účtovná jednotka nemá vo vlastníctve ani v správe žiadne kultúrne pamiatky.</w:t>
      </w:r>
    </w:p>
    <w:p>
      <w:pPr>
        <w:pStyle w:val="Normal"/>
        <w:numPr>
          <w:ilvl w:val="0"/>
          <w:numId w:val="13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Informácie o významných skutočnostiach, ktoré nastali medzi dňom, ku ktorému sa zostavuje účtovná závierka a dňom jej zostavenia.</w:t>
      </w:r>
    </w:p>
    <w:p>
      <w:pPr>
        <w:pStyle w:val="Textopatrenia"/>
        <w:spacing w:before="0" w:after="120"/>
        <w:ind w:left="3" w:hanging="0"/>
        <w:rPr>
          <w:sz w:val="18"/>
          <w:szCs w:val="18"/>
        </w:rPr>
      </w:pPr>
      <w:r>
        <w:rPr>
          <w:sz w:val="18"/>
          <w:szCs w:val="18"/>
        </w:rPr>
        <w:t>Medzi dňom zostavenia účtovnej závierky a dňom, ku ktorému sa účtovná závierka zostavuje, nenastali žiadne iné významné skutočnosti, ktoré by mali významný vplyv na údaje vykázané v účtovnej závierke.</w:t>
      </w:r>
    </w:p>
    <w:p>
      <w:pPr>
        <w:pStyle w:val="Textopatrenia"/>
        <w:ind w:left="3" w:hanging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widowControl/>
        <w:bidi w:val="0"/>
        <w:spacing w:lineRule="auto" w:line="360" w:before="120" w:after="120"/>
        <w:jc w:val="both"/>
        <w:rPr/>
      </w:pPr>
      <w:r>
        <w:rPr/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  <w:iCs w:val="false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  <w:iCs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i w:val="false"/>
        <w:b w:val="false"/>
        <w:iCs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9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(%1)"/>
      <w:lvlJc w:val="left"/>
      <w:pPr>
        <w:ind w:left="360" w:hanging="360"/>
      </w:pPr>
      <w:rPr>
        <w:sz w:val="18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lvl w:ilvl="0">
      <w:start w:val="1"/>
      <w:numFmt w:val="upperLetter"/>
      <w:lvlText w:val="%1)"/>
      <w:lvlJc w:val="left"/>
      <w:pPr>
        <w:ind w:left="720" w:hanging="360"/>
      </w:pPr>
      <w:rPr>
        <w:sz w:val="18"/>
        <w:b w:val="false"/>
        <w:szCs w:val="16"/>
        <w:bCs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cs="Arial Narrow" w:eastAsia="Times New Roman"/>
      <w:color w:val="00000A"/>
      <w:sz w:val="20"/>
      <w:szCs w:val="20"/>
      <w:lang w:eastAsia="cs-CZ" w:val="sk-SK" w:bidi="ar-SA"/>
    </w:rPr>
  </w:style>
  <w:style w:type="paragraph" w:styleId="Nadpis1">
    <w:name w:val="Heading 1"/>
    <w:basedOn w:val="Normal"/>
    <w:link w:val="Nadpis1Char"/>
    <w:uiPriority w:val="99"/>
    <w:qFormat/>
    <w:rsid w:val="00d440d5"/>
    <w:pPr>
      <w:keepNext/>
      <w:numPr>
        <w:ilvl w:val="0"/>
        <w:numId w:val="1"/>
      </w:numPr>
      <w:spacing w:lineRule="auto" w:line="240"/>
      <w:jc w:val="center"/>
      <w:outlineLvl w:val="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al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al"/>
    <w:link w:val="Nadpis3Char"/>
    <w:uiPriority w:val="99"/>
    <w:qFormat/>
    <w:rsid w:val="00945816"/>
    <w:pPr>
      <w:keepNext/>
      <w:spacing w:lineRule="auto" w:line="240" w:before="240" w:after="60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rsid w:val="00d77bde"/>
    <w:rPr>
      <w:rFonts w:ascii="Cambria" w:hAnsi="Cambria" w:cs="Cambria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rsid w:val="00d77bde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Nadpis3Char" w:customStyle="1">
    <w:name w:val="Nadpis 3 Char"/>
    <w:basedOn w:val="DefaultParagraphFont"/>
    <w:link w:val="Nadpis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PtaChar" w:customStyle="1">
    <w:name w:val="Päta Char"/>
    <w:basedOn w:val="DefaultParagraphFont"/>
    <w:link w:val="Pta"/>
    <w:uiPriority w:val="99"/>
    <w:qFormat/>
    <w:rsid w:val="00d77bde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ZkladntextChar" w:customStyle="1">
    <w:name w:val="Základný text Char"/>
    <w:basedOn w:val="DefaultParagraphFont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styleId="ListLabel1" w:customStyle="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 w:customStyle="1">
    <w:name w:val="ListLabel 2"/>
    <w:qFormat/>
    <w:rPr>
      <w:b w:val="false"/>
      <w:bCs w:val="false"/>
      <w:i w:val="false"/>
      <w:iCs w:val="false"/>
    </w:rPr>
  </w:style>
  <w:style w:type="character" w:styleId="ListLabel3" w:customStyle="1">
    <w:name w:val="ListLabel 3"/>
    <w:qFormat/>
    <w:rPr>
      <w:rFonts w:cs="Arial"/>
      <w:b/>
      <w:bCs/>
      <w:i w:val="false"/>
      <w:iCs w:val="false"/>
      <w:sz w:val="24"/>
      <w:szCs w:val="24"/>
    </w:rPr>
  </w:style>
  <w:style w:type="character" w:styleId="ListLabel4" w:customStyle="1">
    <w:name w:val="ListLabel 4"/>
    <w:qFormat/>
    <w:rPr>
      <w:b w:val="false"/>
      <w:bCs w:val="false"/>
      <w:i w:val="false"/>
      <w:iCs w:val="false"/>
    </w:rPr>
  </w:style>
  <w:style w:type="character" w:styleId="ListLabel5" w:customStyle="1">
    <w:name w:val="ListLabel 5"/>
    <w:qFormat/>
    <w:rPr>
      <w:b/>
      <w:bCs/>
      <w:i w:val="false"/>
      <w:iCs w:val="false"/>
    </w:rPr>
  </w:style>
  <w:style w:type="character" w:styleId="ListLabel6" w:customStyle="1">
    <w:name w:val="ListLabel 6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 w:customStyle="1">
    <w:name w:val="ListLabel 7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 w:customStyle="1">
    <w:name w:val="ListLabel 8"/>
    <w:qFormat/>
    <w:rPr>
      <w:b/>
      <w:bCs/>
      <w:i w:val="false"/>
      <w:iCs w:val="false"/>
    </w:rPr>
  </w:style>
  <w:style w:type="character" w:styleId="ListLabel9" w:customStyle="1">
    <w:name w:val="ListLabel 9"/>
    <w:qFormat/>
    <w:rPr>
      <w:b w:val="false"/>
      <w:bCs w:val="false"/>
      <w:i w:val="false"/>
      <w:iCs w:val="false"/>
      <w:sz w:val="16"/>
    </w:rPr>
  </w:style>
  <w:style w:type="character" w:styleId="ListLabel10" w:customStyle="1">
    <w:name w:val="ListLabel 10"/>
    <w:qFormat/>
    <w:rPr>
      <w:b w:val="false"/>
      <w:bCs w:val="false"/>
      <w:i w:val="false"/>
      <w:iCs w:val="false"/>
      <w:sz w:val="18"/>
    </w:rPr>
  </w:style>
  <w:style w:type="character" w:styleId="ListLabel11" w:customStyle="1">
    <w:name w:val="ListLabel 11"/>
    <w:qFormat/>
    <w:rPr>
      <w:rFonts w:cs="Symbol"/>
      <w:b/>
      <w:sz w:val="16"/>
    </w:rPr>
  </w:style>
  <w:style w:type="character" w:styleId="ListLabel12" w:customStyle="1">
    <w:name w:val="ListLabel 12"/>
    <w:qFormat/>
    <w:rPr>
      <w:rFonts w:cs="Courier New"/>
    </w:rPr>
  </w:style>
  <w:style w:type="character" w:styleId="ListLabel13" w:customStyle="1">
    <w:name w:val="ListLabel 13"/>
    <w:qFormat/>
    <w:rPr>
      <w:rFonts w:cs="Wingdings"/>
    </w:rPr>
  </w:style>
  <w:style w:type="character" w:styleId="ListLabel14" w:customStyle="1">
    <w:name w:val="ListLabel 14"/>
    <w:qFormat/>
    <w:rPr>
      <w:rFonts w:cs="Symbol"/>
    </w:rPr>
  </w:style>
  <w:style w:type="character" w:styleId="ListLabel15" w:customStyle="1">
    <w:name w:val="ListLabel 15"/>
    <w:qFormat/>
    <w:rPr>
      <w:rFonts w:cs="Courier New"/>
    </w:rPr>
  </w:style>
  <w:style w:type="character" w:styleId="ListLabel16" w:customStyle="1">
    <w:name w:val="ListLabel 16"/>
    <w:qFormat/>
    <w:rPr>
      <w:rFonts w:cs="Wingdings"/>
    </w:rPr>
  </w:style>
  <w:style w:type="character" w:styleId="ListLabel17" w:customStyle="1">
    <w:name w:val="ListLabel 17"/>
    <w:qFormat/>
    <w:rPr>
      <w:rFonts w:cs="Symbol"/>
    </w:rPr>
  </w:style>
  <w:style w:type="character" w:styleId="ListLabel18" w:customStyle="1">
    <w:name w:val="ListLabel 18"/>
    <w:qFormat/>
    <w:rPr>
      <w:rFonts w:cs="Courier New"/>
    </w:rPr>
  </w:style>
  <w:style w:type="character" w:styleId="ListLabel19" w:customStyle="1">
    <w:name w:val="ListLabel 19"/>
    <w:qFormat/>
    <w:rPr>
      <w:rFonts w:cs="Wingdings"/>
    </w:rPr>
  </w:style>
  <w:style w:type="character" w:styleId="ListLabel20" w:customStyle="1">
    <w:name w:val="ListLabel 20"/>
    <w:qFormat/>
    <w:rPr>
      <w:rFonts w:cs="Symbol"/>
      <w:sz w:val="16"/>
    </w:rPr>
  </w:style>
  <w:style w:type="character" w:styleId="ListLabel21" w:customStyle="1">
    <w:name w:val="ListLabel 21"/>
    <w:qFormat/>
    <w:rPr>
      <w:rFonts w:cs="Courier New"/>
    </w:rPr>
  </w:style>
  <w:style w:type="character" w:styleId="ListLabel22" w:customStyle="1">
    <w:name w:val="ListLabel 22"/>
    <w:qFormat/>
    <w:rPr>
      <w:rFonts w:cs="Wingdings"/>
    </w:rPr>
  </w:style>
  <w:style w:type="character" w:styleId="ListLabel23" w:customStyle="1">
    <w:name w:val="ListLabel 23"/>
    <w:qFormat/>
    <w:rPr>
      <w:rFonts w:cs="Symbol"/>
    </w:rPr>
  </w:style>
  <w:style w:type="character" w:styleId="ListLabel24" w:customStyle="1">
    <w:name w:val="ListLabel 24"/>
    <w:qFormat/>
    <w:rPr>
      <w:rFonts w:cs="Courier New"/>
    </w:rPr>
  </w:style>
  <w:style w:type="character" w:styleId="ListLabel25" w:customStyle="1">
    <w:name w:val="ListLabel 25"/>
    <w:qFormat/>
    <w:rPr>
      <w:rFonts w:cs="Wingdings"/>
    </w:rPr>
  </w:style>
  <w:style w:type="character" w:styleId="ListLabel26" w:customStyle="1">
    <w:name w:val="ListLabel 26"/>
    <w:qFormat/>
    <w:rPr>
      <w:rFonts w:cs="Symbol"/>
    </w:rPr>
  </w:style>
  <w:style w:type="character" w:styleId="ListLabel27" w:customStyle="1">
    <w:name w:val="ListLabel 27"/>
    <w:qFormat/>
    <w:rPr>
      <w:rFonts w:cs="Courier New"/>
    </w:rPr>
  </w:style>
  <w:style w:type="character" w:styleId="ListLabel28" w:customStyle="1">
    <w:name w:val="ListLabel 28"/>
    <w:qFormat/>
    <w:rPr>
      <w:rFonts w:cs="Wingdings"/>
    </w:rPr>
  </w:style>
  <w:style w:type="character" w:styleId="ListLabel29" w:customStyle="1">
    <w:name w:val="ListLabel 29"/>
    <w:qFormat/>
    <w:rPr>
      <w:rFonts w:cs="Symbol"/>
      <w:sz w:val="16"/>
    </w:rPr>
  </w:style>
  <w:style w:type="character" w:styleId="ListLabel30" w:customStyle="1">
    <w:name w:val="ListLabel 30"/>
    <w:qFormat/>
    <w:rPr>
      <w:rFonts w:cs="Courier New"/>
    </w:rPr>
  </w:style>
  <w:style w:type="character" w:styleId="ListLabel31" w:customStyle="1">
    <w:name w:val="ListLabel 31"/>
    <w:qFormat/>
    <w:rPr>
      <w:rFonts w:cs="Wingdings"/>
    </w:rPr>
  </w:style>
  <w:style w:type="character" w:styleId="ListLabel32" w:customStyle="1">
    <w:name w:val="ListLabel 32"/>
    <w:qFormat/>
    <w:rPr>
      <w:rFonts w:cs="Symbol"/>
    </w:rPr>
  </w:style>
  <w:style w:type="character" w:styleId="ListLabel33" w:customStyle="1">
    <w:name w:val="ListLabel 33"/>
    <w:qFormat/>
    <w:rPr>
      <w:rFonts w:cs="Courier New"/>
    </w:rPr>
  </w:style>
  <w:style w:type="character" w:styleId="ListLabel34" w:customStyle="1">
    <w:name w:val="ListLabel 34"/>
    <w:qFormat/>
    <w:rPr>
      <w:rFonts w:cs="Wingdings"/>
    </w:rPr>
  </w:style>
  <w:style w:type="character" w:styleId="ListLabel35" w:customStyle="1">
    <w:name w:val="ListLabel 35"/>
    <w:qFormat/>
    <w:rPr>
      <w:rFonts w:cs="Symbol"/>
    </w:rPr>
  </w:style>
  <w:style w:type="character" w:styleId="ListLabel36" w:customStyle="1">
    <w:name w:val="ListLabel 36"/>
    <w:qFormat/>
    <w:rPr>
      <w:rFonts w:cs="Courier New"/>
    </w:rPr>
  </w:style>
  <w:style w:type="character" w:styleId="ListLabel37" w:customStyle="1">
    <w:name w:val="ListLabel 37"/>
    <w:qFormat/>
    <w:rPr>
      <w:rFonts w:cs="Wingdings"/>
    </w:rPr>
  </w:style>
  <w:style w:type="character" w:styleId="ListLabel38" w:customStyle="1">
    <w:name w:val="ListLabel 38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39" w:customStyle="1">
    <w:name w:val="ListLabel 39"/>
    <w:qFormat/>
    <w:rPr>
      <w:rFonts w:cs="Arial"/>
      <w:b/>
      <w:bCs/>
      <w:i w:val="false"/>
      <w:iCs w:val="false"/>
      <w:sz w:val="24"/>
      <w:szCs w:val="24"/>
    </w:rPr>
  </w:style>
  <w:style w:type="character" w:styleId="ListLabel40" w:customStyle="1">
    <w:name w:val="ListLabel 40"/>
    <w:qFormat/>
    <w:rPr>
      <w:b/>
      <w:bCs/>
      <w:i w:val="false"/>
      <w:iCs w:val="false"/>
    </w:rPr>
  </w:style>
  <w:style w:type="character" w:styleId="ListLabel41" w:customStyle="1">
    <w:name w:val="ListLabel 41"/>
    <w:qFormat/>
    <w:rPr>
      <w:b w:val="false"/>
      <w:bCs w:val="false"/>
      <w:i w:val="false"/>
      <w:iCs w:val="false"/>
      <w:sz w:val="16"/>
    </w:rPr>
  </w:style>
  <w:style w:type="character" w:styleId="ListLabel42" w:customStyle="1">
    <w:name w:val="ListLabel 42"/>
    <w:qFormat/>
    <w:rPr>
      <w:b w:val="false"/>
      <w:bCs w:val="false"/>
      <w:i w:val="false"/>
      <w:iCs w:val="false"/>
      <w:sz w:val="18"/>
    </w:rPr>
  </w:style>
  <w:style w:type="character" w:styleId="ListLabel43" w:customStyle="1">
    <w:name w:val="ListLabel 43"/>
    <w:qFormat/>
    <w:rPr>
      <w:rFonts w:cs="Symbol"/>
      <w:b/>
      <w:sz w:val="16"/>
    </w:rPr>
  </w:style>
  <w:style w:type="character" w:styleId="ListLabel44" w:customStyle="1">
    <w:name w:val="ListLabel 44"/>
    <w:qFormat/>
    <w:rPr>
      <w:rFonts w:cs="Courier New"/>
    </w:rPr>
  </w:style>
  <w:style w:type="character" w:styleId="ListLabel45" w:customStyle="1">
    <w:name w:val="ListLabel 45"/>
    <w:qFormat/>
    <w:rPr>
      <w:rFonts w:cs="Wingdings"/>
    </w:rPr>
  </w:style>
  <w:style w:type="character" w:styleId="ListLabel46" w:customStyle="1">
    <w:name w:val="ListLabel 46"/>
    <w:qFormat/>
    <w:rPr>
      <w:rFonts w:cs="Symbol"/>
    </w:rPr>
  </w:style>
  <w:style w:type="character" w:styleId="ListLabel47" w:customStyle="1">
    <w:name w:val="ListLabel 47"/>
    <w:qFormat/>
    <w:rPr>
      <w:rFonts w:cs="Courier New"/>
    </w:rPr>
  </w:style>
  <w:style w:type="character" w:styleId="ListLabel48" w:customStyle="1">
    <w:name w:val="ListLabel 48"/>
    <w:qFormat/>
    <w:rPr>
      <w:rFonts w:cs="Wingdings"/>
    </w:rPr>
  </w:style>
  <w:style w:type="character" w:styleId="ListLabel49" w:customStyle="1">
    <w:name w:val="ListLabel 49"/>
    <w:qFormat/>
    <w:rPr>
      <w:rFonts w:cs="Symbol"/>
    </w:rPr>
  </w:style>
  <w:style w:type="character" w:styleId="ListLabel50" w:customStyle="1">
    <w:name w:val="ListLabel 50"/>
    <w:qFormat/>
    <w:rPr>
      <w:rFonts w:cs="Courier New"/>
    </w:rPr>
  </w:style>
  <w:style w:type="character" w:styleId="ListLabel51" w:customStyle="1">
    <w:name w:val="ListLabel 51"/>
    <w:qFormat/>
    <w:rPr>
      <w:rFonts w:cs="Wingdings"/>
    </w:rPr>
  </w:style>
  <w:style w:type="character" w:styleId="ListLabel52" w:customStyle="1">
    <w:name w:val="ListLabel 52"/>
    <w:qFormat/>
    <w:rPr>
      <w:rFonts w:cs="Symbol"/>
      <w:sz w:val="16"/>
    </w:rPr>
  </w:style>
  <w:style w:type="character" w:styleId="ListLabel53" w:customStyle="1">
    <w:name w:val="ListLabel 53"/>
    <w:qFormat/>
    <w:rPr>
      <w:rFonts w:cs="Courier New"/>
    </w:rPr>
  </w:style>
  <w:style w:type="character" w:styleId="ListLabel54" w:customStyle="1">
    <w:name w:val="ListLabel 54"/>
    <w:qFormat/>
    <w:rPr>
      <w:rFonts w:cs="Wingdings"/>
    </w:rPr>
  </w:style>
  <w:style w:type="character" w:styleId="ListLabel55" w:customStyle="1">
    <w:name w:val="ListLabel 55"/>
    <w:qFormat/>
    <w:rPr>
      <w:rFonts w:cs="Symbol"/>
    </w:rPr>
  </w:style>
  <w:style w:type="character" w:styleId="ListLabel56" w:customStyle="1">
    <w:name w:val="ListLabel 56"/>
    <w:qFormat/>
    <w:rPr>
      <w:rFonts w:cs="Courier New"/>
    </w:rPr>
  </w:style>
  <w:style w:type="character" w:styleId="ListLabel57" w:customStyle="1">
    <w:name w:val="ListLabel 57"/>
    <w:qFormat/>
    <w:rPr>
      <w:rFonts w:cs="Wingdings"/>
    </w:rPr>
  </w:style>
  <w:style w:type="character" w:styleId="ListLabel58" w:customStyle="1">
    <w:name w:val="ListLabel 58"/>
    <w:qFormat/>
    <w:rPr>
      <w:rFonts w:cs="Symbol"/>
    </w:rPr>
  </w:style>
  <w:style w:type="character" w:styleId="ListLabel59" w:customStyle="1">
    <w:name w:val="ListLabel 59"/>
    <w:qFormat/>
    <w:rPr>
      <w:rFonts w:cs="Courier New"/>
    </w:rPr>
  </w:style>
  <w:style w:type="character" w:styleId="ListLabel60" w:customStyle="1">
    <w:name w:val="ListLabel 60"/>
    <w:qFormat/>
    <w:rPr>
      <w:rFonts w:cs="Wingdings"/>
    </w:rPr>
  </w:style>
  <w:style w:type="character" w:styleId="ListLabel61" w:customStyle="1">
    <w:name w:val="ListLabel 61"/>
    <w:qFormat/>
    <w:rPr>
      <w:rFonts w:cs="Symbol"/>
      <w:sz w:val="16"/>
    </w:rPr>
  </w:style>
  <w:style w:type="character" w:styleId="ListLabel62" w:customStyle="1">
    <w:name w:val="ListLabel 62"/>
    <w:qFormat/>
    <w:rPr>
      <w:rFonts w:cs="Courier New"/>
    </w:rPr>
  </w:style>
  <w:style w:type="character" w:styleId="ListLabel63" w:customStyle="1">
    <w:name w:val="ListLabel 63"/>
    <w:qFormat/>
    <w:rPr>
      <w:rFonts w:cs="Wingdings"/>
    </w:rPr>
  </w:style>
  <w:style w:type="character" w:styleId="ListLabel64" w:customStyle="1">
    <w:name w:val="ListLabel 64"/>
    <w:qFormat/>
    <w:rPr>
      <w:rFonts w:cs="Symbol"/>
    </w:rPr>
  </w:style>
  <w:style w:type="character" w:styleId="ListLabel65" w:customStyle="1">
    <w:name w:val="ListLabel 65"/>
    <w:qFormat/>
    <w:rPr>
      <w:rFonts w:cs="Courier New"/>
    </w:rPr>
  </w:style>
  <w:style w:type="character" w:styleId="ListLabel66" w:customStyle="1">
    <w:name w:val="ListLabel 66"/>
    <w:qFormat/>
    <w:rPr>
      <w:rFonts w:cs="Wingdings"/>
    </w:rPr>
  </w:style>
  <w:style w:type="character" w:styleId="ListLabel67" w:customStyle="1">
    <w:name w:val="ListLabel 67"/>
    <w:qFormat/>
    <w:rPr>
      <w:rFonts w:cs="Symbol"/>
    </w:rPr>
  </w:style>
  <w:style w:type="character" w:styleId="ListLabel68" w:customStyle="1">
    <w:name w:val="ListLabel 68"/>
    <w:qFormat/>
    <w:rPr>
      <w:rFonts w:cs="Courier New"/>
    </w:rPr>
  </w:style>
  <w:style w:type="character" w:styleId="ListLabel69" w:customStyle="1">
    <w:name w:val="ListLabel 69"/>
    <w:qFormat/>
    <w:rPr>
      <w:rFonts w:cs="Wingdings"/>
    </w:rPr>
  </w:style>
  <w:style w:type="character" w:styleId="ListLabel70" w:customStyle="1">
    <w:name w:val="ListLabel 70"/>
    <w:qFormat/>
    <w:rPr>
      <w:rFonts w:cs="Arial"/>
      <w:b/>
      <w:bCs/>
      <w:i w:val="false"/>
      <w:iCs w:val="false"/>
      <w:sz w:val="24"/>
      <w:szCs w:val="24"/>
    </w:rPr>
  </w:style>
  <w:style w:type="character" w:styleId="ListLabel71" w:customStyle="1">
    <w:name w:val="ListLabel 71"/>
    <w:qFormat/>
    <w:rPr>
      <w:b/>
      <w:bCs/>
      <w:i w:val="false"/>
      <w:iCs w:val="false"/>
    </w:rPr>
  </w:style>
  <w:style w:type="character" w:styleId="ListLabel72" w:customStyle="1">
    <w:name w:val="ListLabel 72"/>
    <w:qFormat/>
    <w:rPr>
      <w:b w:val="false"/>
      <w:bCs w:val="false"/>
      <w:i w:val="false"/>
      <w:iCs w:val="false"/>
      <w:sz w:val="16"/>
    </w:rPr>
  </w:style>
  <w:style w:type="character" w:styleId="ListLabel73" w:customStyle="1">
    <w:name w:val="ListLabel 73"/>
    <w:qFormat/>
    <w:rPr>
      <w:b w:val="false"/>
      <w:bCs w:val="false"/>
      <w:i w:val="false"/>
      <w:iCs w:val="false"/>
      <w:sz w:val="18"/>
    </w:rPr>
  </w:style>
  <w:style w:type="character" w:styleId="ListLabel74" w:customStyle="1">
    <w:name w:val="ListLabel 74"/>
    <w:qFormat/>
    <w:rPr>
      <w:rFonts w:cs="Symbol"/>
      <w:b/>
      <w:sz w:val="16"/>
    </w:rPr>
  </w:style>
  <w:style w:type="character" w:styleId="ListLabel75" w:customStyle="1">
    <w:name w:val="ListLabel 75"/>
    <w:qFormat/>
    <w:rPr>
      <w:rFonts w:cs="Courier New"/>
    </w:rPr>
  </w:style>
  <w:style w:type="character" w:styleId="ListLabel76" w:customStyle="1">
    <w:name w:val="ListLabel 76"/>
    <w:qFormat/>
    <w:rPr>
      <w:rFonts w:cs="Wingdings"/>
    </w:rPr>
  </w:style>
  <w:style w:type="character" w:styleId="ListLabel77" w:customStyle="1">
    <w:name w:val="ListLabel 77"/>
    <w:qFormat/>
    <w:rPr>
      <w:rFonts w:cs="Symbol"/>
    </w:rPr>
  </w:style>
  <w:style w:type="character" w:styleId="ListLabel78" w:customStyle="1">
    <w:name w:val="ListLabel 78"/>
    <w:qFormat/>
    <w:rPr>
      <w:rFonts w:cs="Courier New"/>
    </w:rPr>
  </w:style>
  <w:style w:type="character" w:styleId="ListLabel79" w:customStyle="1">
    <w:name w:val="ListLabel 79"/>
    <w:qFormat/>
    <w:rPr>
      <w:rFonts w:cs="Wingdings"/>
    </w:rPr>
  </w:style>
  <w:style w:type="character" w:styleId="ListLabel80" w:customStyle="1">
    <w:name w:val="ListLabel 80"/>
    <w:qFormat/>
    <w:rPr>
      <w:rFonts w:cs="Symbol"/>
    </w:rPr>
  </w:style>
  <w:style w:type="character" w:styleId="ListLabel81" w:customStyle="1">
    <w:name w:val="ListLabel 81"/>
    <w:qFormat/>
    <w:rPr>
      <w:rFonts w:cs="Courier New"/>
    </w:rPr>
  </w:style>
  <w:style w:type="character" w:styleId="ListLabel82" w:customStyle="1">
    <w:name w:val="ListLabel 82"/>
    <w:qFormat/>
    <w:rPr>
      <w:rFonts w:cs="Wingdings"/>
    </w:rPr>
  </w:style>
  <w:style w:type="character" w:styleId="ListLabel83" w:customStyle="1">
    <w:name w:val="ListLabel 83"/>
    <w:qFormat/>
    <w:rPr>
      <w:rFonts w:cs="Symbol"/>
      <w:sz w:val="16"/>
    </w:rPr>
  </w:style>
  <w:style w:type="character" w:styleId="ListLabel84" w:customStyle="1">
    <w:name w:val="ListLabel 84"/>
    <w:qFormat/>
    <w:rPr>
      <w:rFonts w:cs="Courier New"/>
    </w:rPr>
  </w:style>
  <w:style w:type="character" w:styleId="ListLabel85" w:customStyle="1">
    <w:name w:val="ListLabel 85"/>
    <w:qFormat/>
    <w:rPr>
      <w:rFonts w:cs="Wingdings"/>
    </w:rPr>
  </w:style>
  <w:style w:type="character" w:styleId="ListLabel86" w:customStyle="1">
    <w:name w:val="ListLabel 86"/>
    <w:qFormat/>
    <w:rPr>
      <w:rFonts w:cs="Symbol"/>
    </w:rPr>
  </w:style>
  <w:style w:type="character" w:styleId="ListLabel87" w:customStyle="1">
    <w:name w:val="ListLabel 87"/>
    <w:qFormat/>
    <w:rPr>
      <w:rFonts w:cs="Courier New"/>
    </w:rPr>
  </w:style>
  <w:style w:type="character" w:styleId="ListLabel88" w:customStyle="1">
    <w:name w:val="ListLabel 88"/>
    <w:qFormat/>
    <w:rPr>
      <w:rFonts w:cs="Wingdings"/>
    </w:rPr>
  </w:style>
  <w:style w:type="character" w:styleId="ListLabel89" w:customStyle="1">
    <w:name w:val="ListLabel 89"/>
    <w:qFormat/>
    <w:rPr>
      <w:rFonts w:cs="Symbol"/>
    </w:rPr>
  </w:style>
  <w:style w:type="character" w:styleId="ListLabel90" w:customStyle="1">
    <w:name w:val="ListLabel 90"/>
    <w:qFormat/>
    <w:rPr>
      <w:rFonts w:cs="Courier New"/>
    </w:rPr>
  </w:style>
  <w:style w:type="character" w:styleId="ListLabel91" w:customStyle="1">
    <w:name w:val="ListLabel 91"/>
    <w:qFormat/>
    <w:rPr>
      <w:rFonts w:cs="Wingdings"/>
    </w:rPr>
  </w:style>
  <w:style w:type="character" w:styleId="ListLabel92" w:customStyle="1">
    <w:name w:val="ListLabel 92"/>
    <w:qFormat/>
    <w:rPr>
      <w:rFonts w:cs="Symbol"/>
      <w:sz w:val="16"/>
    </w:rPr>
  </w:style>
  <w:style w:type="character" w:styleId="ListLabel93" w:customStyle="1">
    <w:name w:val="ListLabel 93"/>
    <w:qFormat/>
    <w:rPr>
      <w:rFonts w:cs="Courier New"/>
    </w:rPr>
  </w:style>
  <w:style w:type="character" w:styleId="ListLabel94" w:customStyle="1">
    <w:name w:val="ListLabel 94"/>
    <w:qFormat/>
    <w:rPr>
      <w:rFonts w:cs="Wingdings"/>
    </w:rPr>
  </w:style>
  <w:style w:type="character" w:styleId="ListLabel95" w:customStyle="1">
    <w:name w:val="ListLabel 95"/>
    <w:qFormat/>
    <w:rPr>
      <w:rFonts w:cs="Symbol"/>
    </w:rPr>
  </w:style>
  <w:style w:type="character" w:styleId="ListLabel96" w:customStyle="1">
    <w:name w:val="ListLabel 96"/>
    <w:qFormat/>
    <w:rPr>
      <w:rFonts w:cs="Courier New"/>
    </w:rPr>
  </w:style>
  <w:style w:type="character" w:styleId="ListLabel97" w:customStyle="1">
    <w:name w:val="ListLabel 97"/>
    <w:qFormat/>
    <w:rPr>
      <w:rFonts w:cs="Wingdings"/>
    </w:rPr>
  </w:style>
  <w:style w:type="character" w:styleId="ListLabel98" w:customStyle="1">
    <w:name w:val="ListLabel 98"/>
    <w:qFormat/>
    <w:rPr>
      <w:rFonts w:cs="Symbol"/>
    </w:rPr>
  </w:style>
  <w:style w:type="character" w:styleId="ListLabel99" w:customStyle="1">
    <w:name w:val="ListLabel 99"/>
    <w:qFormat/>
    <w:rPr>
      <w:rFonts w:cs="Courier New"/>
    </w:rPr>
  </w:style>
  <w:style w:type="character" w:styleId="ListLabel100" w:customStyle="1">
    <w:name w:val="ListLabel 100"/>
    <w:qFormat/>
    <w:rPr>
      <w:rFonts w:cs="Wingdings"/>
    </w:rPr>
  </w:style>
  <w:style w:type="character" w:styleId="ListLabel101" w:customStyle="1">
    <w:name w:val="ListLabel 101"/>
    <w:qFormat/>
    <w:rPr>
      <w:rFonts w:cs="Arial"/>
      <w:b/>
      <w:bCs/>
      <w:i w:val="false"/>
      <w:iCs w:val="false"/>
      <w:sz w:val="24"/>
      <w:szCs w:val="24"/>
    </w:rPr>
  </w:style>
  <w:style w:type="character" w:styleId="ListLabel102" w:customStyle="1">
    <w:name w:val="ListLabel 102"/>
    <w:qFormat/>
    <w:rPr>
      <w:b/>
      <w:bCs/>
      <w:i w:val="false"/>
      <w:iCs w:val="false"/>
    </w:rPr>
  </w:style>
  <w:style w:type="character" w:styleId="ListLabel103" w:customStyle="1">
    <w:name w:val="ListLabel 103"/>
    <w:qFormat/>
    <w:rPr>
      <w:b w:val="false"/>
      <w:bCs w:val="false"/>
      <w:i w:val="false"/>
      <w:iCs w:val="false"/>
      <w:sz w:val="16"/>
    </w:rPr>
  </w:style>
  <w:style w:type="character" w:styleId="ListLabel104" w:customStyle="1">
    <w:name w:val="ListLabel 104"/>
    <w:qFormat/>
    <w:rPr>
      <w:b w:val="false"/>
      <w:bCs w:val="false"/>
      <w:i w:val="false"/>
      <w:iCs w:val="false"/>
      <w:sz w:val="18"/>
    </w:rPr>
  </w:style>
  <w:style w:type="character" w:styleId="ListLabel105" w:customStyle="1">
    <w:name w:val="ListLabel 105"/>
    <w:qFormat/>
    <w:rPr>
      <w:rFonts w:cs="Symbol"/>
      <w:b/>
      <w:sz w:val="16"/>
    </w:rPr>
  </w:style>
  <w:style w:type="character" w:styleId="ListLabel106" w:customStyle="1">
    <w:name w:val="ListLabel 106"/>
    <w:qFormat/>
    <w:rPr>
      <w:rFonts w:cs="Courier New"/>
    </w:rPr>
  </w:style>
  <w:style w:type="character" w:styleId="ListLabel107" w:customStyle="1">
    <w:name w:val="ListLabel 107"/>
    <w:qFormat/>
    <w:rPr>
      <w:rFonts w:cs="Wingdings"/>
    </w:rPr>
  </w:style>
  <w:style w:type="character" w:styleId="ListLabel108" w:customStyle="1">
    <w:name w:val="ListLabel 108"/>
    <w:qFormat/>
    <w:rPr>
      <w:rFonts w:cs="Symbol"/>
    </w:rPr>
  </w:style>
  <w:style w:type="character" w:styleId="ListLabel109" w:customStyle="1">
    <w:name w:val="ListLabel 109"/>
    <w:qFormat/>
    <w:rPr>
      <w:rFonts w:cs="Courier New"/>
    </w:rPr>
  </w:style>
  <w:style w:type="character" w:styleId="ListLabel110" w:customStyle="1">
    <w:name w:val="ListLabel 110"/>
    <w:qFormat/>
    <w:rPr>
      <w:rFonts w:cs="Wingdings"/>
    </w:rPr>
  </w:style>
  <w:style w:type="character" w:styleId="ListLabel111" w:customStyle="1">
    <w:name w:val="ListLabel 111"/>
    <w:qFormat/>
    <w:rPr>
      <w:rFonts w:cs="Symbol"/>
    </w:rPr>
  </w:style>
  <w:style w:type="character" w:styleId="ListLabel112" w:customStyle="1">
    <w:name w:val="ListLabel 112"/>
    <w:qFormat/>
    <w:rPr>
      <w:rFonts w:cs="Courier New"/>
    </w:rPr>
  </w:style>
  <w:style w:type="character" w:styleId="ListLabel113" w:customStyle="1">
    <w:name w:val="ListLabel 113"/>
    <w:qFormat/>
    <w:rPr>
      <w:rFonts w:cs="Wingdings"/>
    </w:rPr>
  </w:style>
  <w:style w:type="character" w:styleId="ListLabel114" w:customStyle="1">
    <w:name w:val="ListLabel 114"/>
    <w:qFormat/>
    <w:rPr>
      <w:rFonts w:cs="Symbol"/>
      <w:sz w:val="16"/>
    </w:rPr>
  </w:style>
  <w:style w:type="character" w:styleId="ListLabel115" w:customStyle="1">
    <w:name w:val="ListLabel 115"/>
    <w:qFormat/>
    <w:rPr>
      <w:rFonts w:cs="Courier New"/>
    </w:rPr>
  </w:style>
  <w:style w:type="character" w:styleId="ListLabel116" w:customStyle="1">
    <w:name w:val="ListLabel 116"/>
    <w:qFormat/>
    <w:rPr>
      <w:rFonts w:cs="Wingdings"/>
    </w:rPr>
  </w:style>
  <w:style w:type="character" w:styleId="ListLabel117" w:customStyle="1">
    <w:name w:val="ListLabel 117"/>
    <w:qFormat/>
    <w:rPr>
      <w:rFonts w:cs="Symbol"/>
    </w:rPr>
  </w:style>
  <w:style w:type="character" w:styleId="ListLabel118" w:customStyle="1">
    <w:name w:val="ListLabel 118"/>
    <w:qFormat/>
    <w:rPr>
      <w:rFonts w:cs="Courier New"/>
    </w:rPr>
  </w:style>
  <w:style w:type="character" w:styleId="ListLabel119" w:customStyle="1">
    <w:name w:val="ListLabel 119"/>
    <w:qFormat/>
    <w:rPr>
      <w:rFonts w:cs="Wingdings"/>
    </w:rPr>
  </w:style>
  <w:style w:type="character" w:styleId="ListLabel120" w:customStyle="1">
    <w:name w:val="ListLabel 120"/>
    <w:qFormat/>
    <w:rPr>
      <w:rFonts w:cs="Symbol"/>
    </w:rPr>
  </w:style>
  <w:style w:type="character" w:styleId="ListLabel121" w:customStyle="1">
    <w:name w:val="ListLabel 121"/>
    <w:qFormat/>
    <w:rPr>
      <w:rFonts w:cs="Courier New"/>
    </w:rPr>
  </w:style>
  <w:style w:type="character" w:styleId="ListLabel122" w:customStyle="1">
    <w:name w:val="ListLabel 122"/>
    <w:qFormat/>
    <w:rPr>
      <w:rFonts w:cs="Wingdings"/>
    </w:rPr>
  </w:style>
  <w:style w:type="character" w:styleId="ListLabel123" w:customStyle="1">
    <w:name w:val="ListLabel 123"/>
    <w:qFormat/>
    <w:rPr>
      <w:rFonts w:cs="Symbol"/>
      <w:sz w:val="16"/>
    </w:rPr>
  </w:style>
  <w:style w:type="character" w:styleId="ListLabel124" w:customStyle="1">
    <w:name w:val="ListLabel 124"/>
    <w:qFormat/>
    <w:rPr>
      <w:rFonts w:cs="Courier New"/>
    </w:rPr>
  </w:style>
  <w:style w:type="character" w:styleId="ListLabel125" w:customStyle="1">
    <w:name w:val="ListLabel 125"/>
    <w:qFormat/>
    <w:rPr>
      <w:rFonts w:cs="Wingdings"/>
    </w:rPr>
  </w:style>
  <w:style w:type="character" w:styleId="ListLabel126" w:customStyle="1">
    <w:name w:val="ListLabel 126"/>
    <w:qFormat/>
    <w:rPr>
      <w:rFonts w:cs="Symbol"/>
    </w:rPr>
  </w:style>
  <w:style w:type="character" w:styleId="ListLabel127" w:customStyle="1">
    <w:name w:val="ListLabel 127"/>
    <w:qFormat/>
    <w:rPr>
      <w:rFonts w:cs="Courier New"/>
    </w:rPr>
  </w:style>
  <w:style w:type="character" w:styleId="ListLabel128" w:customStyle="1">
    <w:name w:val="ListLabel 128"/>
    <w:qFormat/>
    <w:rPr>
      <w:rFonts w:cs="Wingdings"/>
    </w:rPr>
  </w:style>
  <w:style w:type="character" w:styleId="ListLabel129" w:customStyle="1">
    <w:name w:val="ListLabel 129"/>
    <w:qFormat/>
    <w:rPr>
      <w:rFonts w:cs="Symbol"/>
    </w:rPr>
  </w:style>
  <w:style w:type="character" w:styleId="ListLabel130" w:customStyle="1">
    <w:name w:val="ListLabel 130"/>
    <w:qFormat/>
    <w:rPr>
      <w:rFonts w:cs="Courier New"/>
    </w:rPr>
  </w:style>
  <w:style w:type="character" w:styleId="ListLabel131" w:customStyle="1">
    <w:name w:val="ListLabel 131"/>
    <w:qFormat/>
    <w:rPr>
      <w:rFonts w:cs="Wingdings"/>
    </w:rPr>
  </w:style>
  <w:style w:type="character" w:styleId="ListLabel132" w:customStyle="1">
    <w:name w:val="ListLabel 132"/>
    <w:qFormat/>
    <w:rPr>
      <w:rFonts w:cs="Arial"/>
      <w:b/>
      <w:bCs/>
      <w:i w:val="false"/>
      <w:iCs w:val="false"/>
      <w:sz w:val="24"/>
      <w:szCs w:val="24"/>
    </w:rPr>
  </w:style>
  <w:style w:type="character" w:styleId="ListLabel133" w:customStyle="1">
    <w:name w:val="ListLabel 133"/>
    <w:qFormat/>
    <w:rPr>
      <w:b/>
      <w:bCs/>
      <w:i w:val="false"/>
      <w:iCs w:val="false"/>
    </w:rPr>
  </w:style>
  <w:style w:type="character" w:styleId="ListLabel134" w:customStyle="1">
    <w:name w:val="ListLabel 134"/>
    <w:qFormat/>
    <w:rPr>
      <w:b w:val="false"/>
      <w:bCs w:val="false"/>
      <w:i w:val="false"/>
      <w:iCs w:val="false"/>
      <w:sz w:val="16"/>
    </w:rPr>
  </w:style>
  <w:style w:type="character" w:styleId="ListLabel135" w:customStyle="1">
    <w:name w:val="ListLabel 135"/>
    <w:qFormat/>
    <w:rPr>
      <w:b w:val="false"/>
      <w:bCs w:val="false"/>
      <w:i w:val="false"/>
      <w:iCs w:val="false"/>
      <w:sz w:val="18"/>
    </w:rPr>
  </w:style>
  <w:style w:type="character" w:styleId="ListLabel136" w:customStyle="1">
    <w:name w:val="ListLabel 136"/>
    <w:qFormat/>
    <w:rPr>
      <w:rFonts w:cs="Symbol"/>
      <w:b/>
      <w:sz w:val="16"/>
    </w:rPr>
  </w:style>
  <w:style w:type="character" w:styleId="ListLabel137" w:customStyle="1">
    <w:name w:val="ListLabel 137"/>
    <w:qFormat/>
    <w:rPr>
      <w:rFonts w:cs="Courier New"/>
    </w:rPr>
  </w:style>
  <w:style w:type="character" w:styleId="ListLabel138" w:customStyle="1">
    <w:name w:val="ListLabel 138"/>
    <w:qFormat/>
    <w:rPr>
      <w:rFonts w:cs="Wingdings"/>
    </w:rPr>
  </w:style>
  <w:style w:type="character" w:styleId="ListLabel139" w:customStyle="1">
    <w:name w:val="ListLabel 139"/>
    <w:qFormat/>
    <w:rPr>
      <w:rFonts w:cs="Symbol"/>
    </w:rPr>
  </w:style>
  <w:style w:type="character" w:styleId="ListLabel140" w:customStyle="1">
    <w:name w:val="ListLabel 140"/>
    <w:qFormat/>
    <w:rPr>
      <w:rFonts w:cs="Courier New"/>
    </w:rPr>
  </w:style>
  <w:style w:type="character" w:styleId="ListLabel141" w:customStyle="1">
    <w:name w:val="ListLabel 141"/>
    <w:qFormat/>
    <w:rPr>
      <w:rFonts w:cs="Wingdings"/>
    </w:rPr>
  </w:style>
  <w:style w:type="character" w:styleId="ListLabel142" w:customStyle="1">
    <w:name w:val="ListLabel 142"/>
    <w:qFormat/>
    <w:rPr>
      <w:rFonts w:cs="Symbol"/>
    </w:rPr>
  </w:style>
  <w:style w:type="character" w:styleId="ListLabel143" w:customStyle="1">
    <w:name w:val="ListLabel 143"/>
    <w:qFormat/>
    <w:rPr>
      <w:rFonts w:cs="Courier New"/>
    </w:rPr>
  </w:style>
  <w:style w:type="character" w:styleId="ListLabel144" w:customStyle="1">
    <w:name w:val="ListLabel 144"/>
    <w:qFormat/>
    <w:rPr>
      <w:rFonts w:cs="Wingdings"/>
    </w:rPr>
  </w:style>
  <w:style w:type="character" w:styleId="ListLabel145" w:customStyle="1">
    <w:name w:val="ListLabel 145"/>
    <w:qFormat/>
    <w:rPr>
      <w:rFonts w:cs="Symbol"/>
      <w:sz w:val="16"/>
    </w:rPr>
  </w:style>
  <w:style w:type="character" w:styleId="ListLabel146" w:customStyle="1">
    <w:name w:val="ListLabel 146"/>
    <w:qFormat/>
    <w:rPr>
      <w:rFonts w:cs="Courier New"/>
    </w:rPr>
  </w:style>
  <w:style w:type="character" w:styleId="ListLabel147" w:customStyle="1">
    <w:name w:val="ListLabel 147"/>
    <w:qFormat/>
    <w:rPr>
      <w:rFonts w:cs="Wingdings"/>
    </w:rPr>
  </w:style>
  <w:style w:type="character" w:styleId="ListLabel148" w:customStyle="1">
    <w:name w:val="ListLabel 148"/>
    <w:qFormat/>
    <w:rPr>
      <w:rFonts w:cs="Symbol"/>
    </w:rPr>
  </w:style>
  <w:style w:type="character" w:styleId="ListLabel149" w:customStyle="1">
    <w:name w:val="ListLabel 149"/>
    <w:qFormat/>
    <w:rPr>
      <w:rFonts w:cs="Courier New"/>
    </w:rPr>
  </w:style>
  <w:style w:type="character" w:styleId="ListLabel150" w:customStyle="1">
    <w:name w:val="ListLabel 150"/>
    <w:qFormat/>
    <w:rPr>
      <w:rFonts w:cs="Wingdings"/>
    </w:rPr>
  </w:style>
  <w:style w:type="character" w:styleId="ListLabel151" w:customStyle="1">
    <w:name w:val="ListLabel 151"/>
    <w:qFormat/>
    <w:rPr>
      <w:rFonts w:cs="Symbol"/>
    </w:rPr>
  </w:style>
  <w:style w:type="character" w:styleId="ListLabel152" w:customStyle="1">
    <w:name w:val="ListLabel 152"/>
    <w:qFormat/>
    <w:rPr>
      <w:rFonts w:cs="Courier New"/>
    </w:rPr>
  </w:style>
  <w:style w:type="character" w:styleId="ListLabel153" w:customStyle="1">
    <w:name w:val="ListLabel 153"/>
    <w:qFormat/>
    <w:rPr>
      <w:rFonts w:cs="Wingdings"/>
    </w:rPr>
  </w:style>
  <w:style w:type="character" w:styleId="ListLabel154" w:customStyle="1">
    <w:name w:val="ListLabel 154"/>
    <w:qFormat/>
    <w:rPr>
      <w:rFonts w:cs="Symbol"/>
      <w:sz w:val="16"/>
    </w:rPr>
  </w:style>
  <w:style w:type="character" w:styleId="ListLabel155" w:customStyle="1">
    <w:name w:val="ListLabel 155"/>
    <w:qFormat/>
    <w:rPr>
      <w:rFonts w:cs="Courier New"/>
    </w:rPr>
  </w:style>
  <w:style w:type="character" w:styleId="ListLabel156" w:customStyle="1">
    <w:name w:val="ListLabel 156"/>
    <w:qFormat/>
    <w:rPr>
      <w:rFonts w:cs="Wingdings"/>
    </w:rPr>
  </w:style>
  <w:style w:type="character" w:styleId="ListLabel157" w:customStyle="1">
    <w:name w:val="ListLabel 157"/>
    <w:qFormat/>
    <w:rPr>
      <w:rFonts w:cs="Symbol"/>
    </w:rPr>
  </w:style>
  <w:style w:type="character" w:styleId="ListLabel158" w:customStyle="1">
    <w:name w:val="ListLabel 158"/>
    <w:qFormat/>
    <w:rPr>
      <w:rFonts w:cs="Courier New"/>
    </w:rPr>
  </w:style>
  <w:style w:type="character" w:styleId="ListLabel159" w:customStyle="1">
    <w:name w:val="ListLabel 159"/>
    <w:qFormat/>
    <w:rPr>
      <w:rFonts w:cs="Wingdings"/>
    </w:rPr>
  </w:style>
  <w:style w:type="character" w:styleId="ListLabel160" w:customStyle="1">
    <w:name w:val="ListLabel 160"/>
    <w:qFormat/>
    <w:rPr>
      <w:rFonts w:cs="Symbol"/>
    </w:rPr>
  </w:style>
  <w:style w:type="character" w:styleId="ListLabel161" w:customStyle="1">
    <w:name w:val="ListLabel 161"/>
    <w:qFormat/>
    <w:rPr>
      <w:rFonts w:cs="Courier New"/>
    </w:rPr>
  </w:style>
  <w:style w:type="character" w:styleId="ListLabel162" w:customStyle="1">
    <w:name w:val="ListLabel 162"/>
    <w:qFormat/>
    <w:rPr>
      <w:rFonts w:cs="Wingdings"/>
    </w:rPr>
  </w:style>
  <w:style w:type="character" w:styleId="ListLabel163" w:customStyle="1">
    <w:name w:val="ListLabel 163"/>
    <w:qFormat/>
    <w:rPr>
      <w:rFonts w:cs="Arial"/>
      <w:b/>
      <w:bCs/>
      <w:i w:val="false"/>
      <w:iCs w:val="false"/>
      <w:sz w:val="24"/>
      <w:szCs w:val="24"/>
    </w:rPr>
  </w:style>
  <w:style w:type="character" w:styleId="ListLabel164" w:customStyle="1">
    <w:name w:val="ListLabel 164"/>
    <w:qFormat/>
    <w:rPr>
      <w:b/>
      <w:bCs/>
      <w:i w:val="false"/>
      <w:iCs w:val="false"/>
    </w:rPr>
  </w:style>
  <w:style w:type="character" w:styleId="ListLabel165" w:customStyle="1">
    <w:name w:val="ListLabel 165"/>
    <w:qFormat/>
    <w:rPr>
      <w:b w:val="false"/>
      <w:bCs w:val="false"/>
      <w:i w:val="false"/>
      <w:iCs w:val="false"/>
      <w:sz w:val="16"/>
    </w:rPr>
  </w:style>
  <w:style w:type="character" w:styleId="ListLabel166" w:customStyle="1">
    <w:name w:val="ListLabel 166"/>
    <w:qFormat/>
    <w:rPr>
      <w:b w:val="false"/>
      <w:bCs w:val="false"/>
      <w:i w:val="false"/>
      <w:iCs w:val="false"/>
      <w:sz w:val="18"/>
    </w:rPr>
  </w:style>
  <w:style w:type="character" w:styleId="ListLabel167" w:customStyle="1">
    <w:name w:val="ListLabel 167"/>
    <w:qFormat/>
    <w:rPr>
      <w:rFonts w:cs="Symbol"/>
      <w:b/>
      <w:sz w:val="16"/>
    </w:rPr>
  </w:style>
  <w:style w:type="character" w:styleId="ListLabel168" w:customStyle="1">
    <w:name w:val="ListLabel 168"/>
    <w:qFormat/>
    <w:rPr>
      <w:rFonts w:cs="Courier New"/>
    </w:rPr>
  </w:style>
  <w:style w:type="character" w:styleId="ListLabel169" w:customStyle="1">
    <w:name w:val="ListLabel 169"/>
    <w:qFormat/>
    <w:rPr>
      <w:rFonts w:cs="Wingdings"/>
    </w:rPr>
  </w:style>
  <w:style w:type="character" w:styleId="ListLabel170" w:customStyle="1">
    <w:name w:val="ListLabel 170"/>
    <w:qFormat/>
    <w:rPr>
      <w:rFonts w:cs="Symbol"/>
    </w:rPr>
  </w:style>
  <w:style w:type="character" w:styleId="ListLabel171" w:customStyle="1">
    <w:name w:val="ListLabel 171"/>
    <w:qFormat/>
    <w:rPr>
      <w:rFonts w:cs="Courier New"/>
    </w:rPr>
  </w:style>
  <w:style w:type="character" w:styleId="ListLabel172" w:customStyle="1">
    <w:name w:val="ListLabel 172"/>
    <w:qFormat/>
    <w:rPr>
      <w:rFonts w:cs="Wingdings"/>
    </w:rPr>
  </w:style>
  <w:style w:type="character" w:styleId="ListLabel173" w:customStyle="1">
    <w:name w:val="ListLabel 173"/>
    <w:qFormat/>
    <w:rPr>
      <w:rFonts w:cs="Symbol"/>
    </w:rPr>
  </w:style>
  <w:style w:type="character" w:styleId="ListLabel174" w:customStyle="1">
    <w:name w:val="ListLabel 174"/>
    <w:qFormat/>
    <w:rPr>
      <w:rFonts w:cs="Courier New"/>
    </w:rPr>
  </w:style>
  <w:style w:type="character" w:styleId="ListLabel175" w:customStyle="1">
    <w:name w:val="ListLabel 175"/>
    <w:qFormat/>
    <w:rPr>
      <w:rFonts w:cs="Wingdings"/>
    </w:rPr>
  </w:style>
  <w:style w:type="character" w:styleId="ListLabel176" w:customStyle="1">
    <w:name w:val="ListLabel 176"/>
    <w:qFormat/>
    <w:rPr>
      <w:rFonts w:cs="Symbol"/>
      <w:sz w:val="16"/>
    </w:rPr>
  </w:style>
  <w:style w:type="character" w:styleId="ListLabel177" w:customStyle="1">
    <w:name w:val="ListLabel 177"/>
    <w:qFormat/>
    <w:rPr>
      <w:rFonts w:cs="Courier New"/>
    </w:rPr>
  </w:style>
  <w:style w:type="character" w:styleId="ListLabel178" w:customStyle="1">
    <w:name w:val="ListLabel 178"/>
    <w:qFormat/>
    <w:rPr>
      <w:rFonts w:cs="Wingdings"/>
    </w:rPr>
  </w:style>
  <w:style w:type="character" w:styleId="ListLabel179" w:customStyle="1">
    <w:name w:val="ListLabel 179"/>
    <w:qFormat/>
    <w:rPr>
      <w:rFonts w:cs="Symbol"/>
    </w:rPr>
  </w:style>
  <w:style w:type="character" w:styleId="ListLabel180" w:customStyle="1">
    <w:name w:val="ListLabel 180"/>
    <w:qFormat/>
    <w:rPr>
      <w:rFonts w:cs="Courier New"/>
    </w:rPr>
  </w:style>
  <w:style w:type="character" w:styleId="ListLabel181" w:customStyle="1">
    <w:name w:val="ListLabel 181"/>
    <w:qFormat/>
    <w:rPr>
      <w:rFonts w:cs="Wingdings"/>
    </w:rPr>
  </w:style>
  <w:style w:type="character" w:styleId="ListLabel182" w:customStyle="1">
    <w:name w:val="ListLabel 182"/>
    <w:qFormat/>
    <w:rPr>
      <w:rFonts w:cs="Symbol"/>
    </w:rPr>
  </w:style>
  <w:style w:type="character" w:styleId="ListLabel183" w:customStyle="1">
    <w:name w:val="ListLabel 183"/>
    <w:qFormat/>
    <w:rPr>
      <w:rFonts w:cs="Courier New"/>
    </w:rPr>
  </w:style>
  <w:style w:type="character" w:styleId="ListLabel184" w:customStyle="1">
    <w:name w:val="ListLabel 184"/>
    <w:qFormat/>
    <w:rPr>
      <w:rFonts w:cs="Wingdings"/>
    </w:rPr>
  </w:style>
  <w:style w:type="character" w:styleId="ListLabel185" w:customStyle="1">
    <w:name w:val="ListLabel 185"/>
    <w:qFormat/>
    <w:rPr>
      <w:rFonts w:cs="Symbol"/>
      <w:sz w:val="16"/>
    </w:rPr>
  </w:style>
  <w:style w:type="character" w:styleId="ListLabel186" w:customStyle="1">
    <w:name w:val="ListLabel 186"/>
    <w:qFormat/>
    <w:rPr>
      <w:rFonts w:cs="Courier New"/>
    </w:rPr>
  </w:style>
  <w:style w:type="character" w:styleId="ListLabel187" w:customStyle="1">
    <w:name w:val="ListLabel 187"/>
    <w:qFormat/>
    <w:rPr>
      <w:rFonts w:cs="Wingdings"/>
    </w:rPr>
  </w:style>
  <w:style w:type="character" w:styleId="ListLabel188" w:customStyle="1">
    <w:name w:val="ListLabel 188"/>
    <w:qFormat/>
    <w:rPr>
      <w:rFonts w:cs="Symbol"/>
    </w:rPr>
  </w:style>
  <w:style w:type="character" w:styleId="ListLabel189" w:customStyle="1">
    <w:name w:val="ListLabel 189"/>
    <w:qFormat/>
    <w:rPr>
      <w:rFonts w:cs="Courier New"/>
    </w:rPr>
  </w:style>
  <w:style w:type="character" w:styleId="ListLabel190" w:customStyle="1">
    <w:name w:val="ListLabel 190"/>
    <w:qFormat/>
    <w:rPr>
      <w:rFonts w:cs="Wingdings"/>
    </w:rPr>
  </w:style>
  <w:style w:type="character" w:styleId="ListLabel191" w:customStyle="1">
    <w:name w:val="ListLabel 191"/>
    <w:qFormat/>
    <w:rPr>
      <w:rFonts w:cs="Symbol"/>
    </w:rPr>
  </w:style>
  <w:style w:type="character" w:styleId="ListLabel192" w:customStyle="1">
    <w:name w:val="ListLabel 192"/>
    <w:qFormat/>
    <w:rPr>
      <w:rFonts w:cs="Courier New"/>
    </w:rPr>
  </w:style>
  <w:style w:type="character" w:styleId="ListLabel193" w:customStyle="1">
    <w:name w:val="ListLabel 193"/>
    <w:qFormat/>
    <w:rPr>
      <w:rFonts w:cs="Wingdings"/>
    </w:rPr>
  </w:style>
  <w:style w:type="character" w:styleId="ListLabel194" w:customStyle="1">
    <w:name w:val="ListLabel 194"/>
    <w:qFormat/>
    <w:rPr>
      <w:sz w:val="18"/>
      <w:szCs w:val="16"/>
    </w:rPr>
  </w:style>
  <w:style w:type="character" w:styleId="ListLabel195" w:customStyle="1">
    <w:name w:val="ListLabel 195"/>
    <w:qFormat/>
    <w:rPr>
      <w:b w:val="false"/>
      <w:bCs w:val="false"/>
      <w:sz w:val="18"/>
      <w:szCs w:val="16"/>
    </w:rPr>
  </w:style>
  <w:style w:type="character" w:styleId="ListLabel196" w:customStyle="1">
    <w:name w:val="ListLabel 196"/>
    <w:qFormat/>
    <w:rPr>
      <w:sz w:val="16"/>
      <w:szCs w:val="16"/>
    </w:rPr>
  </w:style>
  <w:style w:type="character" w:styleId="ListLabel197" w:customStyle="1">
    <w:name w:val="ListLabel 197"/>
    <w:qFormat/>
    <w:rPr>
      <w:rFonts w:cs="Arial"/>
      <w:b/>
      <w:bCs/>
      <w:i w:val="false"/>
      <w:iCs w:val="false"/>
      <w:sz w:val="24"/>
      <w:szCs w:val="24"/>
    </w:rPr>
  </w:style>
  <w:style w:type="character" w:styleId="ListLabel198" w:customStyle="1">
    <w:name w:val="ListLabel 198"/>
    <w:qFormat/>
    <w:rPr>
      <w:b/>
      <w:bCs/>
      <w:i w:val="false"/>
      <w:iCs w:val="false"/>
    </w:rPr>
  </w:style>
  <w:style w:type="character" w:styleId="ListLabel199" w:customStyle="1">
    <w:name w:val="ListLabel 199"/>
    <w:qFormat/>
    <w:rPr>
      <w:b w:val="false"/>
      <w:bCs w:val="false"/>
      <w:i w:val="false"/>
      <w:iCs w:val="false"/>
      <w:sz w:val="16"/>
    </w:rPr>
  </w:style>
  <w:style w:type="character" w:styleId="ListLabel200" w:customStyle="1">
    <w:name w:val="ListLabel 200"/>
    <w:qFormat/>
    <w:rPr>
      <w:b w:val="false"/>
      <w:bCs w:val="false"/>
      <w:i w:val="false"/>
      <w:iCs w:val="false"/>
      <w:sz w:val="18"/>
    </w:rPr>
  </w:style>
  <w:style w:type="character" w:styleId="ListLabel201" w:customStyle="1">
    <w:name w:val="ListLabel 201"/>
    <w:qFormat/>
    <w:rPr>
      <w:rFonts w:cs="Symbol"/>
      <w:sz w:val="16"/>
    </w:rPr>
  </w:style>
  <w:style w:type="character" w:styleId="ListLabel202" w:customStyle="1">
    <w:name w:val="ListLabel 202"/>
    <w:qFormat/>
    <w:rPr>
      <w:rFonts w:cs="Courier New"/>
    </w:rPr>
  </w:style>
  <w:style w:type="character" w:styleId="ListLabel203" w:customStyle="1">
    <w:name w:val="ListLabel 203"/>
    <w:qFormat/>
    <w:rPr>
      <w:rFonts w:cs="Wingdings"/>
    </w:rPr>
  </w:style>
  <w:style w:type="character" w:styleId="ListLabel204" w:customStyle="1">
    <w:name w:val="ListLabel 204"/>
    <w:qFormat/>
    <w:rPr>
      <w:rFonts w:cs="Symbol"/>
    </w:rPr>
  </w:style>
  <w:style w:type="character" w:styleId="ListLabel205" w:customStyle="1">
    <w:name w:val="ListLabel 205"/>
    <w:qFormat/>
    <w:rPr>
      <w:rFonts w:cs="Courier New"/>
    </w:rPr>
  </w:style>
  <w:style w:type="character" w:styleId="ListLabel206" w:customStyle="1">
    <w:name w:val="ListLabel 206"/>
    <w:qFormat/>
    <w:rPr>
      <w:rFonts w:cs="Wingdings"/>
    </w:rPr>
  </w:style>
  <w:style w:type="character" w:styleId="ListLabel207" w:customStyle="1">
    <w:name w:val="ListLabel 207"/>
    <w:qFormat/>
    <w:rPr>
      <w:rFonts w:cs="Symbol"/>
    </w:rPr>
  </w:style>
  <w:style w:type="character" w:styleId="ListLabel208" w:customStyle="1">
    <w:name w:val="ListLabel 208"/>
    <w:qFormat/>
    <w:rPr>
      <w:rFonts w:cs="Courier New"/>
    </w:rPr>
  </w:style>
  <w:style w:type="character" w:styleId="ListLabel209" w:customStyle="1">
    <w:name w:val="ListLabel 209"/>
    <w:qFormat/>
    <w:rPr>
      <w:rFonts w:cs="Wingdings"/>
    </w:rPr>
  </w:style>
  <w:style w:type="character" w:styleId="ListLabel210" w:customStyle="1">
    <w:name w:val="ListLabel 210"/>
    <w:qFormat/>
    <w:rPr>
      <w:sz w:val="18"/>
      <w:szCs w:val="16"/>
    </w:rPr>
  </w:style>
  <w:style w:type="character" w:styleId="ListLabel211" w:customStyle="1">
    <w:name w:val="ListLabel 211"/>
    <w:qFormat/>
    <w:rPr>
      <w:b w:val="false"/>
      <w:bCs w:val="false"/>
      <w:sz w:val="18"/>
      <w:szCs w:val="16"/>
    </w:rPr>
  </w:style>
  <w:style w:type="character" w:styleId="ListLabel212" w:customStyle="1">
    <w:name w:val="ListLabel 212"/>
    <w:qFormat/>
    <w:rPr>
      <w:rFonts w:cs="Arial"/>
      <w:b/>
      <w:bCs/>
      <w:i w:val="false"/>
      <w:iCs w:val="false"/>
      <w:sz w:val="24"/>
      <w:szCs w:val="24"/>
    </w:rPr>
  </w:style>
  <w:style w:type="character" w:styleId="ListLabel213" w:customStyle="1">
    <w:name w:val="ListLabel 213"/>
    <w:qFormat/>
    <w:rPr>
      <w:b/>
      <w:bCs/>
      <w:i w:val="false"/>
      <w:iCs w:val="false"/>
    </w:rPr>
  </w:style>
  <w:style w:type="character" w:styleId="ListLabel214" w:customStyle="1">
    <w:name w:val="ListLabel 214"/>
    <w:qFormat/>
    <w:rPr>
      <w:b w:val="false"/>
      <w:bCs w:val="false"/>
      <w:i w:val="false"/>
      <w:iCs w:val="false"/>
      <w:sz w:val="16"/>
    </w:rPr>
  </w:style>
  <w:style w:type="character" w:styleId="ListLabel215" w:customStyle="1">
    <w:name w:val="ListLabel 215"/>
    <w:qFormat/>
    <w:rPr>
      <w:b w:val="false"/>
      <w:bCs w:val="false"/>
      <w:i w:val="false"/>
      <w:iCs w:val="false"/>
      <w:sz w:val="18"/>
    </w:rPr>
  </w:style>
  <w:style w:type="character" w:styleId="ListLabel216" w:customStyle="1">
    <w:name w:val="ListLabel 216"/>
    <w:qFormat/>
    <w:rPr>
      <w:rFonts w:cs="Symbol"/>
      <w:sz w:val="16"/>
    </w:rPr>
  </w:style>
  <w:style w:type="character" w:styleId="ListLabel217" w:customStyle="1">
    <w:name w:val="ListLabel 217"/>
    <w:qFormat/>
    <w:rPr>
      <w:rFonts w:cs="Courier New"/>
    </w:rPr>
  </w:style>
  <w:style w:type="character" w:styleId="ListLabel218" w:customStyle="1">
    <w:name w:val="ListLabel 218"/>
    <w:qFormat/>
    <w:rPr>
      <w:rFonts w:cs="Wingdings"/>
    </w:rPr>
  </w:style>
  <w:style w:type="character" w:styleId="ListLabel219" w:customStyle="1">
    <w:name w:val="ListLabel 219"/>
    <w:qFormat/>
    <w:rPr>
      <w:rFonts w:cs="Symbol"/>
    </w:rPr>
  </w:style>
  <w:style w:type="character" w:styleId="ListLabel220" w:customStyle="1">
    <w:name w:val="ListLabel 220"/>
    <w:qFormat/>
    <w:rPr>
      <w:rFonts w:cs="Courier New"/>
    </w:rPr>
  </w:style>
  <w:style w:type="character" w:styleId="ListLabel221" w:customStyle="1">
    <w:name w:val="ListLabel 221"/>
    <w:qFormat/>
    <w:rPr>
      <w:rFonts w:cs="Wingdings"/>
    </w:rPr>
  </w:style>
  <w:style w:type="character" w:styleId="ListLabel222" w:customStyle="1">
    <w:name w:val="ListLabel 222"/>
    <w:qFormat/>
    <w:rPr>
      <w:rFonts w:cs="Symbol"/>
    </w:rPr>
  </w:style>
  <w:style w:type="character" w:styleId="ListLabel223" w:customStyle="1">
    <w:name w:val="ListLabel 223"/>
    <w:qFormat/>
    <w:rPr>
      <w:rFonts w:cs="Courier New"/>
    </w:rPr>
  </w:style>
  <w:style w:type="character" w:styleId="ListLabel224" w:customStyle="1">
    <w:name w:val="ListLabel 224"/>
    <w:qFormat/>
    <w:rPr>
      <w:rFonts w:cs="Wingdings"/>
    </w:rPr>
  </w:style>
  <w:style w:type="character" w:styleId="ListLabel225" w:customStyle="1">
    <w:name w:val="ListLabel 225"/>
    <w:qFormat/>
    <w:rPr>
      <w:sz w:val="18"/>
      <w:szCs w:val="16"/>
    </w:rPr>
  </w:style>
  <w:style w:type="character" w:styleId="ListLabel226" w:customStyle="1">
    <w:name w:val="ListLabel 226"/>
    <w:qFormat/>
    <w:rPr>
      <w:b w:val="false"/>
      <w:bCs w:val="false"/>
      <w:sz w:val="18"/>
      <w:szCs w:val="16"/>
    </w:rPr>
  </w:style>
  <w:style w:type="character" w:styleId="ListLabel227" w:customStyle="1">
    <w:name w:val="ListLabel 227"/>
    <w:qFormat/>
    <w:rPr>
      <w:rFonts w:cs="Arial"/>
      <w:b/>
      <w:bCs/>
      <w:i w:val="false"/>
      <w:iCs w:val="false"/>
      <w:sz w:val="24"/>
      <w:szCs w:val="24"/>
    </w:rPr>
  </w:style>
  <w:style w:type="character" w:styleId="ListLabel228" w:customStyle="1">
    <w:name w:val="ListLabel 228"/>
    <w:qFormat/>
    <w:rPr>
      <w:b/>
      <w:bCs/>
      <w:i w:val="false"/>
      <w:iCs w:val="false"/>
    </w:rPr>
  </w:style>
  <w:style w:type="character" w:styleId="ListLabel229" w:customStyle="1">
    <w:name w:val="ListLabel 229"/>
    <w:qFormat/>
    <w:rPr>
      <w:b w:val="false"/>
      <w:bCs w:val="false"/>
      <w:i w:val="false"/>
      <w:iCs w:val="false"/>
      <w:sz w:val="16"/>
    </w:rPr>
  </w:style>
  <w:style w:type="character" w:styleId="ListLabel230" w:customStyle="1">
    <w:name w:val="ListLabel 230"/>
    <w:qFormat/>
    <w:rPr>
      <w:b w:val="false"/>
      <w:bCs w:val="false"/>
      <w:i w:val="false"/>
      <w:iCs w:val="false"/>
      <w:sz w:val="18"/>
    </w:rPr>
  </w:style>
  <w:style w:type="character" w:styleId="ListLabel231" w:customStyle="1">
    <w:name w:val="ListLabel 231"/>
    <w:qFormat/>
    <w:rPr>
      <w:rFonts w:cs="Symbol"/>
      <w:sz w:val="16"/>
    </w:rPr>
  </w:style>
  <w:style w:type="character" w:styleId="ListLabel232" w:customStyle="1">
    <w:name w:val="ListLabel 232"/>
    <w:qFormat/>
    <w:rPr>
      <w:rFonts w:cs="Courier New"/>
    </w:rPr>
  </w:style>
  <w:style w:type="character" w:styleId="ListLabel233" w:customStyle="1">
    <w:name w:val="ListLabel 233"/>
    <w:qFormat/>
    <w:rPr>
      <w:rFonts w:cs="Wingdings"/>
    </w:rPr>
  </w:style>
  <w:style w:type="character" w:styleId="ListLabel234" w:customStyle="1">
    <w:name w:val="ListLabel 234"/>
    <w:qFormat/>
    <w:rPr>
      <w:rFonts w:cs="Symbol"/>
    </w:rPr>
  </w:style>
  <w:style w:type="character" w:styleId="ListLabel235" w:customStyle="1">
    <w:name w:val="ListLabel 235"/>
    <w:qFormat/>
    <w:rPr>
      <w:rFonts w:cs="Courier New"/>
    </w:rPr>
  </w:style>
  <w:style w:type="character" w:styleId="ListLabel236" w:customStyle="1">
    <w:name w:val="ListLabel 236"/>
    <w:qFormat/>
    <w:rPr>
      <w:rFonts w:cs="Wingdings"/>
    </w:rPr>
  </w:style>
  <w:style w:type="character" w:styleId="ListLabel237" w:customStyle="1">
    <w:name w:val="ListLabel 237"/>
    <w:qFormat/>
    <w:rPr>
      <w:rFonts w:cs="Symbol"/>
    </w:rPr>
  </w:style>
  <w:style w:type="character" w:styleId="ListLabel238" w:customStyle="1">
    <w:name w:val="ListLabel 238"/>
    <w:qFormat/>
    <w:rPr>
      <w:rFonts w:cs="Courier New"/>
    </w:rPr>
  </w:style>
  <w:style w:type="character" w:styleId="ListLabel239" w:customStyle="1">
    <w:name w:val="ListLabel 239"/>
    <w:qFormat/>
    <w:rPr>
      <w:rFonts w:cs="Wingdings"/>
    </w:rPr>
  </w:style>
  <w:style w:type="character" w:styleId="ListLabel240" w:customStyle="1">
    <w:name w:val="ListLabel 240"/>
    <w:qFormat/>
    <w:rPr>
      <w:sz w:val="18"/>
      <w:szCs w:val="16"/>
    </w:rPr>
  </w:style>
  <w:style w:type="character" w:styleId="ListLabel241" w:customStyle="1">
    <w:name w:val="ListLabel 241"/>
    <w:qFormat/>
    <w:rPr>
      <w:b w:val="false"/>
      <w:bCs w:val="false"/>
      <w:sz w:val="18"/>
      <w:szCs w:val="16"/>
    </w:rPr>
  </w:style>
  <w:style w:type="character" w:styleId="ListLabel242" w:customStyle="1">
    <w:name w:val="ListLabel 242"/>
    <w:qFormat/>
    <w:rPr>
      <w:rFonts w:cs="Arial"/>
      <w:b/>
      <w:bCs/>
      <w:i w:val="false"/>
      <w:iCs w:val="false"/>
      <w:sz w:val="24"/>
      <w:szCs w:val="24"/>
    </w:rPr>
  </w:style>
  <w:style w:type="character" w:styleId="ListLabel243" w:customStyle="1">
    <w:name w:val="ListLabel 243"/>
    <w:qFormat/>
    <w:rPr>
      <w:b/>
      <w:bCs/>
      <w:i w:val="false"/>
      <w:iCs w:val="false"/>
    </w:rPr>
  </w:style>
  <w:style w:type="character" w:styleId="ListLabel244" w:customStyle="1">
    <w:name w:val="ListLabel 244"/>
    <w:qFormat/>
    <w:rPr>
      <w:b w:val="false"/>
      <w:bCs w:val="false"/>
      <w:i w:val="false"/>
      <w:iCs w:val="false"/>
      <w:sz w:val="16"/>
    </w:rPr>
  </w:style>
  <w:style w:type="character" w:styleId="ListLabel245" w:customStyle="1">
    <w:name w:val="ListLabel 245"/>
    <w:qFormat/>
    <w:rPr>
      <w:b w:val="false"/>
      <w:bCs w:val="false"/>
      <w:i w:val="false"/>
      <w:iCs w:val="false"/>
      <w:sz w:val="18"/>
    </w:rPr>
  </w:style>
  <w:style w:type="character" w:styleId="ListLabel246" w:customStyle="1">
    <w:name w:val="ListLabel 246"/>
    <w:qFormat/>
    <w:rPr>
      <w:rFonts w:cs="Symbol"/>
      <w:sz w:val="16"/>
    </w:rPr>
  </w:style>
  <w:style w:type="character" w:styleId="ListLabel247" w:customStyle="1">
    <w:name w:val="ListLabel 247"/>
    <w:qFormat/>
    <w:rPr>
      <w:rFonts w:cs="Courier New"/>
    </w:rPr>
  </w:style>
  <w:style w:type="character" w:styleId="ListLabel248" w:customStyle="1">
    <w:name w:val="ListLabel 248"/>
    <w:qFormat/>
    <w:rPr>
      <w:rFonts w:cs="Wingdings"/>
    </w:rPr>
  </w:style>
  <w:style w:type="character" w:styleId="ListLabel249" w:customStyle="1">
    <w:name w:val="ListLabel 249"/>
    <w:qFormat/>
    <w:rPr>
      <w:rFonts w:cs="Symbol"/>
    </w:rPr>
  </w:style>
  <w:style w:type="character" w:styleId="ListLabel250" w:customStyle="1">
    <w:name w:val="ListLabel 250"/>
    <w:qFormat/>
    <w:rPr>
      <w:rFonts w:cs="Courier New"/>
    </w:rPr>
  </w:style>
  <w:style w:type="character" w:styleId="ListLabel251" w:customStyle="1">
    <w:name w:val="ListLabel 251"/>
    <w:qFormat/>
    <w:rPr>
      <w:rFonts w:cs="Wingdings"/>
    </w:rPr>
  </w:style>
  <w:style w:type="character" w:styleId="ListLabel252" w:customStyle="1">
    <w:name w:val="ListLabel 252"/>
    <w:qFormat/>
    <w:rPr>
      <w:rFonts w:cs="Symbol"/>
    </w:rPr>
  </w:style>
  <w:style w:type="character" w:styleId="ListLabel253" w:customStyle="1">
    <w:name w:val="ListLabel 253"/>
    <w:qFormat/>
    <w:rPr>
      <w:rFonts w:cs="Courier New"/>
    </w:rPr>
  </w:style>
  <w:style w:type="character" w:styleId="ListLabel254" w:customStyle="1">
    <w:name w:val="ListLabel 254"/>
    <w:qFormat/>
    <w:rPr>
      <w:rFonts w:cs="Wingdings"/>
    </w:rPr>
  </w:style>
  <w:style w:type="character" w:styleId="ListLabel255" w:customStyle="1">
    <w:name w:val="ListLabel 255"/>
    <w:qFormat/>
    <w:rPr>
      <w:sz w:val="18"/>
      <w:szCs w:val="16"/>
    </w:rPr>
  </w:style>
  <w:style w:type="character" w:styleId="ListLabel256" w:customStyle="1">
    <w:name w:val="ListLabel 256"/>
    <w:qFormat/>
    <w:rPr>
      <w:b w:val="false"/>
      <w:bCs w:val="false"/>
      <w:sz w:val="18"/>
      <w:szCs w:val="16"/>
    </w:rPr>
  </w:style>
  <w:style w:type="character" w:styleId="ListLabel257">
    <w:name w:val="ListLabel 257"/>
    <w:qFormat/>
    <w:rPr>
      <w:rFonts w:cs="Arial"/>
      <w:b/>
      <w:bCs/>
      <w:i w:val="false"/>
      <w:iCs w:val="false"/>
      <w:sz w:val="24"/>
      <w:szCs w:val="24"/>
    </w:rPr>
  </w:style>
  <w:style w:type="character" w:styleId="ListLabel258">
    <w:name w:val="ListLabel 258"/>
    <w:qFormat/>
    <w:rPr>
      <w:b/>
      <w:bCs/>
      <w:i w:val="false"/>
      <w:iCs w:val="false"/>
    </w:rPr>
  </w:style>
  <w:style w:type="character" w:styleId="ListLabel259">
    <w:name w:val="ListLabel 259"/>
    <w:qFormat/>
    <w:rPr>
      <w:b w:val="false"/>
      <w:bCs w:val="false"/>
      <w:i w:val="false"/>
      <w:iCs w:val="false"/>
      <w:sz w:val="16"/>
    </w:rPr>
  </w:style>
  <w:style w:type="character" w:styleId="ListLabel260">
    <w:name w:val="ListLabel 260"/>
    <w:qFormat/>
    <w:rPr>
      <w:b w:val="false"/>
      <w:bCs w:val="false"/>
      <w:i w:val="false"/>
      <w:iCs w:val="false"/>
      <w:sz w:val="18"/>
    </w:rPr>
  </w:style>
  <w:style w:type="character" w:styleId="ListLabel261">
    <w:name w:val="ListLabel 261"/>
    <w:qFormat/>
    <w:rPr>
      <w:rFonts w:cs="Symbol"/>
      <w:sz w:val="16"/>
    </w:rPr>
  </w:style>
  <w:style w:type="character" w:styleId="ListLabel262">
    <w:name w:val="ListLabel 262"/>
    <w:qFormat/>
    <w:rPr>
      <w:rFonts w:cs="Courier New"/>
    </w:rPr>
  </w:style>
  <w:style w:type="character" w:styleId="ListLabel263">
    <w:name w:val="ListLabel 263"/>
    <w:qFormat/>
    <w:rPr>
      <w:rFonts w:cs="Wingdings"/>
    </w:rPr>
  </w:style>
  <w:style w:type="character" w:styleId="ListLabel264">
    <w:name w:val="ListLabel 264"/>
    <w:qFormat/>
    <w:rPr>
      <w:rFonts w:cs="Symbol"/>
    </w:rPr>
  </w:style>
  <w:style w:type="character" w:styleId="ListLabel265">
    <w:name w:val="ListLabel 265"/>
    <w:qFormat/>
    <w:rPr>
      <w:rFonts w:cs="Courier New"/>
    </w:rPr>
  </w:style>
  <w:style w:type="character" w:styleId="ListLabel266">
    <w:name w:val="ListLabel 266"/>
    <w:qFormat/>
    <w:rPr>
      <w:rFonts w:cs="Wingdings"/>
    </w:rPr>
  </w:style>
  <w:style w:type="character" w:styleId="ListLabel267">
    <w:name w:val="ListLabel 267"/>
    <w:qFormat/>
    <w:rPr>
      <w:rFonts w:cs="Symbol"/>
    </w:rPr>
  </w:style>
  <w:style w:type="character" w:styleId="ListLabel268">
    <w:name w:val="ListLabel 268"/>
    <w:qFormat/>
    <w:rPr>
      <w:rFonts w:cs="Courier New"/>
    </w:rPr>
  </w:style>
  <w:style w:type="character" w:styleId="ListLabel269">
    <w:name w:val="ListLabel 269"/>
    <w:qFormat/>
    <w:rPr>
      <w:rFonts w:cs="Wingdings"/>
    </w:rPr>
  </w:style>
  <w:style w:type="character" w:styleId="ListLabel270">
    <w:name w:val="ListLabel 270"/>
    <w:qFormat/>
    <w:rPr>
      <w:sz w:val="18"/>
      <w:szCs w:val="16"/>
    </w:rPr>
  </w:style>
  <w:style w:type="character" w:styleId="ListLabel271">
    <w:name w:val="ListLabel 271"/>
    <w:qFormat/>
    <w:rPr>
      <w:b w:val="false"/>
      <w:bCs w:val="false"/>
      <w:sz w:val="18"/>
      <w:szCs w:val="16"/>
    </w:rPr>
  </w:style>
  <w:style w:type="paragraph" w:styleId="Nadpis" w:customStyle="1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497323"/>
    <w:pPr>
      <w:spacing w:lineRule="auto" w:line="240" w:before="0" w:after="0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</w:pPr>
    <w:rPr>
      <w:rFonts w:cs="Lucida Sans"/>
      <w:i/>
      <w:iCs/>
      <w:sz w:val="24"/>
      <w:szCs w:val="24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cs="Arial" w:eastAsia="Times New Roman"/>
      <w:color w:val="000000"/>
      <w:sz w:val="24"/>
      <w:szCs w:val="24"/>
      <w:lang w:eastAsia="cs-CZ" w:val="sk-SK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cs="Arial" w:eastAsia="Times New Roman"/>
      <w:b/>
      <w:bCs/>
      <w:color w:val="00000A"/>
      <w:sz w:val="24"/>
      <w:szCs w:val="24"/>
      <w:lang w:eastAsia="cs-CZ" w:val="sk-SK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cs="Arial" w:eastAsia="Times New Roman"/>
      <w:color w:val="00000A"/>
      <w:sz w:val="16"/>
      <w:szCs w:val="16"/>
      <w:lang w:eastAsia="cs-CZ" w:val="sk-SK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PtaChar"/>
    <w:uiPriority w:val="99"/>
    <w:rsid w:val="0072048d"/>
    <w:pPr>
      <w:tabs>
        <w:tab w:val="center" w:pos="4536" w:leader="none"/>
        <w:tab w:val="right" w:pos="9072" w:leader="none"/>
      </w:tabs>
    </w:pPr>
    <w:rPr>
      <w:rFonts w:ascii="Arial" w:hAnsi="Arial" w:cs="Arial"/>
      <w:sz w:val="24"/>
      <w:szCs w:val="24"/>
    </w:rPr>
  </w:style>
  <w:style w:type="paragraph" w:styleId="Normlny1" w:customStyle="1">
    <w:name w:val="Normálny1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cs="Arial" w:eastAsia="Times New Roman"/>
      <w:color w:val="00000A"/>
      <w:sz w:val="24"/>
      <w:szCs w:val="24"/>
      <w:lang w:eastAsia="cs-CZ" w:val="sk-SK" w:bidi="ar-SA"/>
    </w:rPr>
  </w:style>
  <w:style w:type="paragraph" w:styleId="Textopatrenia" w:customStyle="1">
    <w:name w:val="Text opatrenia"/>
    <w:qFormat/>
    <w:rsid w:val="00503a66"/>
    <w:pPr>
      <w:widowControl/>
      <w:bidi w:val="0"/>
      <w:spacing w:before="120" w:after="120"/>
      <w:jc w:val="both"/>
    </w:pPr>
    <w:rPr>
      <w:rFonts w:ascii="Arial Narrow" w:hAnsi="Arial Narrow" w:cs="Arial Narrow" w:eastAsia="Times New Roman"/>
      <w:color w:val="00000A"/>
      <w:sz w:val="20"/>
      <w:szCs w:val="22"/>
      <w:lang w:eastAsia="cs-CZ" w:val="sk-SK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97323"/>
    <w:pPr>
      <w:ind w:left="708" w:hanging="0"/>
    </w:pPr>
    <w:rPr/>
  </w:style>
  <w:style w:type="paragraph" w:styleId="Hlavika">
    <w:name w:val="Header"/>
    <w:basedOn w:val="Normal"/>
    <w:link w:val="HlavikaChar"/>
    <w:uiPriority w:val="99"/>
    <w:rsid w:val="00804636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 w:customStyle="1">
    <w:name w:val="Obsah tabuľky"/>
    <w:basedOn w:val="Normal"/>
    <w:qFormat/>
    <w:pPr/>
    <w:rPr/>
  </w:style>
  <w:style w:type="paragraph" w:styleId="Nadpistabuky" w:customStyle="1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db1285"/>
    <w:rPr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Application>LibreOffice/5.3.4.2$Windows_x86 LibreOffice_project/f82d347ccc0be322489bf7da61d7e4ad13fe2ff3</Application>
  <Pages>23</Pages>
  <Words>3858</Words>
  <Characters>23016</Characters>
  <CharactersWithSpaces>26406</CharactersWithSpaces>
  <Paragraphs>769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2017-03-06T17:01:00Z</dcterms:created>
  <dc:creator>Vlaďka</dc:creator>
  <dc:description/>
  <dc:language>sk-SK</dc:language>
  <cp:lastModifiedBy>Milan Drenina</cp:lastModifiedBy>
  <cp:lastPrinted>2018-03-12T20:01:00Z</cp:lastPrinted>
  <dcterms:modified xsi:type="dcterms:W3CDTF">2022-03-29T13:40:00Z</dcterms:modified>
  <cp:revision>125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