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D4054" w14:textId="77777777" w:rsidR="001C4EB7" w:rsidRDefault="001C4EB7" w:rsidP="001C4EB7">
      <w:pPr>
        <w:pStyle w:val="Default"/>
      </w:pPr>
    </w:p>
    <w:p w14:paraId="4439CA94" w14:textId="77777777" w:rsidR="001C4EB7" w:rsidRDefault="001C4EB7" w:rsidP="001C4EB7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 xml:space="preserve">Poznámky </w:t>
      </w: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 MÚJ 3 – 01 IČO: 50313576 DIČ: 2120265092 </w:t>
      </w:r>
    </w:p>
    <w:p w14:paraId="781D778A" w14:textId="77777777" w:rsidR="001C4EB7" w:rsidRDefault="001C4EB7" w:rsidP="001C4EB7">
      <w:pPr>
        <w:pStyle w:val="Default"/>
        <w:rPr>
          <w:sz w:val="22"/>
          <w:szCs w:val="22"/>
        </w:rPr>
      </w:pPr>
    </w:p>
    <w:p w14:paraId="1D7FD8EE" w14:textId="77777777"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</w:t>
      </w:r>
    </w:p>
    <w:p w14:paraId="4CB1D63C" w14:textId="77777777"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14:paraId="5D74A957" w14:textId="77777777"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5F915DDF" w14:textId="77777777" w:rsidR="001C4EB7" w:rsidRDefault="001C4EB7" w:rsidP="001C4EB7">
      <w:pPr>
        <w:pStyle w:val="Default"/>
        <w:rPr>
          <w:sz w:val="22"/>
          <w:szCs w:val="22"/>
        </w:rPr>
      </w:pPr>
    </w:p>
    <w:p w14:paraId="66CB2A19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Obchodné meno: Artner </w:t>
      </w:r>
      <w:proofErr w:type="spellStart"/>
      <w:r>
        <w:rPr>
          <w:sz w:val="22"/>
          <w:szCs w:val="22"/>
        </w:rPr>
        <w:t>Legal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., sídlo: Mandľová 69, 85110 Bratislava </w:t>
      </w:r>
    </w:p>
    <w:p w14:paraId="1B1AE51D" w14:textId="77777777" w:rsidR="001C4EB7" w:rsidRDefault="001C4EB7" w:rsidP="001C4EB7">
      <w:pPr>
        <w:pStyle w:val="Default"/>
        <w:rPr>
          <w:sz w:val="22"/>
          <w:szCs w:val="22"/>
        </w:rPr>
      </w:pPr>
    </w:p>
    <w:p w14:paraId="71D44FD1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Spoločnosť nie je súčasťou konsolidovaného celku. </w:t>
      </w:r>
    </w:p>
    <w:p w14:paraId="7906ED4C" w14:textId="77777777" w:rsidR="001C4EB7" w:rsidRDefault="001C4EB7" w:rsidP="001C4EB7">
      <w:pPr>
        <w:pStyle w:val="Default"/>
        <w:rPr>
          <w:sz w:val="22"/>
          <w:szCs w:val="22"/>
        </w:rPr>
      </w:pPr>
    </w:p>
    <w:p w14:paraId="19CA7DDD" w14:textId="738B0589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Priemerný prepočítaný počet zamestnancov: </w:t>
      </w:r>
      <w:r w:rsidR="002746E3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</w:p>
    <w:p w14:paraId="084B4781" w14:textId="77777777" w:rsidR="001C4EB7" w:rsidRDefault="001C4EB7" w:rsidP="001C4EB7">
      <w:pPr>
        <w:pStyle w:val="Default"/>
        <w:rPr>
          <w:sz w:val="22"/>
          <w:szCs w:val="22"/>
        </w:rPr>
      </w:pPr>
    </w:p>
    <w:p w14:paraId="4B02C687" w14:textId="77777777"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II</w:t>
      </w:r>
    </w:p>
    <w:p w14:paraId="4486F864" w14:textId="77777777"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14:paraId="08F3FBE2" w14:textId="77777777"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 prijatých postupoch:</w:t>
      </w:r>
    </w:p>
    <w:p w14:paraId="1312C1A1" w14:textId="77777777" w:rsidR="001C4EB7" w:rsidRDefault="001C4EB7" w:rsidP="001C4EB7">
      <w:pPr>
        <w:pStyle w:val="Default"/>
        <w:rPr>
          <w:sz w:val="22"/>
          <w:szCs w:val="22"/>
        </w:rPr>
      </w:pPr>
    </w:p>
    <w:p w14:paraId="519AFDA0" w14:textId="18E9DFE0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>1. Účtovná závierka bola zostavená k 31.12.20</w:t>
      </w:r>
      <w:r w:rsidR="002746E3">
        <w:rPr>
          <w:sz w:val="22"/>
          <w:szCs w:val="22"/>
        </w:rPr>
        <w:t>21</w:t>
      </w:r>
      <w:r>
        <w:rPr>
          <w:sz w:val="22"/>
          <w:szCs w:val="22"/>
        </w:rPr>
        <w:t xml:space="preserve">. </w:t>
      </w:r>
    </w:p>
    <w:p w14:paraId="4200CF8C" w14:textId="77777777" w:rsidR="001C4EB7" w:rsidRDefault="001C4EB7" w:rsidP="001C4EB7">
      <w:pPr>
        <w:pStyle w:val="Default"/>
        <w:rPr>
          <w:sz w:val="22"/>
          <w:szCs w:val="22"/>
        </w:rPr>
      </w:pPr>
    </w:p>
    <w:p w14:paraId="34270155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Spôsob oceňovania jednotlivých položiek majetku a záväzkov: </w:t>
      </w:r>
    </w:p>
    <w:p w14:paraId="576ADAB1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dlhodobého nehmotného majetku, dlhodobého hmotného majetku a dlhodobého finančného majetku – majetok sa oceňuje obstarávacou cenou v zmysle § 25 zák.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</w:t>
      </w:r>
    </w:p>
    <w:p w14:paraId="395496B6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zásob obstaraných kúpou – spoločnosť oceňuje obstarávacou cenou, metódou FIFO, </w:t>
      </w:r>
    </w:p>
    <w:p w14:paraId="7D2698DC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zásob vytvorených vlastnou činnosťou – spoločnosť nevytvára zásoby vlastnou činnosťou, </w:t>
      </w:r>
    </w:p>
    <w:p w14:paraId="4CC31A78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Pohľadávok – menovitou hodnotou sumy, na ktorú pohľadávka znie, </w:t>
      </w:r>
    </w:p>
    <w:p w14:paraId="73DB52D2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d) krátkodobého finančného majetku – menovitou hodnotou, ktorá je uvedená na peňažných prostriedkoch a ceninách. </w:t>
      </w:r>
    </w:p>
    <w:p w14:paraId="40052B57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záväzkov vrátane rezerv, dlhopisov, pôžičiek a úverov - menovitou hodnotou sumy, na ktorú pohľadávka znie, </w:t>
      </w:r>
    </w:p>
    <w:p w14:paraId="215C758F" w14:textId="77777777" w:rsidR="001C4EB7" w:rsidRDefault="001C4EB7" w:rsidP="001C4EB7">
      <w:pPr>
        <w:pStyle w:val="Default"/>
        <w:rPr>
          <w:sz w:val="22"/>
          <w:szCs w:val="22"/>
        </w:rPr>
      </w:pPr>
    </w:p>
    <w:p w14:paraId="7316B754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Spôsob zostavenia odpisového plánu pre jednotlivé druhy dlhodobého hmotného majetku a dlhodobého nehmotného majetku – spoločnosť vlastní odpisovaný dlhodobý hmotný majetok, odpisový plán bol vytvorený v súlade s § 22 a </w:t>
      </w:r>
      <w:proofErr w:type="spellStart"/>
      <w:r>
        <w:rPr>
          <w:sz w:val="22"/>
          <w:szCs w:val="22"/>
        </w:rPr>
        <w:t>nasl</w:t>
      </w:r>
      <w:proofErr w:type="spellEnd"/>
      <w:r>
        <w:rPr>
          <w:sz w:val="22"/>
          <w:szCs w:val="22"/>
        </w:rPr>
        <w:t xml:space="preserve">. zák.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dani z príjmov. Spoločnosť uplatňuje rovnomerné odpisovanie majetku. </w:t>
      </w:r>
    </w:p>
    <w:p w14:paraId="4983FD30" w14:textId="77777777" w:rsidR="001C4EB7" w:rsidRDefault="001C4EB7" w:rsidP="001C4EB7">
      <w:pPr>
        <w:pStyle w:val="Default"/>
        <w:rPr>
          <w:sz w:val="22"/>
          <w:szCs w:val="22"/>
        </w:rPr>
      </w:pPr>
    </w:p>
    <w:p w14:paraId="6794F506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 – neboli uskutočnené. </w:t>
      </w:r>
    </w:p>
    <w:p w14:paraId="5888D82C" w14:textId="77777777" w:rsidR="001C4EB7" w:rsidRDefault="001C4EB7" w:rsidP="001C4EB7">
      <w:pPr>
        <w:pStyle w:val="Default"/>
        <w:rPr>
          <w:sz w:val="22"/>
          <w:szCs w:val="22"/>
        </w:rPr>
      </w:pPr>
    </w:p>
    <w:p w14:paraId="14D9E688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Informácie o dotáciách a ich oceňovanie v účtovníctve – spoločnosti nebola poskytnutá žiadna dotácia. </w:t>
      </w:r>
    </w:p>
    <w:p w14:paraId="066D9B05" w14:textId="77777777" w:rsidR="001C4EB7" w:rsidRDefault="001C4EB7" w:rsidP="001C4EB7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>6. Informácie o účtovaní významných opráv chýb minulých účtovných období v bežnom účtovnom období – neboli urobené.</w:t>
      </w:r>
    </w:p>
    <w:p w14:paraId="35E0B75B" w14:textId="77777777" w:rsidR="001C4EB7" w:rsidRDefault="001C4EB7" w:rsidP="001C4EB7">
      <w:pPr>
        <w:pStyle w:val="Default"/>
        <w:rPr>
          <w:sz w:val="22"/>
          <w:szCs w:val="22"/>
        </w:rPr>
      </w:pPr>
    </w:p>
    <w:p w14:paraId="08E6DBCE" w14:textId="77777777"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Čl. III</w:t>
      </w:r>
    </w:p>
    <w:p w14:paraId="1B8B14BA" w14:textId="77777777" w:rsidR="001C4EB7" w:rsidRDefault="001C4EB7" w:rsidP="001C4EB7">
      <w:pPr>
        <w:pStyle w:val="Default"/>
        <w:jc w:val="center"/>
        <w:rPr>
          <w:b/>
          <w:bCs/>
          <w:sz w:val="22"/>
          <w:szCs w:val="22"/>
        </w:rPr>
      </w:pPr>
    </w:p>
    <w:p w14:paraId="41A6E176" w14:textId="77777777" w:rsidR="001C4EB7" w:rsidRDefault="001C4EB7" w:rsidP="001C4EB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 vysvetľujú súvahu a výkaz ziskov a strát</w:t>
      </w:r>
    </w:p>
    <w:p w14:paraId="3A24470E" w14:textId="77777777" w:rsidR="001C4EB7" w:rsidRDefault="001C4EB7" w:rsidP="001C4EB7">
      <w:pPr>
        <w:pStyle w:val="Default"/>
        <w:rPr>
          <w:sz w:val="22"/>
          <w:szCs w:val="22"/>
        </w:rPr>
      </w:pPr>
    </w:p>
    <w:p w14:paraId="1CC6C01A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pohrôm. – spoločnosť nemá v účtovníctve položky výnimočného rozsahu. </w:t>
      </w:r>
    </w:p>
    <w:p w14:paraId="0FC45B06" w14:textId="77777777" w:rsidR="001C4EB7" w:rsidRDefault="001C4EB7" w:rsidP="001C4EB7">
      <w:pPr>
        <w:pStyle w:val="Default"/>
        <w:rPr>
          <w:sz w:val="22"/>
          <w:szCs w:val="22"/>
        </w:rPr>
      </w:pPr>
    </w:p>
    <w:p w14:paraId="7AE4A3C8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Informácie o záväzkoch, a to </w:t>
      </w:r>
    </w:p>
    <w:p w14:paraId="306C2F1C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celkovej sume záväzkov so zostatkovou dobou splatnosti dlhšou ako päť rokov - spoločnosť nemá záväzky s dobou splatnosti dlhšou ako päť rokov. </w:t>
      </w:r>
    </w:p>
    <w:p w14:paraId="41581DF6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celkovej sume zabezpečených záväzkov, opis a spôsoby zabezpečenia záväzkov – spoločnosť nemá zabezpečené záväzky, </w:t>
      </w:r>
    </w:p>
    <w:p w14:paraId="6C824992" w14:textId="77777777" w:rsidR="001C4EB7" w:rsidRDefault="001C4EB7" w:rsidP="001C4EB7">
      <w:pPr>
        <w:pStyle w:val="Default"/>
        <w:rPr>
          <w:sz w:val="22"/>
          <w:szCs w:val="22"/>
        </w:rPr>
      </w:pPr>
    </w:p>
    <w:p w14:paraId="5D4D52C2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Informácie o orgánoch účtovnej jednotky, a to </w:t>
      </w:r>
    </w:p>
    <w:p w14:paraId="7A6CCBE4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orgány, - spoločnosť neposkytla žiadne záruky </w:t>
      </w:r>
    </w:p>
    <w:p w14:paraId="3AD6EDDA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pôžičkách poskytnutých členom štatutárneho orgánu, dozorného orgánu a iného orgánu účtovnej jednotky – spoločnosť neposkytla žiadne pôžičky </w:t>
      </w:r>
    </w:p>
    <w:p w14:paraId="626FA021" w14:textId="77777777" w:rsidR="001C4EB7" w:rsidRDefault="001C4EB7" w:rsidP="001C4EB7">
      <w:pPr>
        <w:pStyle w:val="Default"/>
        <w:rPr>
          <w:sz w:val="22"/>
          <w:szCs w:val="22"/>
        </w:rPr>
      </w:pPr>
    </w:p>
    <w:p w14:paraId="6F5F0D51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4. Informácie o povinnostiach účtovnej jednotky, a to </w:t>
      </w:r>
    </w:p>
    <w:p w14:paraId="2C8EDBE1" w14:textId="77777777" w:rsidR="001C4EB7" w:rsidRDefault="001C4EB7" w:rsidP="001C4EB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nemá žiadne finančné povinnosti, ktoré nevykazuje v súvahe, podmienené záväzky ani významné povinnosti z dôchodkových programov pre zamestnancov. </w:t>
      </w:r>
    </w:p>
    <w:p w14:paraId="7F961F86" w14:textId="77777777" w:rsidR="001C4EB7" w:rsidRDefault="001C4EB7" w:rsidP="001C4EB7"/>
    <w:p w14:paraId="3D446140" w14:textId="77777777" w:rsidR="000B3071" w:rsidRDefault="001C4EB7" w:rsidP="001C4EB7">
      <w:r>
        <w:t>5. Informácie o udelení výlučného práva alebo osobitného práva, ktorým sa udelilo právo poskytovať služby vo verejnom záujme – neboli spoločnosti poskytnuté.</w:t>
      </w:r>
    </w:p>
    <w:sectPr w:rsidR="000B3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4EB7"/>
    <w:rsid w:val="000B3071"/>
    <w:rsid w:val="001C4EB7"/>
    <w:rsid w:val="002746E3"/>
    <w:rsid w:val="00380BFF"/>
    <w:rsid w:val="0070213E"/>
    <w:rsid w:val="00F84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F1BA7"/>
  <w15:docId w15:val="{DABAB83C-36BF-4F6C-8C33-C57FEBBC1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C4EB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mihinka mihinka</dc:creator>
  <cp:lastModifiedBy>Milada Artnerova</cp:lastModifiedBy>
  <cp:revision>3</cp:revision>
  <dcterms:created xsi:type="dcterms:W3CDTF">2022-03-27T19:36:00Z</dcterms:created>
  <dcterms:modified xsi:type="dcterms:W3CDTF">2022-03-27T19:37:00Z</dcterms:modified>
</cp:coreProperties>
</file>