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2BD" w:rsidRPr="00DC387D" w:rsidRDefault="00DC387D" w:rsidP="00DC387D">
      <w:pPr>
        <w:jc w:val="center"/>
        <w:rPr>
          <w:rFonts w:ascii="Times New Roman" w:hAnsi="Times New Roman" w:cs="Times New Roman"/>
          <w:b/>
          <w:sz w:val="28"/>
        </w:rPr>
      </w:pPr>
      <w:r w:rsidRPr="00DC387D">
        <w:rPr>
          <w:rFonts w:ascii="Times New Roman" w:hAnsi="Times New Roman" w:cs="Times New Roman"/>
          <w:b/>
          <w:sz w:val="28"/>
        </w:rPr>
        <w:t>Poznámky k 31.12.2021</w:t>
      </w:r>
    </w:p>
    <w:p w:rsidR="00DC387D" w:rsidRPr="00DC387D" w:rsidRDefault="00DC387D" w:rsidP="00DC387D">
      <w:pPr>
        <w:jc w:val="center"/>
        <w:rPr>
          <w:rFonts w:ascii="Times New Roman" w:hAnsi="Times New Roman" w:cs="Times New Roman"/>
          <w:b/>
        </w:rPr>
      </w:pPr>
      <w:r w:rsidRPr="00DC387D">
        <w:rPr>
          <w:rFonts w:ascii="Times New Roman" w:hAnsi="Times New Roman" w:cs="Times New Roman"/>
          <w:b/>
        </w:rPr>
        <w:t>Čl. I</w:t>
      </w:r>
    </w:p>
    <w:p w:rsidR="00DC387D" w:rsidRDefault="00DC387D" w:rsidP="00DC387D">
      <w:pPr>
        <w:jc w:val="center"/>
        <w:rPr>
          <w:rFonts w:ascii="Times New Roman" w:hAnsi="Times New Roman" w:cs="Times New Roman"/>
          <w:b/>
        </w:rPr>
      </w:pPr>
      <w:r w:rsidRPr="00DC387D">
        <w:rPr>
          <w:rFonts w:ascii="Times New Roman" w:hAnsi="Times New Roman" w:cs="Times New Roman"/>
          <w:b/>
        </w:rPr>
        <w:t>Všeobecné údaje</w:t>
      </w: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Identifikačné údaje účtovnej jednotky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311"/>
        <w:gridCol w:w="4257"/>
      </w:tblGrid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Obec Kovarce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 15 Kovarce č. 461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00310573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Obec bola založená v 1990 zákonom č. 369/1990 Zb. o obecnom zriadení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zriadenia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Podľa zákona č. 369/1990 Z. z. o obecnom zriadení v znení neskorších predpisov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zriaďovateľa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zriaďovateľa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b.) Právny dôvod na zostavenie účtovnej závierky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Riadna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c.) Účtovná jednotka je súčasťou konsolidovaného celku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d.) Účtovný jednotka je súčasťou súhrnného celku verejnej správy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Opis činnosti účtovnej jednotky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267"/>
        <w:gridCol w:w="4301"/>
      </w:tblGrid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Hlavná činnosť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Starostlivosť o všestranný rozvoj územia obce a o potreby jej obyvateľov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štatutárnych zástupcov a organizačnej štruktúre účtovnej jednotky</w:t>
      </w:r>
    </w:p>
    <w:tbl>
      <w:tblPr>
        <w:tblStyle w:val="Mriekatabuky"/>
        <w:tblW w:w="0" w:type="auto"/>
        <w:tblInd w:w="720" w:type="dxa"/>
        <w:tblLook w:val="04A0"/>
      </w:tblPr>
      <w:tblGrid>
        <w:gridCol w:w="4361"/>
        <w:gridCol w:w="4207"/>
      </w:tblGrid>
      <w:tr w:rsidR="005925F1" w:rsidTr="005925F1"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 zástupca /meno, priezvisko, funkcia)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Ing. Andrej Čopík, starosta obce Kovarce</w:t>
            </w:r>
          </w:p>
        </w:tc>
      </w:tr>
      <w:tr w:rsidR="005925F1" w:rsidTr="005925F1">
        <w:tc>
          <w:tcPr>
            <w:tcW w:w="4606" w:type="dxa"/>
          </w:tcPr>
          <w:p w:rsid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Štatutárny zástupca /meno, priezvisko, funkcia)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Marek Jagelka, zástupca starostu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Priemerný počet zamestnancov počas účtovného obdobia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19,70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Počet zamestnancov ku dňu, ku ktorému sa zostavuje účtovná závierka účtovnej jednotky, z toho:</w:t>
            </w:r>
          </w:p>
          <w:p w:rsidR="005925F1" w:rsidRPr="005925F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5925F1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4606" w:type="dxa"/>
          </w:tcPr>
          <w:p w:rsid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  <w:p w:rsid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Organizačná štruktúra účtovnej jednotky: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rozpočtové organizácie zriadené účtovnou jednotkou (počet)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>príspevkové organizácie založené/zriadené účtovnou jednotkou (počet)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5925F1">
              <w:rPr>
                <w:rFonts w:ascii="Times New Roman" w:hAnsi="Times New Roman" w:cs="Times New Roman"/>
              </w:rPr>
              <w:t xml:space="preserve"> neziskové organizácie založené/zriadené účtovnou jednotkou (počet)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5925F1" w:rsidTr="005925F1">
        <w:tc>
          <w:tcPr>
            <w:tcW w:w="4606" w:type="dxa"/>
          </w:tcPr>
          <w:p w:rsidR="005925F1" w:rsidRPr="005925F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Právnické osoby založené účtovnou jednotkou (počet)</w:t>
            </w:r>
          </w:p>
        </w:tc>
        <w:tc>
          <w:tcPr>
            <w:tcW w:w="4606" w:type="dxa"/>
          </w:tcPr>
          <w:p w:rsidR="005925F1" w:rsidRPr="005925F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5925F1" w:rsidRDefault="005925F1" w:rsidP="00DC387D">
      <w:pPr>
        <w:pStyle w:val="Odsekzoznamu"/>
        <w:rPr>
          <w:rFonts w:ascii="Times New Roman" w:hAnsi="Times New Roman" w:cs="Times New Roman"/>
          <w:b/>
        </w:rPr>
      </w:pP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Čl. II</w:t>
      </w: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účtovných zásadách a účtovných metódach</w:t>
      </w: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</w:p>
    <w:p w:rsidR="005925F1" w:rsidRDefault="005925F1" w:rsidP="005925F1">
      <w:pPr>
        <w:pStyle w:val="Odsekzoznamu"/>
        <w:numPr>
          <w:ilvl w:val="0"/>
          <w:numId w:val="3"/>
        </w:num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závierka je zostavená za splnenia predpokladu nepretržitého pokračovania účtovnej jednotky vo svojej činnosti</w:t>
      </w:r>
    </w:p>
    <w:p w:rsidR="005925F1" w:rsidRPr="005925F1" w:rsidRDefault="005925F1" w:rsidP="005925F1">
      <w:pPr>
        <w:pStyle w:val="Odsekzoznamu"/>
        <w:ind w:left="1080"/>
        <w:jc w:val="center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Áno</w:t>
      </w:r>
    </w:p>
    <w:p w:rsidR="005925F1" w:rsidRDefault="005925F1" w:rsidP="005925F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Zmeny účtovných metód a účtovných zásad</w:t>
      </w:r>
    </w:p>
    <w:p w:rsidR="005925F1" w:rsidRPr="005925F1" w:rsidRDefault="005925F1" w:rsidP="005925F1">
      <w:pPr>
        <w:pStyle w:val="Odsekzoznamu"/>
        <w:ind w:left="1080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Účtovná jednotka zmenila účtovné metódy, účtovné zásady oproti predchádzajúcemu účtovnému obdobiu</w:t>
      </w:r>
      <w:r w:rsidRPr="005925F1">
        <w:rPr>
          <w:rFonts w:ascii="Times New Roman" w:hAnsi="Times New Roman" w:cs="Times New Roman"/>
        </w:rPr>
        <w:tab/>
      </w:r>
    </w:p>
    <w:p w:rsidR="005925F1" w:rsidRDefault="005925F1" w:rsidP="005925F1">
      <w:pPr>
        <w:pStyle w:val="Odsekzoznamu"/>
        <w:ind w:left="1080"/>
        <w:jc w:val="center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Nie</w:t>
      </w:r>
    </w:p>
    <w:p w:rsidR="005925F1" w:rsidRDefault="005925F1" w:rsidP="005925F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Spôsob ocenenie jednotlivých položiek majetku a záväzkov </w:t>
      </w:r>
    </w:p>
    <w:tbl>
      <w:tblPr>
        <w:tblStyle w:val="Mriekatabuky"/>
        <w:tblW w:w="0" w:type="auto"/>
        <w:tblInd w:w="1080" w:type="dxa"/>
        <w:tblLook w:val="04A0"/>
      </w:tblPr>
      <w:tblGrid>
        <w:gridCol w:w="4840"/>
        <w:gridCol w:w="3260"/>
      </w:tblGrid>
      <w:tr w:rsidR="005925F1" w:rsidTr="005925F1">
        <w:tc>
          <w:tcPr>
            <w:tcW w:w="4840" w:type="dxa"/>
          </w:tcPr>
          <w:p w:rsidR="005925F1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260" w:type="dxa"/>
          </w:tcPr>
          <w:p w:rsidR="005925F1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nakupovaný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hmotný majetok nakupovaný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 xml:space="preserve">Reálnou hodnotou 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Náklady budúcich období a príjmy budúcich období sa vykazujú  vo výške, ktorá je potrebná na dodržanie zásady vecnej a časovej súvislosti s účtovným období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Záväzky, vrátane dlhopisov, pôžičiek a úverov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Oceňujú sa v očakávanej výške záväzku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Deriváty pri nadobudnutí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</w:tbl>
    <w:p w:rsidR="005925F1" w:rsidRPr="005925F1" w:rsidRDefault="005925F1" w:rsidP="005925F1">
      <w:pPr>
        <w:pStyle w:val="Odsekzoznamu"/>
        <w:ind w:left="1080"/>
        <w:rPr>
          <w:rFonts w:ascii="Times New Roman" w:hAnsi="Times New Roman" w:cs="Times New Roman"/>
          <w:b/>
        </w:rPr>
      </w:pPr>
    </w:p>
    <w:p w:rsidR="005925F1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Spôsob zostavenia odpisového plánu pre dlhodobý majetok, doba odpisovania, sadzby odpisov a odpisové metódy pri stanovení účtovných odpisov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dlhodobého nehmotného majetku a dlhodobého majetku sú stanové tak, že sa vychádza z predpokladanej doby jeho užívania a predpokladaného priebehu jeho opotrebenia. Odpisovať sa začína: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– odo dňa jeho zaradenia do používania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Účtovné odpisy sa zaokrúhľujú na dve desatinné čísla. Metóda odpisovania sa používa lineárna. Predpokladaná doba užívania a odpisové sadzby sú stanovené takto:</w:t>
      </w:r>
    </w:p>
    <w:tbl>
      <w:tblPr>
        <w:tblStyle w:val="Mriekatabuky"/>
        <w:tblW w:w="0" w:type="auto"/>
        <w:tblInd w:w="1080" w:type="dxa"/>
        <w:tblLook w:val="04A0"/>
      </w:tblPr>
      <w:tblGrid>
        <w:gridCol w:w="2763"/>
        <w:gridCol w:w="3005"/>
        <w:gridCol w:w="2440"/>
      </w:tblGrid>
      <w:tr w:rsidR="00C6711C" w:rsidTr="00C6711C">
        <w:tc>
          <w:tcPr>
            <w:tcW w:w="2763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Odpisová skupina</w:t>
            </w:r>
          </w:p>
        </w:tc>
        <w:tc>
          <w:tcPr>
            <w:tcW w:w="3005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Predpokladaná doba používania v rokoch</w:t>
            </w:r>
          </w:p>
        </w:tc>
        <w:tc>
          <w:tcPr>
            <w:tcW w:w="2440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Ročná odpisová sadzba v %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roky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0,250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0,167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0,125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0,083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0,050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0,025</w:t>
            </w:r>
          </w:p>
        </w:tc>
      </w:tr>
    </w:tbl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 nehmotný majetok od 0,01 EUR do 830,00 €, ktorý podľa rozhodnutia účtovnej jednotky nie je dlhodobým nehmotným majetkom sa účtuje pri obstaraní do nákladov na účet 518 – Ostatné služby. Drobný hmotný majetok od 0,01 EUR do 996,00 €, ktorý podľa rozhodnutia účtovnej jednotky nie je dlhodobým hmotným majetkom sa účtuje do spotreby na účet 501 – spotreba materiálu. Podľa rozhodnutia účtovnej jednotky sa účtuje na podsúvahových účtoch 790/750 a 771/799.</w:t>
      </w:r>
    </w:p>
    <w:p w:rsidR="00C6711C" w:rsidRPr="00C6711C" w:rsidRDefault="00C6711C" w:rsidP="00C6711C">
      <w:pPr>
        <w:pStyle w:val="Odsekzoznamu"/>
        <w:ind w:left="1080"/>
        <w:rPr>
          <w:rFonts w:ascii="Times New Roman" w:hAnsi="Times New Roman" w:cs="Times New Roman"/>
          <w:b/>
        </w:rPr>
      </w:pPr>
    </w:p>
    <w:p w:rsidR="00C6711C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Zásady pre zohľadnenie zníženia hodnoty majetku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Prechodné zníženie hodnoty majetku sa vyjadruje opravnou položkou. Účtovná jednotka tvorila opravné položky k: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Nedokončeným investíciám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Dlhodobému finančnému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Pohľadávkam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rPr>
          <w:rFonts w:ascii="Times New Roman" w:hAnsi="Times New Roman" w:cs="Times New Roman"/>
        </w:rPr>
      </w:pPr>
    </w:p>
    <w:p w:rsidR="00C6711C" w:rsidRDefault="00C6711C" w:rsidP="00C6711C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netvorila opravné položky k pohľadávkam v rámci hlavnej činnosti.</w:t>
      </w:r>
    </w:p>
    <w:p w:rsidR="00C6711C" w:rsidRPr="00C6711C" w:rsidRDefault="00C6711C" w:rsidP="00C6711C">
      <w:pPr>
        <w:pStyle w:val="Odsekzoznamu"/>
        <w:rPr>
          <w:rFonts w:ascii="Times New Roman" w:hAnsi="Times New Roman" w:cs="Times New Roman"/>
          <w:b/>
        </w:rPr>
      </w:pPr>
    </w:p>
    <w:p w:rsidR="00C6711C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Zásady pre vykazovanie transferov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C6711C" w:rsidRPr="00C6711C" w:rsidRDefault="00C6711C" w:rsidP="00C6711C">
      <w:pPr>
        <w:rPr>
          <w:rFonts w:ascii="Times New Roman" w:hAnsi="Times New Roman" w:cs="Times New Roman"/>
        </w:rPr>
      </w:pPr>
      <w:r w:rsidRPr="00C6711C">
        <w:rPr>
          <w:rFonts w:ascii="Times New Roman" w:hAnsi="Times New Roman" w:cs="Times New Roman"/>
        </w:rPr>
        <w:t>Bežný transfer: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 od cudzích subjektov – sa zúčtuje do výnosov vo vecnej a časovej súvislosti s nákladmi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Poskytnutý cudzím subjektom – sa zúčtuje do nákladov po splnení podmienok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vlastným subjektom – sa zúčtuje do nákladov pri poskytnutí transferu </w:t>
      </w:r>
    </w:p>
    <w:p w:rsidR="00C6711C" w:rsidRDefault="00C6711C" w:rsidP="00C6711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Kapitálový transfer: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 od cudzích subjektov – sa zaúčtuje do výnosov vo vecnej a časovej súvislosti s nákladmi (napr. s odpismi, s opravnou položkou, so zostatkovou hodnotou vyradeného dlhodobého majetku)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Poskytnutý vlastným subjektom – sa zaúčtuje do nákladov vo vecnej a časovej súvislosti s nákladmi účtovnými v organizáciách v zriaďovateľskej pôsobnosti obce.</w:t>
      </w:r>
    </w:p>
    <w:p w:rsidR="006A7C8E" w:rsidRDefault="006A7C8E" w:rsidP="006A7C8E">
      <w:pPr>
        <w:rPr>
          <w:rFonts w:ascii="Times New Roman" w:hAnsi="Times New Roman" w:cs="Times New Roman"/>
        </w:rPr>
      </w:pPr>
    </w:p>
    <w:p w:rsidR="006A7C8E" w:rsidRPr="006A7C8E" w:rsidRDefault="006A7C8E" w:rsidP="006A7C8E">
      <w:pPr>
        <w:jc w:val="center"/>
        <w:rPr>
          <w:rFonts w:ascii="Times New Roman" w:hAnsi="Times New Roman" w:cs="Times New Roman"/>
          <w:b/>
        </w:rPr>
      </w:pPr>
      <w:r w:rsidRPr="006A7C8E">
        <w:rPr>
          <w:rFonts w:ascii="Times New Roman" w:hAnsi="Times New Roman" w:cs="Times New Roman"/>
          <w:b/>
        </w:rPr>
        <w:lastRenderedPageBreak/>
        <w:t>Čl. III</w:t>
      </w:r>
    </w:p>
    <w:p w:rsidR="006A7C8E" w:rsidRPr="006A7C8E" w:rsidRDefault="006A7C8E" w:rsidP="006A7C8E">
      <w:pPr>
        <w:jc w:val="center"/>
        <w:rPr>
          <w:rFonts w:ascii="Times New Roman" w:hAnsi="Times New Roman" w:cs="Times New Roman"/>
          <w:b/>
        </w:rPr>
      </w:pPr>
      <w:r w:rsidRPr="006A7C8E">
        <w:rPr>
          <w:rFonts w:ascii="Times New Roman" w:hAnsi="Times New Roman" w:cs="Times New Roman"/>
          <w:b/>
        </w:rPr>
        <w:t>Informácie o</w:t>
      </w:r>
      <w:r w:rsidR="00AF3248">
        <w:rPr>
          <w:rFonts w:ascii="Times New Roman" w:hAnsi="Times New Roman" w:cs="Times New Roman"/>
          <w:b/>
        </w:rPr>
        <w:t xml:space="preserve"> vybraných</w:t>
      </w:r>
      <w:r w:rsidRPr="006A7C8E">
        <w:rPr>
          <w:rFonts w:ascii="Times New Roman" w:hAnsi="Times New Roman" w:cs="Times New Roman"/>
          <w:b/>
        </w:rPr>
        <w:t> údajoch na strane aktív súvahy</w:t>
      </w:r>
    </w:p>
    <w:p w:rsidR="006A7C8E" w:rsidRPr="00035232" w:rsidRDefault="006A7C8E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 Neobežný majetok</w:t>
      </w:r>
    </w:p>
    <w:p w:rsidR="006A7C8E" w:rsidRDefault="006A7C8E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nehmotný majetok a dlhodobý hmotný majetok</w:t>
      </w:r>
    </w:p>
    <w:tbl>
      <w:tblPr>
        <w:tblStyle w:val="Mriekatabuky"/>
        <w:tblW w:w="0" w:type="auto"/>
        <w:tblInd w:w="720" w:type="dxa"/>
        <w:tblLook w:val="04A0"/>
      </w:tblPr>
      <w:tblGrid>
        <w:gridCol w:w="4491"/>
        <w:gridCol w:w="3402"/>
      </w:tblGrid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Majetok, ku ktorému má účtovná jednotka vlastnícke právo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v EUR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Nehmotný dlhodobý majetok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6A7C8E">
              <w:rPr>
                <w:rFonts w:ascii="Times New Roman" w:hAnsi="Times New Roman" w:cs="Times New Roman"/>
              </w:rPr>
              <w:t>42 643,15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124 658,12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2 741 902,93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44 054,98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143 850,00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Drobný dlhodobý majetok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34 530,71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Pozemky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8037,58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Budovy a stavby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1 282 467,06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Samostatne hnuteľné veci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11 640,25</w:t>
            </w:r>
          </w:p>
        </w:tc>
      </w:tr>
    </w:tbl>
    <w:p w:rsidR="006A7C8E" w:rsidRDefault="006A7C8E" w:rsidP="006A7C8E">
      <w:pPr>
        <w:pStyle w:val="Odsekzoznamu"/>
        <w:rPr>
          <w:rFonts w:ascii="Times New Roman" w:hAnsi="Times New Roman" w:cs="Times New Roman"/>
        </w:rPr>
      </w:pPr>
    </w:p>
    <w:p w:rsidR="00AF3248" w:rsidRDefault="00AF3248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finančný majetok</w:t>
      </w:r>
    </w:p>
    <w:p w:rsidR="00AF3248" w:rsidRDefault="00AF3248" w:rsidP="00AF3248">
      <w:pPr>
        <w:pStyle w:val="Odsekzoznamu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o pohybe dlhodobého finančného majetku</w:t>
      </w:r>
    </w:p>
    <w:p w:rsidR="00AF3248" w:rsidRDefault="00AF3248" w:rsidP="00AF3248">
      <w:pPr>
        <w:pStyle w:val="Odsekzoznamu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položke finančný majetok obec vedie podiely – cenné papiere v Západoslovenskej vodárenskej spoločnosti, a.s. v menovitej hodnote 33,19 €, počet CP 8 805 ks, podiel emisie 0,17 % v celkovej hodnote 292 237,95 €.</w:t>
      </w:r>
    </w:p>
    <w:p w:rsidR="00035232" w:rsidRDefault="00035232" w:rsidP="00035232">
      <w:pPr>
        <w:pStyle w:val="Odsekzoznamu"/>
        <w:rPr>
          <w:rFonts w:ascii="Times New Roman" w:hAnsi="Times New Roman" w:cs="Times New Roman"/>
          <w:b/>
        </w:rPr>
      </w:pPr>
    </w:p>
    <w:p w:rsidR="00AF3248" w:rsidRPr="00035232" w:rsidRDefault="00AF3248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Pohľadávky</w:t>
      </w:r>
    </w:p>
    <w:p w:rsidR="00AF3248" w:rsidRDefault="00AF3248" w:rsidP="00ED502C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</w:t>
      </w:r>
      <w:r w:rsidR="00ED502C">
        <w:rPr>
          <w:rFonts w:ascii="Times New Roman" w:hAnsi="Times New Roman" w:cs="Times New Roman"/>
        </w:rPr>
        <w:t xml:space="preserve"> vybraných</w:t>
      </w:r>
      <w:r>
        <w:rPr>
          <w:rFonts w:ascii="Times New Roman" w:hAnsi="Times New Roman" w:cs="Times New Roman"/>
        </w:rPr>
        <w:t xml:space="preserve"> pohľadávok podľa jednotlivých zložiek súvahy</w:t>
      </w:r>
    </w:p>
    <w:tbl>
      <w:tblPr>
        <w:tblStyle w:val="Mriekatabuky"/>
        <w:tblW w:w="0" w:type="auto"/>
        <w:tblInd w:w="720" w:type="dxa"/>
        <w:tblLook w:val="04A0"/>
      </w:tblPr>
      <w:tblGrid>
        <w:gridCol w:w="1089"/>
        <w:gridCol w:w="1985"/>
        <w:gridCol w:w="1843"/>
        <w:gridCol w:w="3651"/>
      </w:tblGrid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</w:t>
            </w:r>
          </w:p>
        </w:tc>
        <w:tc>
          <w:tcPr>
            <w:tcW w:w="1985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brutto</w:t>
            </w:r>
          </w:p>
        </w:tc>
        <w:tc>
          <w:tcPr>
            <w:tcW w:w="1843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netto</w:t>
            </w:r>
          </w:p>
        </w:tc>
        <w:tc>
          <w:tcPr>
            <w:tcW w:w="3651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</w:t>
            </w:r>
          </w:p>
        </w:tc>
      </w:tr>
      <w:tr w:rsidR="00ED502C" w:rsidTr="00AF3248">
        <w:tc>
          <w:tcPr>
            <w:tcW w:w="1089" w:type="dxa"/>
          </w:tcPr>
          <w:p w:rsidR="00ED502C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315</w:t>
            </w:r>
          </w:p>
        </w:tc>
        <w:tc>
          <w:tcPr>
            <w:tcW w:w="1985" w:type="dxa"/>
          </w:tcPr>
          <w:p w:rsidR="00ED502C" w:rsidRDefault="00ED502C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127,98</w:t>
            </w:r>
          </w:p>
        </w:tc>
        <w:tc>
          <w:tcPr>
            <w:tcW w:w="1843" w:type="dxa"/>
          </w:tcPr>
          <w:p w:rsidR="00ED502C" w:rsidRDefault="00ED502C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127,98</w:t>
            </w:r>
          </w:p>
        </w:tc>
        <w:tc>
          <w:tcPr>
            <w:tcW w:w="3651" w:type="dxa"/>
          </w:tcPr>
          <w:p w:rsidR="00ED502C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stravné a RN detí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7 049,15</w:t>
            </w:r>
          </w:p>
        </w:tc>
        <w:tc>
          <w:tcPr>
            <w:tcW w:w="1843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7 049,15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vývoz TKO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132,76</w:t>
            </w:r>
          </w:p>
        </w:tc>
        <w:tc>
          <w:tcPr>
            <w:tcW w:w="1843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132,76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nájom</w:t>
            </w:r>
          </w:p>
        </w:tc>
      </w:tr>
      <w:tr w:rsidR="00ED502C" w:rsidTr="00ED502C">
        <w:trPr>
          <w:trHeight w:val="344"/>
        </w:trPr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16,50</w:t>
            </w:r>
          </w:p>
        </w:tc>
        <w:tc>
          <w:tcPr>
            <w:tcW w:w="1843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16,50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vývoz stavebného odpadu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2494,36</w:t>
            </w:r>
          </w:p>
        </w:tc>
        <w:tc>
          <w:tcPr>
            <w:tcW w:w="1843" w:type="dxa"/>
          </w:tcPr>
          <w:p w:rsidR="00AF3248" w:rsidRDefault="00AF3248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2494,36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voči odberateľom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222,86</w:t>
            </w:r>
          </w:p>
        </w:tc>
        <w:tc>
          <w:tcPr>
            <w:tcW w:w="1843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222,86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psa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8806,24</w:t>
            </w:r>
          </w:p>
        </w:tc>
        <w:tc>
          <w:tcPr>
            <w:tcW w:w="1843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8806,24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daň z nehnuteľnosti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55,33</w:t>
            </w:r>
          </w:p>
        </w:tc>
        <w:tc>
          <w:tcPr>
            <w:tcW w:w="1843" w:type="dxa"/>
          </w:tcPr>
          <w:p w:rsidR="00AF3248" w:rsidRDefault="00AF3248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55,33</w:t>
            </w:r>
          </w:p>
        </w:tc>
        <w:tc>
          <w:tcPr>
            <w:tcW w:w="3651" w:type="dxa"/>
          </w:tcPr>
          <w:p w:rsidR="00AF3248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nevýherné hracie prístroje</w:t>
            </w:r>
          </w:p>
        </w:tc>
      </w:tr>
    </w:tbl>
    <w:p w:rsidR="00AF3248" w:rsidRPr="00AF3248" w:rsidRDefault="00AF3248" w:rsidP="00AF3248">
      <w:pPr>
        <w:pStyle w:val="Odsekzoznamu"/>
        <w:rPr>
          <w:rFonts w:ascii="Times New Roman" w:hAnsi="Times New Roman" w:cs="Times New Roman"/>
        </w:rPr>
      </w:pPr>
    </w:p>
    <w:p w:rsidR="00AF3248" w:rsidRPr="00035232" w:rsidRDefault="00ED502C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Finančný majetok</w:t>
      </w:r>
    </w:p>
    <w:p w:rsidR="00ED502C" w:rsidRDefault="00ED502C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Opis významných zložiek krátkodobého finančného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3071" w:type="dxa"/>
          </w:tcPr>
          <w:p w:rsidR="00ED502C" w:rsidRDefault="00ED502C" w:rsidP="000352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31.12.2021</w:t>
            </w:r>
          </w:p>
        </w:tc>
        <w:tc>
          <w:tcPr>
            <w:tcW w:w="3071" w:type="dxa"/>
          </w:tcPr>
          <w:p w:rsidR="00ED502C" w:rsidRDefault="00ED502C" w:rsidP="000352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31.12.2020</w:t>
            </w:r>
          </w:p>
        </w:tc>
      </w:tr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262 630,46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210 234,74</w:t>
            </w:r>
          </w:p>
        </w:tc>
      </w:tr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485,80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556,69</w:t>
            </w:r>
          </w:p>
        </w:tc>
      </w:tr>
      <w:tr w:rsidR="00ED502C" w:rsidTr="00ED502C">
        <w:trPr>
          <w:trHeight w:val="103"/>
        </w:trPr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102,15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23,40</w:t>
            </w:r>
          </w:p>
        </w:tc>
      </w:tr>
    </w:tbl>
    <w:p w:rsidR="00ED502C" w:rsidRDefault="00ED502C" w:rsidP="00ED502C">
      <w:pPr>
        <w:rPr>
          <w:rFonts w:ascii="Times New Roman" w:hAnsi="Times New Roman" w:cs="Times New Roman"/>
        </w:rPr>
      </w:pPr>
    </w:p>
    <w:p w:rsidR="00ED502C" w:rsidRDefault="00ED502C" w:rsidP="00ED502C">
      <w:pPr>
        <w:rPr>
          <w:rFonts w:ascii="Times New Roman" w:hAnsi="Times New Roman" w:cs="Times New Roman"/>
        </w:rPr>
      </w:pPr>
    </w:p>
    <w:p w:rsidR="00ED502C" w:rsidRDefault="00ED502C" w:rsidP="00ED502C">
      <w:pPr>
        <w:rPr>
          <w:rFonts w:ascii="Times New Roman" w:hAnsi="Times New Roman" w:cs="Times New Roman"/>
        </w:rPr>
      </w:pPr>
    </w:p>
    <w:p w:rsidR="005362BD" w:rsidRDefault="005362BD" w:rsidP="00ED502C">
      <w:pPr>
        <w:rPr>
          <w:rFonts w:ascii="Times New Roman" w:hAnsi="Times New Roman" w:cs="Times New Roman"/>
          <w:b/>
        </w:rPr>
      </w:pPr>
    </w:p>
    <w:p w:rsidR="00ED502C" w:rsidRPr="00035232" w:rsidRDefault="00ED502C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lastRenderedPageBreak/>
        <w:t>Časové rozlíšenie</w:t>
      </w:r>
    </w:p>
    <w:p w:rsidR="00ED502C" w:rsidRDefault="00ED502C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Významné položky časového rozlíšenia nákladov budúcich období a príjmov budúcich období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D502C" w:rsidTr="00ED502C">
        <w:tc>
          <w:tcPr>
            <w:tcW w:w="3070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jednotlivých položiek</w:t>
            </w:r>
          </w:p>
        </w:tc>
        <w:tc>
          <w:tcPr>
            <w:tcW w:w="3071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31.12.2021</w:t>
            </w:r>
          </w:p>
        </w:tc>
        <w:tc>
          <w:tcPr>
            <w:tcW w:w="3071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31.12.2020</w:t>
            </w:r>
          </w:p>
        </w:tc>
      </w:tr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2917,20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3 771,71</w:t>
            </w:r>
          </w:p>
        </w:tc>
      </w:tr>
      <w:tr w:rsidR="00ED502C" w:rsidTr="00ED502C">
        <w:tc>
          <w:tcPr>
            <w:tcW w:w="3070" w:type="dxa"/>
          </w:tcPr>
          <w:p w:rsidR="00ED502C" w:rsidRPr="00ED502C" w:rsidRDefault="00ED502C" w:rsidP="00ED502C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Poistné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2773,07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3 189,48</w:t>
            </w:r>
          </w:p>
        </w:tc>
      </w:tr>
      <w:tr w:rsidR="00ED502C" w:rsidTr="00ED502C">
        <w:tc>
          <w:tcPr>
            <w:tcW w:w="3070" w:type="dxa"/>
          </w:tcPr>
          <w:p w:rsidR="00ED502C" w:rsidRPr="00ED502C" w:rsidRDefault="00ED502C" w:rsidP="00ED502C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Predplatné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144,13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582,23</w:t>
            </w:r>
          </w:p>
        </w:tc>
      </w:tr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Príjmy budúcich období 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071" w:type="dxa"/>
          </w:tcPr>
          <w:p w:rsidR="00ED502C" w:rsidRDefault="00ED502C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D502C" w:rsidRDefault="00ED502C" w:rsidP="00ED502C">
      <w:pPr>
        <w:rPr>
          <w:rFonts w:ascii="Times New Roman" w:hAnsi="Times New Roman" w:cs="Times New Roman"/>
        </w:rPr>
      </w:pPr>
    </w:p>
    <w:p w:rsidR="005362BD" w:rsidRDefault="005362BD" w:rsidP="00ED502C">
      <w:pPr>
        <w:jc w:val="center"/>
        <w:rPr>
          <w:rFonts w:ascii="Times New Roman" w:hAnsi="Times New Roman" w:cs="Times New Roman"/>
          <w:b/>
        </w:rPr>
      </w:pPr>
    </w:p>
    <w:p w:rsidR="00ED502C" w:rsidRPr="00ED502C" w:rsidRDefault="00ED502C" w:rsidP="00ED502C">
      <w:pPr>
        <w:jc w:val="center"/>
        <w:rPr>
          <w:rFonts w:ascii="Times New Roman" w:hAnsi="Times New Roman" w:cs="Times New Roman"/>
          <w:b/>
        </w:rPr>
      </w:pPr>
      <w:r w:rsidRPr="00ED502C">
        <w:rPr>
          <w:rFonts w:ascii="Times New Roman" w:hAnsi="Times New Roman" w:cs="Times New Roman"/>
          <w:b/>
        </w:rPr>
        <w:t>Čl. IV</w:t>
      </w:r>
    </w:p>
    <w:p w:rsidR="00ED502C" w:rsidRDefault="00ED502C" w:rsidP="00ED502C">
      <w:pPr>
        <w:jc w:val="center"/>
        <w:rPr>
          <w:rFonts w:ascii="Times New Roman" w:hAnsi="Times New Roman" w:cs="Times New Roman"/>
          <w:b/>
        </w:rPr>
      </w:pPr>
      <w:r w:rsidRPr="00ED502C">
        <w:rPr>
          <w:rFonts w:ascii="Times New Roman" w:hAnsi="Times New Roman" w:cs="Times New Roman"/>
          <w:b/>
        </w:rPr>
        <w:t>Informácie o vybraných údajoch na strane pasív súvahy</w:t>
      </w:r>
    </w:p>
    <w:p w:rsidR="00ED502C" w:rsidRDefault="00ED502C" w:rsidP="00ED502C">
      <w:pPr>
        <w:jc w:val="center"/>
        <w:rPr>
          <w:rFonts w:ascii="Times New Roman" w:hAnsi="Times New Roman" w:cs="Times New Roman"/>
        </w:rPr>
      </w:pPr>
    </w:p>
    <w:p w:rsidR="00ED502C" w:rsidRPr="00035232" w:rsidRDefault="00ED502C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Vlastné imanie</w:t>
      </w:r>
    </w:p>
    <w:p w:rsidR="00ED502C" w:rsidRDefault="00ED502C" w:rsidP="00ED502C">
      <w:pPr>
        <w:rPr>
          <w:rFonts w:ascii="Times New Roman" w:hAnsi="Times New Roman" w:cs="Times New Roman"/>
        </w:rPr>
      </w:pPr>
      <w:r w:rsidRPr="00ED502C">
        <w:rPr>
          <w:rFonts w:ascii="Times New Roman" w:hAnsi="Times New Roman" w:cs="Times New Roman"/>
        </w:rPr>
        <w:t xml:space="preserve">Výsledok hospodárenia je rozdiel výnosov a nákladov. Za účtovné obdobie je vo výške </w:t>
      </w:r>
      <w:r>
        <w:rPr>
          <w:rFonts w:ascii="Times New Roman" w:hAnsi="Times New Roman" w:cs="Times New Roman"/>
        </w:rPr>
        <w:t>88 533,10 €. Nevysporiadaný výsledo</w:t>
      </w:r>
      <w:r w:rsidR="005362BD">
        <w:rPr>
          <w:rFonts w:ascii="Times New Roman" w:hAnsi="Times New Roman" w:cs="Times New Roman"/>
        </w:rPr>
        <w:t>k</w:t>
      </w:r>
      <w:r>
        <w:rPr>
          <w:rFonts w:ascii="Times New Roman" w:hAnsi="Times New Roman" w:cs="Times New Roman"/>
        </w:rPr>
        <w:t xml:space="preserve"> hospodárenia z minulých rokov obec eviduje v hodnote 2 019 268,53</w:t>
      </w:r>
      <w:r w:rsidR="005362BD">
        <w:rPr>
          <w:rFonts w:ascii="Times New Roman" w:hAnsi="Times New Roman" w:cs="Times New Roman"/>
        </w:rPr>
        <w:t xml:space="preserve"> €. Podrobný popis vlastného imania je možné vidieť v tabuľkovej časti poznámok, tabuľka č. 5.</w:t>
      </w: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Rezervy</w:t>
      </w:r>
    </w:p>
    <w:p w:rsidR="005362BD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tvorí rezervu na audit vo výške 1 300,00 €.</w:t>
      </w: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Záväzky</w:t>
      </w:r>
    </w:p>
    <w:p w:rsidR="005362BD" w:rsidRDefault="005362BD" w:rsidP="00ED502C">
      <w:pPr>
        <w:rPr>
          <w:rFonts w:ascii="Times New Roman" w:hAnsi="Times New Roman" w:cs="Times New Roman"/>
        </w:rPr>
      </w:pPr>
      <w:r w:rsidRPr="005362BD">
        <w:rPr>
          <w:rFonts w:ascii="Times New Roman" w:hAnsi="Times New Roman" w:cs="Times New Roman"/>
        </w:rPr>
        <w:t>Prehľad vybraných záväzkov:</w:t>
      </w:r>
    </w:p>
    <w:tbl>
      <w:tblPr>
        <w:tblStyle w:val="Mriekatabuky"/>
        <w:tblW w:w="9322" w:type="dxa"/>
        <w:tblLook w:val="04A0"/>
      </w:tblPr>
      <w:tblGrid>
        <w:gridCol w:w="6629"/>
        <w:gridCol w:w="2693"/>
      </w:tblGrid>
      <w:tr w:rsidR="005362BD" w:rsidTr="005362BD">
        <w:tc>
          <w:tcPr>
            <w:tcW w:w="6629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záväzku</w:t>
            </w:r>
          </w:p>
        </w:tc>
        <w:tc>
          <w:tcPr>
            <w:tcW w:w="2693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31.12.2021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775,37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195 815,27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finančnej zábezpeky na nájomné v bytovkách ŠFRB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10 654,20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dodávateľom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138 072,37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zamestnancom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16 104,34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poisťovniam sociálneho a zdravotného zabezpečenia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10 091,52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2186,48</w:t>
            </w:r>
          </w:p>
        </w:tc>
      </w:tr>
    </w:tbl>
    <w:p w:rsidR="005362BD" w:rsidRDefault="005362BD" w:rsidP="00ED502C">
      <w:pPr>
        <w:rPr>
          <w:rFonts w:ascii="Times New Roman" w:hAnsi="Times New Roman" w:cs="Times New Roman"/>
        </w:rPr>
      </w:pP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Bankové úvery</w:t>
      </w:r>
    </w:p>
    <w:p w:rsidR="005362BD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spláca bankový úver od Štátneho fondu rozvoja bývania v mesačných splátkach skladajúcich sa zo splátky istiny a úroku. K 31.12.2021 činil zostatok istiny úveru 195 815,27 €.</w:t>
      </w:r>
    </w:p>
    <w:p w:rsidR="005362BD" w:rsidRDefault="005362BD" w:rsidP="00ED502C">
      <w:pPr>
        <w:rPr>
          <w:rFonts w:ascii="Times New Roman" w:hAnsi="Times New Roman" w:cs="Times New Roman"/>
          <w:b/>
        </w:rPr>
      </w:pPr>
    </w:p>
    <w:p w:rsidR="005362BD" w:rsidRDefault="005362BD" w:rsidP="00ED502C">
      <w:pPr>
        <w:rPr>
          <w:rFonts w:ascii="Times New Roman" w:hAnsi="Times New Roman" w:cs="Times New Roman"/>
          <w:b/>
        </w:rPr>
      </w:pPr>
    </w:p>
    <w:p w:rsidR="005362BD" w:rsidRDefault="005362BD" w:rsidP="00ED502C">
      <w:pPr>
        <w:rPr>
          <w:rFonts w:ascii="Times New Roman" w:hAnsi="Times New Roman" w:cs="Times New Roman"/>
          <w:b/>
        </w:rPr>
      </w:pPr>
    </w:p>
    <w:p w:rsidR="00035232" w:rsidRPr="00035232" w:rsidRDefault="00035232" w:rsidP="00035232">
      <w:pPr>
        <w:pStyle w:val="Odsekzoznamu"/>
        <w:rPr>
          <w:rFonts w:ascii="Times New Roman" w:hAnsi="Times New Roman" w:cs="Times New Roman"/>
          <w:b/>
        </w:rPr>
      </w:pP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lastRenderedPageBreak/>
        <w:t>Časové rozlíšenie</w:t>
      </w:r>
    </w:p>
    <w:p w:rsidR="005362BD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Popis významných položiek časového rozlíšenia výdavkov budúcich období a výnosov budúcich období </w:t>
      </w:r>
    </w:p>
    <w:tbl>
      <w:tblPr>
        <w:tblStyle w:val="Mriekatabuky"/>
        <w:tblW w:w="0" w:type="auto"/>
        <w:tblLook w:val="04A0"/>
      </w:tblPr>
      <w:tblGrid>
        <w:gridCol w:w="6629"/>
        <w:gridCol w:w="2583"/>
      </w:tblGrid>
      <w:tr w:rsidR="005362BD" w:rsidTr="005362BD">
        <w:tc>
          <w:tcPr>
            <w:tcW w:w="6629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položky</w:t>
            </w:r>
          </w:p>
        </w:tc>
        <w:tc>
          <w:tcPr>
            <w:tcW w:w="2583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31.12.2021</w:t>
            </w:r>
          </w:p>
        </w:tc>
      </w:tr>
      <w:tr w:rsidR="005362BD" w:rsidTr="005362BD">
        <w:tc>
          <w:tcPr>
            <w:tcW w:w="6629" w:type="dxa"/>
          </w:tcPr>
          <w:p w:rsidR="005362BD" w:rsidRPr="005362BD" w:rsidRDefault="005362BD" w:rsidP="0005586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Zdravotného strediska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16 661,92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3x6 b. j., separovaný zber, rozvody po obci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123 362,74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územný plán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2 640,00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tribúna OFK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16 063,26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zberný dvor Kovarce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123 320,43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hrobové miesta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275,10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KD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150 691,27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</w:t>
            </w:r>
            <w:r w:rsidR="005362BD">
              <w:rPr>
                <w:rFonts w:ascii="Times New Roman" w:hAnsi="Times New Roman" w:cs="Times New Roman"/>
              </w:rPr>
              <w:t>tr</w:t>
            </w:r>
            <w:r>
              <w:rPr>
                <w:rFonts w:ascii="Times New Roman" w:hAnsi="Times New Roman" w:cs="Times New Roman"/>
              </w:rPr>
              <w:t>u</w:t>
            </w:r>
            <w:r w:rsidR="005362BD">
              <w:rPr>
                <w:rFonts w:ascii="Times New Roman" w:hAnsi="Times New Roman" w:cs="Times New Roman"/>
              </w:rPr>
              <w:t>kcia kotolne ZŠ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14 239,30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telocvične ZŠ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45 918,43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elektroinštalácie ZŠ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76 601,96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rozšírenie kapacity MŠ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29 857,49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stavebné úpravy ZŠ pavilón B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42 823,98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nadstavba hasičskej zbrojnice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27 624,96</w:t>
            </w:r>
          </w:p>
        </w:tc>
      </w:tr>
      <w:tr w:rsidR="0005586F" w:rsidTr="005362BD">
        <w:tc>
          <w:tcPr>
            <w:tcW w:w="6629" w:type="dxa"/>
          </w:tcPr>
          <w:p w:rsidR="0005586F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modernizácia verejného osvetlenia</w:t>
            </w:r>
          </w:p>
        </w:tc>
        <w:tc>
          <w:tcPr>
            <w:tcW w:w="2583" w:type="dxa"/>
          </w:tcPr>
          <w:p w:rsidR="0005586F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4 437,58</w:t>
            </w:r>
          </w:p>
        </w:tc>
      </w:tr>
      <w:tr w:rsidR="0005586F" w:rsidTr="005362BD">
        <w:tc>
          <w:tcPr>
            <w:tcW w:w="6629" w:type="dxa"/>
          </w:tcPr>
          <w:p w:rsidR="0005586F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kanalizácia</w:t>
            </w:r>
          </w:p>
        </w:tc>
        <w:tc>
          <w:tcPr>
            <w:tcW w:w="2583" w:type="dxa"/>
          </w:tcPr>
          <w:p w:rsidR="0005586F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487 112,43</w:t>
            </w:r>
          </w:p>
        </w:tc>
      </w:tr>
    </w:tbl>
    <w:p w:rsidR="005362BD" w:rsidRPr="0005586F" w:rsidRDefault="005362BD" w:rsidP="0005586F">
      <w:pPr>
        <w:jc w:val="center"/>
        <w:rPr>
          <w:rFonts w:ascii="Times New Roman" w:hAnsi="Times New Roman" w:cs="Times New Roman"/>
          <w:b/>
        </w:rPr>
      </w:pPr>
    </w:p>
    <w:p w:rsidR="0005586F" w:rsidRPr="0005586F" w:rsidRDefault="0005586F" w:rsidP="0005586F">
      <w:pPr>
        <w:jc w:val="center"/>
        <w:rPr>
          <w:rFonts w:ascii="Times New Roman" w:hAnsi="Times New Roman" w:cs="Times New Roman"/>
          <w:b/>
        </w:rPr>
      </w:pPr>
      <w:r w:rsidRPr="0005586F">
        <w:rPr>
          <w:rFonts w:ascii="Times New Roman" w:hAnsi="Times New Roman" w:cs="Times New Roman"/>
          <w:b/>
        </w:rPr>
        <w:t>Čl. V</w:t>
      </w:r>
    </w:p>
    <w:p w:rsidR="0005586F" w:rsidRDefault="0005586F" w:rsidP="0005586F">
      <w:pPr>
        <w:jc w:val="center"/>
        <w:rPr>
          <w:rFonts w:ascii="Times New Roman" w:hAnsi="Times New Roman" w:cs="Times New Roman"/>
          <w:b/>
        </w:rPr>
      </w:pPr>
      <w:r w:rsidRPr="0005586F">
        <w:rPr>
          <w:rFonts w:ascii="Times New Roman" w:hAnsi="Times New Roman" w:cs="Times New Roman"/>
          <w:b/>
        </w:rPr>
        <w:t>Informácie o výnosoch a</w:t>
      </w:r>
      <w:r>
        <w:rPr>
          <w:rFonts w:ascii="Times New Roman" w:hAnsi="Times New Roman" w:cs="Times New Roman"/>
          <w:b/>
        </w:rPr>
        <w:t> </w:t>
      </w:r>
      <w:r w:rsidRPr="0005586F">
        <w:rPr>
          <w:rFonts w:ascii="Times New Roman" w:hAnsi="Times New Roman" w:cs="Times New Roman"/>
          <w:b/>
        </w:rPr>
        <w:t>nákladoch</w:t>
      </w:r>
    </w:p>
    <w:p w:rsidR="0005586F" w:rsidRDefault="0005586F" w:rsidP="0005586F">
      <w:pPr>
        <w:jc w:val="center"/>
        <w:rPr>
          <w:rFonts w:ascii="Times New Roman" w:hAnsi="Times New Roman" w:cs="Times New Roman"/>
          <w:b/>
        </w:rPr>
      </w:pPr>
    </w:p>
    <w:p w:rsidR="0005586F" w:rsidRDefault="0005586F" w:rsidP="0005586F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Výnosy – popis a výška významných položiek</w:t>
      </w:r>
    </w:p>
    <w:tbl>
      <w:tblPr>
        <w:tblStyle w:val="Mriekatabuky"/>
        <w:tblW w:w="0" w:type="auto"/>
        <w:tblInd w:w="-34" w:type="dxa"/>
        <w:tblLook w:val="04A0"/>
      </w:tblPr>
      <w:tblGrid>
        <w:gridCol w:w="6663"/>
        <w:gridCol w:w="2551"/>
      </w:tblGrid>
      <w:tr w:rsidR="0005586F" w:rsidTr="0005586F">
        <w:tc>
          <w:tcPr>
            <w:tcW w:w="6663" w:type="dxa"/>
          </w:tcPr>
          <w:p w:rsidR="0005586F" w:rsidRDefault="0005586F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551" w:type="dxa"/>
          </w:tcPr>
          <w:p w:rsid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 k 31.12.2021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602 – vyhlasovanie, kopírovanie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454</w:t>
            </w:r>
            <w:r w:rsidR="00CA6F6A">
              <w:rPr>
                <w:rFonts w:ascii="Times New Roman" w:hAnsi="Times New Roman" w:cs="Times New Roman"/>
              </w:rPr>
              <w:t>,00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– sociálne služby, donáška obedov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11 619,2</w:t>
            </w:r>
            <w:r w:rsidR="00CA6F6A">
              <w:rPr>
                <w:rFonts w:ascii="Times New Roman" w:hAnsi="Times New Roman" w:cs="Times New Roman"/>
              </w:rPr>
              <w:t>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– poplatky a stravné MŠ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6 551,85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602 - stočné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30 119,56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– ostatné služby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6 465,41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622 – stravovanie pracovníkov MŠ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1 292,00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podielové dane</w:t>
            </w:r>
          </w:p>
        </w:tc>
        <w:tc>
          <w:tcPr>
            <w:tcW w:w="2551" w:type="dxa"/>
          </w:tcPr>
          <w:p w:rsidR="0005586F" w:rsidRPr="0005586F" w:rsidRDefault="0005586F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569 192,60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za psa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894,76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</w:t>
            </w:r>
            <w:r w:rsidR="00CA6F6A">
              <w:rPr>
                <w:rFonts w:ascii="Times New Roman" w:hAnsi="Times New Roman" w:cs="Times New Roman"/>
              </w:rPr>
              <w:t> nehnuteľnosti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62 162,00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za užívanie verejného priestranstva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792,06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za vývoz TKO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29 136,15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správne poplatky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CA6F6A">
              <w:rPr>
                <w:rFonts w:ascii="Times New Roman" w:hAnsi="Times New Roman" w:cs="Times New Roman"/>
              </w:rPr>
              <w:t>6 954,03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cintorínske poplatky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439,52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642 – smetné nádoby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774,60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nájom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CA6F6A">
              <w:rPr>
                <w:rFonts w:ascii="Times New Roman" w:hAnsi="Times New Roman" w:cs="Times New Roman"/>
              </w:rPr>
              <w:t>38 198,65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refundácie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CA6F6A">
              <w:rPr>
                <w:rFonts w:ascii="Times New Roman" w:hAnsi="Times New Roman" w:cs="Times New Roman"/>
              </w:rPr>
              <w:t>2 209,56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ostatné výnosy s hospodárskej činnosti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CA6F6A">
              <w:rPr>
                <w:rFonts w:ascii="Times New Roman" w:hAnsi="Times New Roman" w:cs="Times New Roman"/>
              </w:rPr>
              <w:t>1 232,54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668 – odmeny za zostatky na bankových účtoch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207,00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693 – výnosy samosprávy z bežných transferov zo SŘ</w:t>
            </w:r>
          </w:p>
        </w:tc>
        <w:tc>
          <w:tcPr>
            <w:tcW w:w="2551" w:type="dxa"/>
          </w:tcPr>
          <w:p w:rsidR="0005586F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56 761,63</w:t>
            </w:r>
          </w:p>
        </w:tc>
      </w:tr>
      <w:tr w:rsidR="00CA6F6A" w:rsidTr="0005586F">
        <w:tc>
          <w:tcPr>
            <w:tcW w:w="6663" w:type="dxa"/>
          </w:tcPr>
          <w:p w:rsidR="00CA6F6A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694 – výnosy samosprávy z kapitálových transferov</w:t>
            </w:r>
          </w:p>
        </w:tc>
        <w:tc>
          <w:tcPr>
            <w:tcW w:w="2551" w:type="dxa"/>
          </w:tcPr>
          <w:p w:rsidR="00CA6F6A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63 876,31</w:t>
            </w:r>
          </w:p>
        </w:tc>
      </w:tr>
      <w:tr w:rsidR="00CA6F6A" w:rsidTr="0005586F">
        <w:tc>
          <w:tcPr>
            <w:tcW w:w="6663" w:type="dxa"/>
          </w:tcPr>
          <w:p w:rsidR="00CA6F6A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699 – výnosy samosprávy z odvodu rozpočtových príjmov</w:t>
            </w:r>
          </w:p>
        </w:tc>
        <w:tc>
          <w:tcPr>
            <w:tcW w:w="2551" w:type="dxa"/>
          </w:tcPr>
          <w:p w:rsidR="00CA6F6A" w:rsidRPr="0005586F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18 653,84</w:t>
            </w:r>
          </w:p>
        </w:tc>
      </w:tr>
    </w:tbl>
    <w:p w:rsidR="0005586F" w:rsidRDefault="0005586F" w:rsidP="0005586F">
      <w:pPr>
        <w:pStyle w:val="Odsekzoznamu"/>
        <w:rPr>
          <w:rFonts w:ascii="Times New Roman" w:hAnsi="Times New Roman" w:cs="Times New Roman"/>
          <w:b/>
        </w:rPr>
      </w:pPr>
    </w:p>
    <w:p w:rsidR="00CA6F6A" w:rsidRDefault="00CA6F6A" w:rsidP="00CA6F6A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Náklady – popis a výška významných položiek </w:t>
      </w:r>
    </w:p>
    <w:tbl>
      <w:tblPr>
        <w:tblStyle w:val="Mriekatabuky"/>
        <w:tblW w:w="9356" w:type="dxa"/>
        <w:tblInd w:w="-34" w:type="dxa"/>
        <w:tblLook w:val="04A0"/>
      </w:tblPr>
      <w:tblGrid>
        <w:gridCol w:w="6663"/>
        <w:gridCol w:w="2693"/>
      </w:tblGrid>
      <w:tr w:rsidR="00CA6F6A" w:rsidTr="00CA6F6A">
        <w:tc>
          <w:tcPr>
            <w:tcW w:w="6663" w:type="dxa"/>
          </w:tcPr>
          <w:p w:rsidR="00CA6F6A" w:rsidRDefault="00CA6F6A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693" w:type="dxa"/>
          </w:tcPr>
          <w:p w:rsidR="00CA6F6A" w:rsidRDefault="00CA6F6A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 k 31.12.2021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501 – Spotreba materiálu</w:t>
            </w:r>
          </w:p>
        </w:tc>
        <w:tc>
          <w:tcPr>
            <w:tcW w:w="2693" w:type="dxa"/>
          </w:tcPr>
          <w:p w:rsidR="00CA6F6A" w:rsidRPr="00CA6F6A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33 273,97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502 – Spotreba energií</w:t>
            </w:r>
          </w:p>
        </w:tc>
        <w:tc>
          <w:tcPr>
            <w:tcW w:w="2693" w:type="dxa"/>
          </w:tcPr>
          <w:p w:rsidR="00CA6F6A" w:rsidRPr="00CA6F6A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52 284,99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 – Opravy a udržiavanie</w:t>
            </w:r>
          </w:p>
        </w:tc>
        <w:tc>
          <w:tcPr>
            <w:tcW w:w="2693" w:type="dxa"/>
          </w:tcPr>
          <w:p w:rsidR="00CA6F6A" w:rsidRPr="00CA6F6A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9 247,10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512 – Cestovné</w:t>
            </w:r>
          </w:p>
        </w:tc>
        <w:tc>
          <w:tcPr>
            <w:tcW w:w="2693" w:type="dxa"/>
          </w:tcPr>
          <w:p w:rsidR="00CA6F6A" w:rsidRPr="00CA6F6A" w:rsidRDefault="00CA6F6A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2 500,00</w:t>
            </w:r>
          </w:p>
        </w:tc>
      </w:tr>
      <w:tr w:rsidR="00035232" w:rsidTr="00CA6F6A">
        <w:tc>
          <w:tcPr>
            <w:tcW w:w="6663" w:type="dxa"/>
          </w:tcPr>
          <w:p w:rsidR="00035232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521 – Mzdové náklady</w:t>
            </w:r>
          </w:p>
        </w:tc>
        <w:tc>
          <w:tcPr>
            <w:tcW w:w="2693" w:type="dxa"/>
          </w:tcPr>
          <w:p w:rsidR="00035232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230 299,75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 – Zákonné sociálne náklady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78 752,83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525 – Ostatné sociálne poistenie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1 062,40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 – Zákonné sociálne náklady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6 882,13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538</w:t>
            </w:r>
            <w:r w:rsidR="00035232">
              <w:rPr>
                <w:rFonts w:ascii="Times New Roman" w:hAnsi="Times New Roman" w:cs="Times New Roman"/>
              </w:rPr>
              <w:t xml:space="preserve"> – Ostatné dane a poplatky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330,68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551 – Odpisy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114 702,13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562 – Úroky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2 241,53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568 – Ostatné finančné náklady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677,81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584 – Náklady na transfery z rozpočtu obce, VÚC ostatným subjektom verejnej správy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119 549,04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586 – Náklady na transfery z rozpočtu obce, VÚC subjektom mimo verejnej správy</w:t>
            </w:r>
          </w:p>
        </w:tc>
        <w:tc>
          <w:tcPr>
            <w:tcW w:w="2693" w:type="dxa"/>
          </w:tcPr>
          <w:p w:rsidR="00CA6F6A" w:rsidRPr="00CA6F6A" w:rsidRDefault="00035232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17 700,00</w:t>
            </w:r>
          </w:p>
        </w:tc>
      </w:tr>
    </w:tbl>
    <w:p w:rsidR="00CA6F6A" w:rsidRDefault="00CA6F6A" w:rsidP="00CA6F6A">
      <w:pPr>
        <w:pStyle w:val="Odsekzoznamu"/>
        <w:rPr>
          <w:rFonts w:ascii="Times New Roman" w:hAnsi="Times New Roman" w:cs="Times New Roman"/>
          <w:b/>
        </w:rPr>
      </w:pPr>
    </w:p>
    <w:p w:rsidR="00035232" w:rsidRDefault="00035232" w:rsidP="00CA6F6A">
      <w:pPr>
        <w:pStyle w:val="Odsekzoznamu"/>
        <w:rPr>
          <w:rFonts w:ascii="Times New Roman" w:hAnsi="Times New Roman" w:cs="Times New Roman"/>
          <w:b/>
        </w:rPr>
      </w:pP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VI.</w:t>
      </w: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skutočnostiach, ktoré nastali po dni, ku ktorému sa zostavuje účtovná závierka do dňa zostavenia účtovnej závierky</w:t>
      </w: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</w:rPr>
      </w:pPr>
    </w:p>
    <w:p w:rsidR="00035232" w:rsidRPr="00035232" w:rsidRDefault="00035232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31.12.2021 nenastali také udalosti, ktoré by si vyžadovali zverejnenie alebo vykázanie v účtovnej závierke za rok 2021</w:t>
      </w:r>
    </w:p>
    <w:sectPr w:rsidR="00035232" w:rsidRPr="0003523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0F4" w:rsidRDefault="009E20F4" w:rsidP="00DC387D">
      <w:pPr>
        <w:spacing w:after="0" w:line="240" w:lineRule="auto"/>
      </w:pPr>
      <w:r>
        <w:separator/>
      </w:r>
    </w:p>
  </w:endnote>
  <w:endnote w:type="continuationSeparator" w:id="1">
    <w:p w:rsidR="009E20F4" w:rsidRDefault="009E20F4" w:rsidP="00DC38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0F4" w:rsidRDefault="009E20F4" w:rsidP="00DC387D">
      <w:pPr>
        <w:spacing w:after="0" w:line="240" w:lineRule="auto"/>
      </w:pPr>
      <w:r>
        <w:separator/>
      </w:r>
    </w:p>
  </w:footnote>
  <w:footnote w:type="continuationSeparator" w:id="1">
    <w:p w:rsidR="009E20F4" w:rsidRDefault="009E20F4" w:rsidP="00DC38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2BD" w:rsidRPr="00DC387D" w:rsidRDefault="005362BD" w:rsidP="00DC387D">
    <w:pPr>
      <w:pStyle w:val="Hlavika"/>
      <w:jc w:val="center"/>
      <w:rPr>
        <w:rFonts w:ascii="Times New Roman" w:hAnsi="Times New Roman" w:cs="Times New Roman"/>
        <w:sz w:val="24"/>
      </w:rPr>
    </w:pPr>
    <w:r w:rsidRPr="00DC387D">
      <w:rPr>
        <w:rFonts w:ascii="Times New Roman" w:hAnsi="Times New Roman" w:cs="Times New Roman"/>
        <w:sz w:val="24"/>
      </w:rPr>
      <w:t>Obec Kovarce, 956 15 Kovarce č. 461</w:t>
    </w:r>
  </w:p>
  <w:p w:rsidR="005362BD" w:rsidRPr="00DC387D" w:rsidRDefault="005362BD" w:rsidP="00DC387D">
    <w:pPr>
      <w:pStyle w:val="Hlavika"/>
      <w:jc w:val="center"/>
      <w:rPr>
        <w:rFonts w:ascii="Times New Roman" w:hAnsi="Times New Roman" w:cs="Times New Roman"/>
        <w:sz w:val="24"/>
      </w:rPr>
    </w:pPr>
    <w:r w:rsidRPr="00DC387D">
      <w:rPr>
        <w:rFonts w:ascii="Times New Roman" w:hAnsi="Times New Roman" w:cs="Times New Roman"/>
        <w:sz w:val="24"/>
      </w:rPr>
      <w:t>Poznámky individuálnej účtovnej závierky zostavenej k 31. Decembru 2021</w:t>
    </w:r>
  </w:p>
  <w:p w:rsidR="005362BD" w:rsidRDefault="005362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2037B"/>
    <w:multiLevelType w:val="hybridMultilevel"/>
    <w:tmpl w:val="9F5E46A6"/>
    <w:lvl w:ilvl="0" w:tplc="3BE42A6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F8606B"/>
    <w:multiLevelType w:val="hybridMultilevel"/>
    <w:tmpl w:val="6994B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172FA2"/>
    <w:multiLevelType w:val="hybridMultilevel"/>
    <w:tmpl w:val="512A2080"/>
    <w:lvl w:ilvl="0" w:tplc="F77A86E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294359"/>
    <w:multiLevelType w:val="hybridMultilevel"/>
    <w:tmpl w:val="3684B4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9026CE"/>
    <w:multiLevelType w:val="hybridMultilevel"/>
    <w:tmpl w:val="EB7ED7A0"/>
    <w:lvl w:ilvl="0" w:tplc="907EBC44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646139"/>
    <w:multiLevelType w:val="hybridMultilevel"/>
    <w:tmpl w:val="CE4E19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002B1E"/>
    <w:multiLevelType w:val="hybridMultilevel"/>
    <w:tmpl w:val="805814BE"/>
    <w:lvl w:ilvl="0" w:tplc="BBCE7E5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C418FA"/>
    <w:multiLevelType w:val="hybridMultilevel"/>
    <w:tmpl w:val="F696900C"/>
    <w:lvl w:ilvl="0" w:tplc="2B2A31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7330FB6"/>
    <w:multiLevelType w:val="hybridMultilevel"/>
    <w:tmpl w:val="F7ECE4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483C62"/>
    <w:multiLevelType w:val="hybridMultilevel"/>
    <w:tmpl w:val="74D6B26A"/>
    <w:lvl w:ilvl="0" w:tplc="1A326F6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0"/>
  </w:num>
  <w:num w:numId="5">
    <w:abstractNumId w:val="5"/>
  </w:num>
  <w:num w:numId="6">
    <w:abstractNumId w:val="2"/>
  </w:num>
  <w:num w:numId="7">
    <w:abstractNumId w:val="9"/>
  </w:num>
  <w:num w:numId="8">
    <w:abstractNumId w:val="6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C387D"/>
    <w:rsid w:val="00035232"/>
    <w:rsid w:val="0005586F"/>
    <w:rsid w:val="005362BD"/>
    <w:rsid w:val="005925F1"/>
    <w:rsid w:val="006A7C8E"/>
    <w:rsid w:val="009E20F4"/>
    <w:rsid w:val="00AF3248"/>
    <w:rsid w:val="00C6711C"/>
    <w:rsid w:val="00CA6F6A"/>
    <w:rsid w:val="00DC387D"/>
    <w:rsid w:val="00ED5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C3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C387D"/>
  </w:style>
  <w:style w:type="paragraph" w:styleId="Pta">
    <w:name w:val="footer"/>
    <w:basedOn w:val="Normlny"/>
    <w:link w:val="PtaChar"/>
    <w:uiPriority w:val="99"/>
    <w:semiHidden/>
    <w:unhideWhenUsed/>
    <w:rsid w:val="00DC3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C387D"/>
  </w:style>
  <w:style w:type="paragraph" w:styleId="Textbubliny">
    <w:name w:val="Balloon Text"/>
    <w:basedOn w:val="Normlny"/>
    <w:link w:val="TextbublinyChar"/>
    <w:uiPriority w:val="99"/>
    <w:semiHidden/>
    <w:unhideWhenUsed/>
    <w:rsid w:val="00DC3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387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C387D"/>
    <w:pPr>
      <w:ind w:left="720"/>
      <w:contextualSpacing/>
    </w:pPr>
  </w:style>
  <w:style w:type="table" w:styleId="Mriekatabuky">
    <w:name w:val="Table Grid"/>
    <w:basedOn w:val="Normlnatabuka"/>
    <w:uiPriority w:val="59"/>
    <w:rsid w:val="00DC387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1642</Words>
  <Characters>9364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2022-03-30T07:16:00Z</dcterms:created>
  <dcterms:modified xsi:type="dcterms:W3CDTF">2022-03-30T09:00:00Z</dcterms:modified>
</cp:coreProperties>
</file>