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87364" w:rsidRDefault="00270653">
      <w:pPr>
        <w:spacing w:after="120" w:line="240" w:lineRule="auto"/>
        <w:jc w:val="center"/>
      </w:pPr>
      <w:r>
        <w:rPr>
          <w:rFonts w:ascii="Calibri" w:eastAsia="Calibri" w:hAnsi="Calibri" w:cs="Calibri"/>
          <w:b/>
          <w:sz w:val="24"/>
          <w:szCs w:val="24"/>
        </w:rPr>
        <w:t>POZNÁMKY K ÚČTOVNEJ ZÁVIERKE 20</w:t>
      </w:r>
      <w:r w:rsidR="006C0C6B">
        <w:rPr>
          <w:rFonts w:ascii="Calibri" w:eastAsia="Calibri" w:hAnsi="Calibri" w:cs="Calibri"/>
          <w:b/>
          <w:sz w:val="24"/>
          <w:szCs w:val="24"/>
        </w:rPr>
        <w:t>2</w:t>
      </w:r>
      <w:r w:rsidR="00FB12BF">
        <w:rPr>
          <w:rFonts w:ascii="Calibri" w:eastAsia="Calibri" w:hAnsi="Calibri" w:cs="Calibri"/>
          <w:b/>
          <w:sz w:val="24"/>
          <w:szCs w:val="24"/>
        </w:rPr>
        <w:t>1</w:t>
      </w:r>
    </w:p>
    <w:p w:rsidR="00B87364" w:rsidRDefault="00270653">
      <w:pPr>
        <w:spacing w:line="240" w:lineRule="auto"/>
        <w:jc w:val="center"/>
      </w:pPr>
      <w:r>
        <w:rPr>
          <w:rFonts w:ascii="Calibri" w:eastAsia="Calibri" w:hAnsi="Calibri" w:cs="Calibri"/>
          <w:sz w:val="24"/>
          <w:szCs w:val="24"/>
        </w:rPr>
        <w:t xml:space="preserve">zostavené podľa Opatrenia č.MF/23378/2014-74 (FS č.12/2014), ktorým sa ustanovujú podrobnosti o individuálnej účtovnej závierke a rozsahu údajov určených z individuálnej účtovnej závierky na zverejnenie </w:t>
      </w:r>
    </w:p>
    <w:p w:rsidR="00B87364" w:rsidRDefault="00270653">
      <w:pPr>
        <w:spacing w:line="240" w:lineRule="auto"/>
        <w:jc w:val="center"/>
      </w:pPr>
      <w:r>
        <w:rPr>
          <w:rFonts w:ascii="Calibri" w:eastAsia="Calibri" w:hAnsi="Calibri" w:cs="Calibri"/>
          <w:b/>
          <w:sz w:val="24"/>
          <w:szCs w:val="24"/>
        </w:rPr>
        <w:t xml:space="preserve">pre </w:t>
      </w:r>
      <w:r w:rsidR="006A7AB8">
        <w:rPr>
          <w:rFonts w:ascii="Calibri" w:eastAsia="Calibri" w:hAnsi="Calibri" w:cs="Calibri"/>
          <w:b/>
          <w:sz w:val="24"/>
          <w:szCs w:val="24"/>
        </w:rPr>
        <w:t>mikro</w:t>
      </w:r>
      <w:r>
        <w:rPr>
          <w:rFonts w:ascii="Calibri" w:eastAsia="Calibri" w:hAnsi="Calibri" w:cs="Calibri"/>
          <w:b/>
          <w:sz w:val="24"/>
          <w:szCs w:val="24"/>
        </w:rPr>
        <w:t xml:space="preserve"> účtovné jednotky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B87364" w:rsidRDefault="00B87364">
      <w:pPr>
        <w:spacing w:line="240" w:lineRule="auto"/>
      </w:pPr>
    </w:p>
    <w:p w:rsidR="00B87364" w:rsidRDefault="00270653">
      <w:pPr>
        <w:spacing w:line="240" w:lineRule="auto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I – VŠEOBECNÉ INFORMÁCIE</w:t>
      </w:r>
    </w:p>
    <w:p w:rsidR="00B87364" w:rsidRDefault="00B87364">
      <w:pPr>
        <w:spacing w:line="240" w:lineRule="auto"/>
      </w:pPr>
    </w:p>
    <w:p w:rsidR="00B87364" w:rsidRDefault="00270653">
      <w:pPr>
        <w:spacing w:line="240" w:lineRule="auto"/>
      </w:pPr>
      <w:r>
        <w:rPr>
          <w:rFonts w:ascii="Calibri" w:eastAsia="Calibri" w:hAnsi="Calibri" w:cs="Calibri"/>
          <w:sz w:val="24"/>
          <w:szCs w:val="24"/>
        </w:rPr>
        <w:t>1) Základné informácie o účtovnej jednotke:</w:t>
      </w:r>
    </w:p>
    <w:p w:rsidR="00B87364" w:rsidRDefault="00B87364">
      <w:pPr>
        <w:spacing w:line="240" w:lineRule="auto"/>
      </w:pPr>
    </w:p>
    <w:tbl>
      <w:tblPr>
        <w:tblStyle w:val="a"/>
        <w:tblW w:w="9714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835"/>
        <w:gridCol w:w="6879"/>
      </w:tblGrid>
      <w:tr w:rsidR="00B87364">
        <w:trPr>
          <w:trHeight w:val="34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Obchodné meno:</w:t>
            </w:r>
          </w:p>
        </w:tc>
        <w:tc>
          <w:tcPr>
            <w:tcW w:w="6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 w:rsidP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STOMA PRAKTIK, s.r.o.</w:t>
            </w:r>
          </w:p>
        </w:tc>
      </w:tr>
      <w:tr w:rsidR="00B87364">
        <w:trPr>
          <w:trHeight w:val="38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Sídlo:</w:t>
            </w:r>
          </w:p>
        </w:tc>
        <w:tc>
          <w:tcPr>
            <w:tcW w:w="6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 w:rsidP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022 01 Čadca, ul. SNP 739/10</w:t>
            </w:r>
          </w:p>
        </w:tc>
      </w:tr>
      <w:tr w:rsidR="00B87364">
        <w:trPr>
          <w:trHeight w:val="18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Právna forma:</w:t>
            </w:r>
          </w:p>
        </w:tc>
        <w:tc>
          <w:tcPr>
            <w:tcW w:w="6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Spoločnosť s ručením obmedzeným</w:t>
            </w:r>
          </w:p>
        </w:tc>
      </w:tr>
      <w:tr w:rsidR="00B87364">
        <w:trPr>
          <w:trHeight w:val="220"/>
        </w:trPr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Dátum vzniku:</w:t>
            </w:r>
          </w:p>
        </w:tc>
        <w:tc>
          <w:tcPr>
            <w:tcW w:w="6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:rsidR="00B87364" w:rsidRDefault="00270653" w:rsidP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Zápis do obchodného registra: 01.01.2007</w:t>
            </w:r>
          </w:p>
        </w:tc>
      </w:tr>
      <w:tr w:rsidR="00B87364">
        <w:trPr>
          <w:trHeight w:val="260"/>
        </w:trPr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87364" w:rsidRDefault="00270653">
            <w:pPr>
              <w:spacing w:line="240" w:lineRule="auto"/>
              <w:ind w:right="1027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Hlavný predmet podnikania:</w:t>
            </w:r>
          </w:p>
        </w:tc>
        <w:tc>
          <w:tcPr>
            <w:tcW w:w="6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:rsidR="00B87364" w:rsidRDefault="00B87364">
            <w:pPr>
              <w:spacing w:line="240" w:lineRule="auto"/>
              <w:jc w:val="both"/>
            </w:pPr>
          </w:p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Zubná lekárska prax</w:t>
            </w:r>
          </w:p>
        </w:tc>
      </w:tr>
      <w:tr w:rsidR="00B87364">
        <w:trPr>
          <w:trHeight w:val="520"/>
        </w:trPr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Subjekt verejného záujmu:</w:t>
            </w:r>
          </w:p>
        </w:tc>
        <w:tc>
          <w:tcPr>
            <w:tcW w:w="6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:rsidR="00B87364" w:rsidRDefault="00270653" w:rsidP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Spoločnosť</w:t>
            </w:r>
            <w:r w:rsidR="00752F7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STOMA PRAKTIK,</w:t>
            </w:r>
            <w:r w:rsidR="006A7AB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s.r.o. nie je subjektom verejného záujmu (§ 2/14 ZoU).</w:t>
            </w:r>
          </w:p>
        </w:tc>
      </w:tr>
      <w:tr w:rsidR="00B87364">
        <w:trPr>
          <w:trHeight w:val="300"/>
        </w:trPr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Účtovné obdobie:</w:t>
            </w:r>
          </w:p>
        </w:tc>
        <w:tc>
          <w:tcPr>
            <w:tcW w:w="6879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B87364" w:rsidRDefault="00270653" w:rsidP="00FB12BF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Kalendárny rok 20</w:t>
            </w:r>
            <w:r w:rsidR="006C0C6B"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 w:rsidR="00FB12BF"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</w:tr>
    </w:tbl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UJ bola v účtovnom období roku 20</w:t>
      </w:r>
      <w:r w:rsidR="006C0C6B">
        <w:rPr>
          <w:rFonts w:ascii="Calibri" w:eastAsia="Calibri" w:hAnsi="Calibri" w:cs="Calibri"/>
          <w:sz w:val="24"/>
          <w:szCs w:val="24"/>
        </w:rPr>
        <w:t>2</w:t>
      </w:r>
      <w:r w:rsidR="00FB12BF">
        <w:rPr>
          <w:rFonts w:ascii="Calibri" w:eastAsia="Calibri" w:hAnsi="Calibri" w:cs="Calibri"/>
          <w:sz w:val="24"/>
          <w:szCs w:val="24"/>
        </w:rPr>
        <w:t>1</w:t>
      </w:r>
      <w:r>
        <w:rPr>
          <w:rFonts w:ascii="Calibri" w:eastAsia="Calibri" w:hAnsi="Calibri" w:cs="Calibri"/>
          <w:sz w:val="24"/>
          <w:szCs w:val="24"/>
        </w:rPr>
        <w:t xml:space="preserve"> – </w:t>
      </w:r>
      <w:r w:rsidR="006A7AB8">
        <w:rPr>
          <w:rFonts w:ascii="Calibri" w:eastAsia="Calibri" w:hAnsi="Calibri" w:cs="Calibri"/>
          <w:sz w:val="24"/>
          <w:szCs w:val="24"/>
        </w:rPr>
        <w:t>mikro</w:t>
      </w:r>
      <w:r>
        <w:rPr>
          <w:rFonts w:ascii="Calibri" w:eastAsia="Calibri" w:hAnsi="Calibri" w:cs="Calibri"/>
          <w:sz w:val="24"/>
          <w:szCs w:val="24"/>
        </w:rPr>
        <w:t xml:space="preserve"> účtovná jednotka, preto zostavuje účtovnú závierku podľa metodiky pre túto veľkostnú skupinu (Opatrenie č.MF/23378/2014-74).</w:t>
      </w: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</w:pPr>
    </w:p>
    <w:p w:rsidR="006A7AB8" w:rsidRDefault="00270653" w:rsidP="006A7AB8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2) Dátum schválenia účtovnej závierky za bezprostredne predchádzajúce účtovné obdobie príslušným orgánom účtovnej jednotky:</w:t>
      </w:r>
      <w:r w:rsidR="00421F73">
        <w:rPr>
          <w:rFonts w:ascii="Calibri" w:eastAsia="Calibri" w:hAnsi="Calibri" w:cs="Calibri"/>
          <w:sz w:val="24"/>
          <w:szCs w:val="24"/>
        </w:rPr>
        <w:t xml:space="preserve"> </w:t>
      </w:r>
      <w:r w:rsidR="00FB12BF">
        <w:rPr>
          <w:rFonts w:ascii="Calibri" w:eastAsia="Calibri" w:hAnsi="Calibri" w:cs="Calibri"/>
          <w:sz w:val="24"/>
          <w:szCs w:val="24"/>
        </w:rPr>
        <w:t>30</w:t>
      </w:r>
      <w:r w:rsidR="00421F73">
        <w:rPr>
          <w:rFonts w:ascii="Calibri" w:eastAsia="Calibri" w:hAnsi="Calibri" w:cs="Calibri"/>
          <w:sz w:val="24"/>
          <w:szCs w:val="24"/>
        </w:rPr>
        <w:t>.0</w:t>
      </w:r>
      <w:r w:rsidR="00FB12BF">
        <w:rPr>
          <w:rFonts w:ascii="Calibri" w:eastAsia="Calibri" w:hAnsi="Calibri" w:cs="Calibri"/>
          <w:sz w:val="24"/>
          <w:szCs w:val="24"/>
        </w:rPr>
        <w:t>3</w:t>
      </w:r>
      <w:r w:rsidR="00421F73">
        <w:rPr>
          <w:rFonts w:ascii="Calibri" w:eastAsia="Calibri" w:hAnsi="Calibri" w:cs="Calibri"/>
          <w:sz w:val="24"/>
          <w:szCs w:val="24"/>
        </w:rPr>
        <w:t>.20</w:t>
      </w:r>
      <w:r w:rsidR="006C0C6B">
        <w:rPr>
          <w:rFonts w:ascii="Calibri" w:eastAsia="Calibri" w:hAnsi="Calibri" w:cs="Calibri"/>
          <w:sz w:val="24"/>
          <w:szCs w:val="24"/>
        </w:rPr>
        <w:t>2</w:t>
      </w:r>
      <w:r w:rsidR="00FB12BF">
        <w:rPr>
          <w:rFonts w:ascii="Calibri" w:eastAsia="Calibri" w:hAnsi="Calibri" w:cs="Calibri"/>
          <w:sz w:val="24"/>
          <w:szCs w:val="24"/>
        </w:rPr>
        <w:t>1</w:t>
      </w:r>
    </w:p>
    <w:p w:rsidR="00B87364" w:rsidRDefault="00270653" w:rsidP="006A7AB8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B87364" w:rsidRDefault="00270653">
      <w:pPr>
        <w:widowControl w:val="0"/>
        <w:spacing w:line="240" w:lineRule="auto"/>
      </w:pPr>
      <w:r>
        <w:rPr>
          <w:rFonts w:ascii="Calibri" w:eastAsia="Calibri" w:hAnsi="Calibri" w:cs="Calibri"/>
          <w:sz w:val="24"/>
          <w:szCs w:val="24"/>
        </w:rPr>
        <w:t>3) Právny dôvod na zostavenie účtovnej závierky: Účtovná závierka Spoločnosti k 31.12.20</w:t>
      </w:r>
      <w:r w:rsidR="006C0C6B">
        <w:rPr>
          <w:rFonts w:ascii="Calibri" w:eastAsia="Calibri" w:hAnsi="Calibri" w:cs="Calibri"/>
          <w:sz w:val="24"/>
          <w:szCs w:val="24"/>
        </w:rPr>
        <w:t>2</w:t>
      </w:r>
      <w:r w:rsidR="00FB12BF">
        <w:rPr>
          <w:rFonts w:ascii="Calibri" w:eastAsia="Calibri" w:hAnsi="Calibri" w:cs="Calibri"/>
          <w:sz w:val="24"/>
          <w:szCs w:val="24"/>
        </w:rPr>
        <w:t>1</w:t>
      </w:r>
      <w:r>
        <w:rPr>
          <w:rFonts w:ascii="Calibri" w:eastAsia="Calibri" w:hAnsi="Calibri" w:cs="Calibri"/>
          <w:sz w:val="24"/>
          <w:szCs w:val="24"/>
        </w:rPr>
        <w:t xml:space="preserve"> je zostavená ako riadna účtovná závierka podľa §17 ods. 6 Zákona č. 431/2002 Z.z. o účtovníctve za účtovné obdobie od 01. januára 20</w:t>
      </w:r>
      <w:r w:rsidR="006C0C6B">
        <w:rPr>
          <w:rFonts w:ascii="Calibri" w:eastAsia="Calibri" w:hAnsi="Calibri" w:cs="Calibri"/>
          <w:sz w:val="24"/>
          <w:szCs w:val="24"/>
        </w:rPr>
        <w:t>2</w:t>
      </w:r>
      <w:r w:rsidR="00FB12BF">
        <w:rPr>
          <w:rFonts w:ascii="Calibri" w:eastAsia="Calibri" w:hAnsi="Calibri" w:cs="Calibri"/>
          <w:sz w:val="24"/>
          <w:szCs w:val="24"/>
        </w:rPr>
        <w:t>1</w:t>
      </w:r>
      <w:r>
        <w:rPr>
          <w:rFonts w:ascii="Calibri" w:eastAsia="Calibri" w:hAnsi="Calibri" w:cs="Calibri"/>
          <w:sz w:val="24"/>
          <w:szCs w:val="24"/>
        </w:rPr>
        <w:t xml:space="preserve"> do 31. decembra 20</w:t>
      </w:r>
      <w:r w:rsidR="006C0C6B">
        <w:rPr>
          <w:rFonts w:ascii="Calibri" w:eastAsia="Calibri" w:hAnsi="Calibri" w:cs="Calibri"/>
          <w:sz w:val="24"/>
          <w:szCs w:val="24"/>
        </w:rPr>
        <w:t>2</w:t>
      </w:r>
      <w:r w:rsidR="00FB12BF">
        <w:rPr>
          <w:rFonts w:ascii="Calibri" w:eastAsia="Calibri" w:hAnsi="Calibri" w:cs="Calibri"/>
          <w:sz w:val="24"/>
          <w:szCs w:val="24"/>
        </w:rPr>
        <w:t>1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B87364" w:rsidRDefault="00B87364">
      <w:pPr>
        <w:spacing w:line="240" w:lineRule="auto"/>
        <w:ind w:right="-468"/>
        <w:jc w:val="both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4) ÚJ nie je v skupine účtovných jednotiek</w:t>
      </w:r>
    </w:p>
    <w:p w:rsidR="00B87364" w:rsidRDefault="00B87364">
      <w:pPr>
        <w:spacing w:line="240" w:lineRule="auto"/>
        <w:jc w:val="both"/>
      </w:pPr>
    </w:p>
    <w:p w:rsidR="00B87364" w:rsidRDefault="00270653">
      <w:pPr>
        <w:spacing w:after="12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5) Priemerný prepočítaný počet zamestnancov účtovnej jednotky:</w:t>
      </w:r>
    </w:p>
    <w:tbl>
      <w:tblPr>
        <w:tblStyle w:val="a0"/>
        <w:tblW w:w="974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57"/>
        <w:gridCol w:w="2523"/>
        <w:gridCol w:w="2367"/>
      </w:tblGrid>
      <w:tr w:rsidR="00B87364">
        <w:trPr>
          <w:trHeight w:val="520"/>
        </w:trPr>
        <w:tc>
          <w:tcPr>
            <w:tcW w:w="4857" w:type="dxa"/>
            <w:vAlign w:val="center"/>
          </w:tcPr>
          <w:p w:rsidR="00B87364" w:rsidRDefault="00270653">
            <w:pPr>
              <w:spacing w:line="240" w:lineRule="auto"/>
              <w:ind w:right="459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Názov položky</w:t>
            </w:r>
          </w:p>
        </w:tc>
        <w:tc>
          <w:tcPr>
            <w:tcW w:w="2523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367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B87364">
        <w:trPr>
          <w:trHeight w:val="160"/>
        </w:trPr>
        <w:tc>
          <w:tcPr>
            <w:tcW w:w="4857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Priemerný prepočítaný počet počas účtovného obdobia</w:t>
            </w:r>
          </w:p>
        </w:tc>
        <w:tc>
          <w:tcPr>
            <w:tcW w:w="2523" w:type="dxa"/>
          </w:tcPr>
          <w:p w:rsidR="00B87364" w:rsidRDefault="002C3272" w:rsidP="002C3272">
            <w:pPr>
              <w:spacing w:line="240" w:lineRule="auto"/>
              <w:jc w:val="center"/>
            </w:pPr>
            <w:r>
              <w:t>8</w:t>
            </w:r>
          </w:p>
        </w:tc>
        <w:tc>
          <w:tcPr>
            <w:tcW w:w="2367" w:type="dxa"/>
          </w:tcPr>
          <w:p w:rsidR="00B87364" w:rsidRDefault="00521956" w:rsidP="00521956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8</w:t>
            </w:r>
          </w:p>
        </w:tc>
      </w:tr>
    </w:tbl>
    <w:p w:rsidR="00B87364" w:rsidRDefault="00B87364">
      <w:pPr>
        <w:spacing w:line="240" w:lineRule="auto"/>
        <w:ind w:left="928"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270653">
      <w:pPr>
        <w:spacing w:line="240" w:lineRule="auto"/>
        <w:ind w:right="-468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II – INFORMÁCIE O ORGÁNOCH SPOLOČNOSTI</w:t>
      </w:r>
    </w:p>
    <w:p w:rsidR="00B87364" w:rsidRDefault="00B87364">
      <w:pPr>
        <w:spacing w:line="240" w:lineRule="auto"/>
        <w:ind w:right="-468"/>
        <w:jc w:val="both"/>
      </w:pPr>
    </w:p>
    <w:p w:rsidR="00B87364" w:rsidRDefault="00270653">
      <w:pPr>
        <w:spacing w:after="120" w:line="240" w:lineRule="auto"/>
        <w:jc w:val="both"/>
      </w:pPr>
      <w:r>
        <w:rPr>
          <w:rFonts w:ascii="Calibri" w:eastAsia="Calibri" w:hAnsi="Calibri" w:cs="Calibri"/>
          <w:b/>
          <w:sz w:val="24"/>
          <w:szCs w:val="24"/>
        </w:rPr>
        <w:t>Informácie o orgánoch účtovnej jednotky</w:t>
      </w:r>
      <w:r>
        <w:rPr>
          <w:rFonts w:ascii="Calibri" w:eastAsia="Calibri" w:hAnsi="Calibri" w:cs="Calibri"/>
          <w:sz w:val="24"/>
          <w:szCs w:val="24"/>
        </w:rPr>
        <w:t xml:space="preserve"> – štatutárneho orgánu, dozorného orgánu a iného orgánu účtovnej jednotky, pričom sa uvádzajú najmä informácie – o podmienkach a výške jednotlivých druhov záruk alebo iných zabezpečení, o pôžičkách a ich podmienkach (výška úrokov, celková suma pôžičky, suma splatenej pôžičky, suma odpustenej pôžičky), o použití majetku účtovnej jednotky na súkromné účely; v členení na jednotlivé orgány (informácie sa neuvádzajú vtedy, ak by umožnili identifikáciu finančnej situácie konkrétnej fyzickej osoby):</w:t>
      </w:r>
    </w:p>
    <w:tbl>
      <w:tblPr>
        <w:tblStyle w:val="a1"/>
        <w:tblW w:w="981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69"/>
        <w:gridCol w:w="2488"/>
        <w:gridCol w:w="2360"/>
      </w:tblGrid>
      <w:tr w:rsidR="00B87364">
        <w:trPr>
          <w:trHeight w:val="86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Orgány účtovnej jednotky</w:t>
            </w:r>
          </w:p>
        </w:tc>
        <w:tc>
          <w:tcPr>
            <w:tcW w:w="2488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360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B87364">
        <w:trPr>
          <w:trHeight w:val="24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spacing w:line="240" w:lineRule="auto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Štatutárny orgán/Spoločník</w:t>
            </w:r>
          </w:p>
        </w:tc>
        <w:tc>
          <w:tcPr>
            <w:tcW w:w="2488" w:type="dxa"/>
            <w:vAlign w:val="center"/>
          </w:tcPr>
          <w:p w:rsidR="00B87364" w:rsidRDefault="00270653" w:rsidP="00270653">
            <w:pPr>
              <w:spacing w:line="240" w:lineRule="auto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MUDr.Bartschová Emília</w:t>
            </w:r>
          </w:p>
        </w:tc>
        <w:tc>
          <w:tcPr>
            <w:tcW w:w="2360" w:type="dxa"/>
            <w:vAlign w:val="center"/>
          </w:tcPr>
          <w:p w:rsidR="00B87364" w:rsidRDefault="000F7B2F" w:rsidP="00270653">
            <w:pPr>
              <w:spacing w:line="240" w:lineRule="auto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MUDr.</w:t>
            </w:r>
            <w:r w:rsidR="00270653">
              <w:rPr>
                <w:rFonts w:ascii="Calibri" w:eastAsia="Calibri" w:hAnsi="Calibri" w:cs="Calibri"/>
                <w:sz w:val="24"/>
                <w:szCs w:val="24"/>
              </w:rPr>
              <w:t>Bartschová Emília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</w:tr>
      <w:tr w:rsidR="00B87364">
        <w:trPr>
          <w:trHeight w:val="24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numPr>
                <w:ilvl w:val="0"/>
                <w:numId w:val="3"/>
              </w:numPr>
              <w:spacing w:line="240" w:lineRule="auto"/>
              <w:ind w:hanging="360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pôžička celkovo</w:t>
            </w:r>
          </w:p>
        </w:tc>
        <w:tc>
          <w:tcPr>
            <w:tcW w:w="2488" w:type="dxa"/>
            <w:vAlign w:val="center"/>
          </w:tcPr>
          <w:p w:rsidR="00B87364" w:rsidRDefault="00270653" w:rsidP="00270653">
            <w:pPr>
              <w:spacing w:line="240" w:lineRule="auto"/>
            </w:pPr>
            <w:r>
              <w:t>MUDr.Bartsch Pavol</w:t>
            </w:r>
          </w:p>
        </w:tc>
        <w:tc>
          <w:tcPr>
            <w:tcW w:w="2360" w:type="dxa"/>
            <w:vAlign w:val="center"/>
          </w:tcPr>
          <w:p w:rsidR="00B87364" w:rsidRDefault="00270653">
            <w:pPr>
              <w:spacing w:line="240" w:lineRule="auto"/>
            </w:pPr>
            <w:r>
              <w:t>MUDr.Bartsch Pavol</w:t>
            </w:r>
          </w:p>
        </w:tc>
      </w:tr>
      <w:tr w:rsidR="00B87364">
        <w:trPr>
          <w:trHeight w:val="14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numPr>
                <w:ilvl w:val="0"/>
                <w:numId w:val="1"/>
              </w:numPr>
              <w:spacing w:line="240" w:lineRule="auto"/>
              <w:ind w:hanging="360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druh príjmu (výhody):</w:t>
            </w:r>
          </w:p>
        </w:tc>
        <w:tc>
          <w:tcPr>
            <w:tcW w:w="2488" w:type="dxa"/>
            <w:vAlign w:val="center"/>
          </w:tcPr>
          <w:p w:rsidR="00B87364" w:rsidRDefault="00B87364">
            <w:pPr>
              <w:spacing w:line="240" w:lineRule="auto"/>
            </w:pPr>
          </w:p>
        </w:tc>
        <w:tc>
          <w:tcPr>
            <w:tcW w:w="2360" w:type="dxa"/>
            <w:vAlign w:val="center"/>
          </w:tcPr>
          <w:p w:rsidR="00B87364" w:rsidRDefault="00270653">
            <w:pPr>
              <w:spacing w:line="240" w:lineRule="auto"/>
            </w:pPr>
            <w:r>
              <w:rPr>
                <w:rFonts w:ascii="Calibri" w:eastAsia="Calibri" w:hAnsi="Calibri" w:cs="Calibri"/>
                <w:sz w:val="24"/>
                <w:szCs w:val="24"/>
              </w:rPr>
              <w:t> </w:t>
            </w:r>
          </w:p>
        </w:tc>
      </w:tr>
      <w:tr w:rsidR="00B87364">
        <w:trPr>
          <w:trHeight w:val="16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spacing w:line="240" w:lineRule="auto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Spoločník</w:t>
            </w:r>
          </w:p>
        </w:tc>
        <w:tc>
          <w:tcPr>
            <w:tcW w:w="2488" w:type="dxa"/>
            <w:vAlign w:val="center"/>
          </w:tcPr>
          <w:p w:rsidR="00B87364" w:rsidRDefault="00B87364">
            <w:pPr>
              <w:spacing w:line="240" w:lineRule="auto"/>
            </w:pPr>
          </w:p>
        </w:tc>
        <w:tc>
          <w:tcPr>
            <w:tcW w:w="2360" w:type="dxa"/>
            <w:vAlign w:val="center"/>
          </w:tcPr>
          <w:p w:rsidR="00B87364" w:rsidRDefault="00B87364">
            <w:pPr>
              <w:spacing w:line="240" w:lineRule="auto"/>
            </w:pPr>
          </w:p>
        </w:tc>
      </w:tr>
      <w:tr w:rsidR="00B87364">
        <w:trPr>
          <w:trHeight w:val="16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numPr>
                <w:ilvl w:val="0"/>
                <w:numId w:val="1"/>
              </w:numPr>
              <w:spacing w:line="240" w:lineRule="auto"/>
              <w:ind w:hanging="360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pôžička celkovo</w:t>
            </w:r>
          </w:p>
        </w:tc>
        <w:tc>
          <w:tcPr>
            <w:tcW w:w="2488" w:type="dxa"/>
            <w:vAlign w:val="center"/>
          </w:tcPr>
          <w:p w:rsidR="00B87364" w:rsidRDefault="00B87364">
            <w:pPr>
              <w:spacing w:line="240" w:lineRule="auto"/>
            </w:pPr>
          </w:p>
        </w:tc>
        <w:tc>
          <w:tcPr>
            <w:tcW w:w="2360" w:type="dxa"/>
            <w:vAlign w:val="center"/>
          </w:tcPr>
          <w:p w:rsidR="00B87364" w:rsidRDefault="00B87364">
            <w:pPr>
              <w:spacing w:line="240" w:lineRule="auto"/>
            </w:pPr>
          </w:p>
        </w:tc>
      </w:tr>
      <w:tr w:rsidR="00B87364">
        <w:trPr>
          <w:trHeight w:val="16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numPr>
                <w:ilvl w:val="0"/>
                <w:numId w:val="1"/>
              </w:numPr>
              <w:spacing w:line="240" w:lineRule="auto"/>
              <w:ind w:hanging="360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druh príjmu (výhody):</w:t>
            </w:r>
          </w:p>
        </w:tc>
        <w:tc>
          <w:tcPr>
            <w:tcW w:w="2488" w:type="dxa"/>
            <w:vAlign w:val="center"/>
          </w:tcPr>
          <w:p w:rsidR="00B87364" w:rsidRDefault="00B87364">
            <w:pPr>
              <w:spacing w:line="240" w:lineRule="auto"/>
            </w:pPr>
          </w:p>
        </w:tc>
        <w:tc>
          <w:tcPr>
            <w:tcW w:w="2360" w:type="dxa"/>
            <w:vAlign w:val="center"/>
          </w:tcPr>
          <w:p w:rsidR="00B87364" w:rsidRDefault="00B87364">
            <w:pPr>
              <w:spacing w:line="240" w:lineRule="auto"/>
            </w:pPr>
          </w:p>
        </w:tc>
      </w:tr>
      <w:tr w:rsidR="00B87364">
        <w:trPr>
          <w:trHeight w:val="160"/>
          <w:jc w:val="center"/>
        </w:trPr>
        <w:tc>
          <w:tcPr>
            <w:tcW w:w="4969" w:type="dxa"/>
            <w:vAlign w:val="center"/>
          </w:tcPr>
          <w:p w:rsidR="00B87364" w:rsidRDefault="00B87364">
            <w:pPr>
              <w:spacing w:line="240" w:lineRule="auto"/>
              <w:ind w:left="720"/>
            </w:pPr>
          </w:p>
        </w:tc>
        <w:tc>
          <w:tcPr>
            <w:tcW w:w="2488" w:type="dxa"/>
            <w:vAlign w:val="center"/>
          </w:tcPr>
          <w:p w:rsidR="00B87364" w:rsidRDefault="00B87364">
            <w:pPr>
              <w:spacing w:line="240" w:lineRule="auto"/>
            </w:pPr>
          </w:p>
        </w:tc>
        <w:tc>
          <w:tcPr>
            <w:tcW w:w="2360" w:type="dxa"/>
            <w:vAlign w:val="center"/>
          </w:tcPr>
          <w:p w:rsidR="00B87364" w:rsidRDefault="00B87364">
            <w:pPr>
              <w:spacing w:line="240" w:lineRule="auto"/>
            </w:pPr>
          </w:p>
        </w:tc>
      </w:tr>
    </w:tbl>
    <w:p w:rsidR="00B87364" w:rsidRDefault="00B87364">
      <w:pPr>
        <w:spacing w:line="240" w:lineRule="auto"/>
        <w:ind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270653">
      <w:pPr>
        <w:spacing w:line="240" w:lineRule="auto"/>
        <w:ind w:right="-141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III – INFORMÁCIE O PRIJATÝCH POSTUPOCH</w:t>
      </w:r>
    </w:p>
    <w:p w:rsidR="00B87364" w:rsidRDefault="00B87364">
      <w:pPr>
        <w:spacing w:line="240" w:lineRule="auto"/>
        <w:ind w:right="-141"/>
        <w:jc w:val="both"/>
      </w:pPr>
    </w:p>
    <w:p w:rsidR="00B87364" w:rsidRDefault="00270653">
      <w:pPr>
        <w:spacing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>1) Účtovná závierka je zostavená za splnenia predpokladu, že ÚJ bude nepretržite pokračovať vo svojej činnosti minimálne 12 mesiacov po závierkovom dni v zmysle § 7 ods. 4 zákona o účtovníctve.</w:t>
      </w:r>
    </w:p>
    <w:p w:rsidR="00B87364" w:rsidRDefault="00270653">
      <w:pPr>
        <w:spacing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B87364" w:rsidRDefault="00270653">
      <w:pPr>
        <w:spacing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>2) Účtovné metódy vychádzajúce z interných smerníc spoločnosti a všeobecné účtovné zásady boli účtovnou jednotkou konzistentne aplikované</w:t>
      </w:r>
    </w:p>
    <w:p w:rsidR="00B87364" w:rsidRDefault="00B87364">
      <w:pPr>
        <w:spacing w:line="240" w:lineRule="auto"/>
        <w:ind w:right="-141"/>
        <w:jc w:val="both"/>
      </w:pPr>
    </w:p>
    <w:p w:rsidR="00B87364" w:rsidRDefault="00270653">
      <w:pPr>
        <w:spacing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>3) ÚJ neeviduje žiadne transakcie, ktoré sa neuvádzajú v súvahe.</w:t>
      </w:r>
    </w:p>
    <w:p w:rsidR="00B87364" w:rsidRDefault="00270653">
      <w:pPr>
        <w:spacing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</w:p>
    <w:p w:rsidR="00B87364" w:rsidRDefault="00270653">
      <w:pPr>
        <w:spacing w:after="120"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>4) Spôsob a určenie oceňovania majetku a záväzkov (vrátane rozhodujúcich odhadov):</w:t>
      </w:r>
    </w:p>
    <w:p w:rsidR="00B87364" w:rsidRDefault="00270653">
      <w:pPr>
        <w:spacing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>a) Spôsob oceňovania majetku a záväzkov (§ 25 ZoU):</w:t>
      </w:r>
    </w:p>
    <w:p w:rsidR="00B87364" w:rsidRDefault="00B87364">
      <w:pPr>
        <w:widowControl w:val="0"/>
        <w:tabs>
          <w:tab w:val="left" w:pos="808"/>
        </w:tabs>
        <w:spacing w:line="240" w:lineRule="auto"/>
        <w:jc w:val="both"/>
      </w:pPr>
    </w:p>
    <w:tbl>
      <w:tblPr>
        <w:tblStyle w:val="a2"/>
        <w:tblW w:w="960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5300"/>
        <w:gridCol w:w="3600"/>
      </w:tblGrid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Č.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Spôsob oceňovania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Dlhodobý nehmotný majetok externe kúpený: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Dlhodobý nehmotný majetok interne vytvorený: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Vlastné náklady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Dlhodobý nehmotný majetok obstaraný inak (darom):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Reprodukčná 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5.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Dlhodobý hmotný majetok interne vytvorený: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Vlastné náklady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6.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Dlhodobý nehmotný majetok obstaraný inak (darom):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Reprodukčná 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7.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8.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Zásoby obstarané kúpou: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9.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Zásoby vytvorené vlastnou činnosťou: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Vlastné náklady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10.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Zásoby obstarané inak (darom):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Reprodukčná 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ZV a zákazková výstavba nehnuteľnosti určenej na predaj: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Vlastné pohľadávky: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Kúpené pohľadávky: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13.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Krátkodobý finančný majetok: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14.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15.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16.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17.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Deriváty: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18.</w:t>
            </w:r>
          </w:p>
        </w:tc>
        <w:tc>
          <w:tcPr>
            <w:tcW w:w="5300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Majetok a záväzky zabezpečené derivátmi: </w:t>
            </w:r>
          </w:p>
        </w:tc>
        <w:tc>
          <w:tcPr>
            <w:tcW w:w="3600" w:type="dxa"/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19.</w:t>
            </w:r>
          </w:p>
        </w:tc>
        <w:tc>
          <w:tcPr>
            <w:tcW w:w="5300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Prenajatý majetok a majetok obstaraný na základe zmluvy o kúpe prenajatej veci:</w:t>
            </w:r>
          </w:p>
        </w:tc>
        <w:tc>
          <w:tcPr>
            <w:tcW w:w="3600" w:type="dxa"/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20.</w:t>
            </w:r>
          </w:p>
        </w:tc>
        <w:tc>
          <w:tcPr>
            <w:tcW w:w="5300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Splatná daň z príjmov a odložená daň z príjmov:</w:t>
            </w:r>
          </w:p>
        </w:tc>
        <w:tc>
          <w:tcPr>
            <w:tcW w:w="3600" w:type="dxa"/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</w:tbl>
    <w:p w:rsidR="00B87364" w:rsidRDefault="00B87364">
      <w:pPr>
        <w:spacing w:line="240" w:lineRule="auto"/>
        <w:jc w:val="both"/>
      </w:pPr>
    </w:p>
    <w:p w:rsidR="00B87364" w:rsidRDefault="00270653">
      <w:pPr>
        <w:spacing w:after="12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b) Trvalé zníženie hodnoty majetku nebolo účtované. </w:t>
      </w:r>
    </w:p>
    <w:p w:rsidR="00B87364" w:rsidRDefault="00B87364">
      <w:pPr>
        <w:spacing w:after="120" w:line="240" w:lineRule="auto"/>
        <w:jc w:val="both"/>
      </w:pPr>
    </w:p>
    <w:p w:rsidR="00B87364" w:rsidRDefault="00270653">
      <w:pPr>
        <w:spacing w:after="12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c) Záväzky účtovná jednotka ocenila menovitou hodnotou záväzkov. </w:t>
      </w:r>
    </w:p>
    <w:p w:rsidR="00B87364" w:rsidRDefault="00B87364">
      <w:pPr>
        <w:spacing w:after="120" w:line="240" w:lineRule="auto"/>
        <w:jc w:val="both"/>
      </w:pPr>
    </w:p>
    <w:p w:rsidR="00B87364" w:rsidRDefault="00270653">
      <w:pPr>
        <w:spacing w:after="12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d) Účtovná jednotka nepoužila dobrovoľné oceňovanie obchodných podielov metódou vlastného imania (§ 27/9 ZoU).</w:t>
      </w:r>
    </w:p>
    <w:p w:rsidR="00B87364" w:rsidRDefault="00B87364">
      <w:pPr>
        <w:keepNext/>
        <w:tabs>
          <w:tab w:val="left" w:pos="1005"/>
        </w:tabs>
        <w:spacing w:after="120" w:line="240" w:lineRule="auto"/>
        <w:jc w:val="both"/>
      </w:pPr>
    </w:p>
    <w:p w:rsidR="00B87364" w:rsidRDefault="00270653">
      <w:pPr>
        <w:keepNext/>
        <w:tabs>
          <w:tab w:val="left" w:pos="1005"/>
        </w:tabs>
        <w:spacing w:after="12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f) Tvorba odpisového plánu pre dlhodobý majetok, pričom sa uvádza doba odpisovania, sadzby odpisov a odpisové metódy pre účtovné odpisy:</w:t>
      </w:r>
    </w:p>
    <w:tbl>
      <w:tblPr>
        <w:tblStyle w:val="a3"/>
        <w:tblW w:w="960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18"/>
        <w:gridCol w:w="1013"/>
        <w:gridCol w:w="2107"/>
        <w:gridCol w:w="2268"/>
      </w:tblGrid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Dlhodobý hmotný a nehmotný</w:t>
            </w:r>
          </w:p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odpisovaný majetok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číslo</w:t>
            </w:r>
          </w:p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účtu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doba odpisovania</w:t>
            </w:r>
          </w:p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(počet rokov)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odpisová sadzba </w:t>
            </w:r>
          </w:p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(%)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Software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013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Ostatný DNM 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019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Stavby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021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Počítače s príslušenstvom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022.A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Dopravné prostriedky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022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Ostatné stroje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022.A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Ostatný dlhodobý hmotný majetok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022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</w:tbl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B87364" w:rsidRDefault="00270653">
      <w:pPr>
        <w:spacing w:after="120" w:line="240" w:lineRule="auto"/>
      </w:pPr>
      <w:r>
        <w:rPr>
          <w:rFonts w:ascii="Calibri" w:eastAsia="Calibri" w:hAnsi="Calibri" w:cs="Calibri"/>
          <w:sz w:val="24"/>
          <w:szCs w:val="24"/>
        </w:rPr>
        <w:t xml:space="preserve">Komentár k odpisovému plánu: 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UJ používa účtovné odpisy nezávisle na daňových odpisoch. Majetok sa začína odpisovať v mesiaci, kedy bol zaradený do užívania. Účtovné odpisy vychádzajú z predpokladanej doby používania majetku. Dlhodobý nehmotný majetok sa odpisuje počas 4 rokov od jeho obstarania.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UJ používa rovnomerné odpisovanie dlhodobého hmotného majetku a dlhodobého nehmotného majetku. Podrobný účtovný odpisový plán po položkách sa vedie v podsystéme Majetok (taktiež daňové odpisy podľa zákona o dani z príjmov).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UJ odpisuje jednotlivé veci alebo relevantné súbory hnuteľných vecí (napr. počítačová sieť, nábytková zostava). UJ nepoužíva komponentné odpisovanie (odpisovanie častí majetku - komponentov).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UJ nepoužila jednorazový odpis</w:t>
      </w:r>
      <w:r>
        <w:rPr>
          <w:rFonts w:ascii="Calibri" w:eastAsia="Calibri" w:hAnsi="Calibri" w:cs="Calibri"/>
          <w:b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dlhodobého majetku z dôvodu jednorazového trvalého zníženia hodnoty majetku (§ 21/5 PU).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ÚJ nepoužíva kategóriu drobného dlhodobého nehmotného majetku - položky pod 2 400 eur jednotkovej ceny so životnosťou nad jeden rok (§ 13/2 PU).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ÚJ nepoužíva kategóriu drobného dlhodobého hmotného majetku - položky pod 1 700 eur jednotkovej ceny so životnosťou nad jeden rok (§ 13/6 PU).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ÚJ nepoužíva dobrovoľné účtovanie podlimitného technického zhodnotenia do odpisovaného dlhodobého majetku – technické zhodnotenie pod 1 700 eur za účtovné obdobie (§ 21/3 PU; § 29/2 ZDP).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hanging="36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ÚJ nepoužíva dobrovoľnú kapitalizáciu úrokov do obstarávacej ceny odpisovaného dlhodobého hmotného majetku alebo dlhodobého nehmotného majetku (§ 34/1 PU; § 35/2/h PU).</w:t>
      </w:r>
    </w:p>
    <w:p w:rsidR="00B87364" w:rsidRDefault="00B87364">
      <w:pPr>
        <w:spacing w:after="120" w:line="240" w:lineRule="auto"/>
        <w:jc w:val="both"/>
      </w:pPr>
    </w:p>
    <w:p w:rsidR="00421F73" w:rsidRDefault="00270653" w:rsidP="00421F73">
      <w:pPr>
        <w:spacing w:line="240" w:lineRule="auto"/>
      </w:pPr>
      <w:r>
        <w:rPr>
          <w:rFonts w:ascii="Calibri" w:eastAsia="Calibri" w:hAnsi="Calibri" w:cs="Calibri"/>
          <w:sz w:val="24"/>
          <w:szCs w:val="24"/>
        </w:rPr>
        <w:t xml:space="preserve">g) </w:t>
      </w:r>
      <w:r w:rsidR="00421F73">
        <w:rPr>
          <w:rFonts w:ascii="Calibri" w:eastAsia="Calibri" w:hAnsi="Calibri" w:cs="Calibri"/>
          <w:sz w:val="24"/>
          <w:szCs w:val="24"/>
        </w:rPr>
        <w:t>ÚJ neboli v zdaňovacom období roku 20</w:t>
      </w:r>
      <w:r w:rsidR="006C0C6B">
        <w:rPr>
          <w:rFonts w:ascii="Calibri" w:eastAsia="Calibri" w:hAnsi="Calibri" w:cs="Calibri"/>
          <w:sz w:val="24"/>
          <w:szCs w:val="24"/>
        </w:rPr>
        <w:t>2</w:t>
      </w:r>
      <w:r w:rsidR="00FB12BF">
        <w:rPr>
          <w:rFonts w:ascii="Calibri" w:eastAsia="Calibri" w:hAnsi="Calibri" w:cs="Calibri"/>
          <w:sz w:val="24"/>
          <w:szCs w:val="24"/>
        </w:rPr>
        <w:t>1</w:t>
      </w:r>
      <w:r w:rsidR="00421F73">
        <w:rPr>
          <w:rFonts w:ascii="Calibri" w:eastAsia="Calibri" w:hAnsi="Calibri" w:cs="Calibri"/>
          <w:sz w:val="24"/>
          <w:szCs w:val="24"/>
        </w:rPr>
        <w:t xml:space="preserve"> poskytnuté žiadne dotácie</w:t>
      </w:r>
    </w:p>
    <w:p w:rsidR="00421F73" w:rsidRDefault="00421F73" w:rsidP="00421F73">
      <w:pPr>
        <w:keepNext/>
        <w:spacing w:after="120" w:line="240" w:lineRule="auto"/>
        <w:jc w:val="both"/>
      </w:pPr>
    </w:p>
    <w:p w:rsidR="00270653" w:rsidRDefault="00270653">
      <w:pPr>
        <w:spacing w:line="240" w:lineRule="auto"/>
      </w:pPr>
    </w:p>
    <w:p w:rsidR="00B87364" w:rsidRDefault="00B87364">
      <w:pPr>
        <w:keepNext/>
        <w:spacing w:after="120" w:line="240" w:lineRule="auto"/>
        <w:jc w:val="both"/>
      </w:pPr>
    </w:p>
    <w:p w:rsidR="00B87364" w:rsidRDefault="00270653">
      <w:pPr>
        <w:spacing w:line="240" w:lineRule="auto"/>
      </w:pPr>
      <w:r>
        <w:rPr>
          <w:rFonts w:ascii="Calibri" w:eastAsia="Calibri" w:hAnsi="Calibri" w:cs="Calibri"/>
          <w:sz w:val="24"/>
          <w:szCs w:val="24"/>
        </w:rPr>
        <w:t>5) ÚJ v zdaňovacom období roku 20</w:t>
      </w:r>
      <w:r w:rsidR="006C0C6B">
        <w:rPr>
          <w:rFonts w:ascii="Calibri" w:eastAsia="Calibri" w:hAnsi="Calibri" w:cs="Calibri"/>
          <w:sz w:val="24"/>
          <w:szCs w:val="24"/>
        </w:rPr>
        <w:t>2</w:t>
      </w:r>
      <w:r w:rsidR="00FB12BF">
        <w:rPr>
          <w:rFonts w:ascii="Calibri" w:eastAsia="Calibri" w:hAnsi="Calibri" w:cs="Calibri"/>
          <w:sz w:val="24"/>
          <w:szCs w:val="24"/>
        </w:rPr>
        <w:t>1</w:t>
      </w:r>
      <w:bookmarkStart w:id="0" w:name="_GoBack"/>
      <w:bookmarkEnd w:id="0"/>
      <w:r>
        <w:rPr>
          <w:rFonts w:ascii="Calibri" w:eastAsia="Calibri" w:hAnsi="Calibri" w:cs="Calibri"/>
          <w:sz w:val="24"/>
          <w:szCs w:val="24"/>
        </w:rPr>
        <w:t xml:space="preserve"> nevykonala žiadne opravy významných chýb.</w:t>
      </w: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270653">
      <w:pPr>
        <w:spacing w:line="240" w:lineRule="auto"/>
        <w:ind w:right="-468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IV – INFORMÁCIE, KTORÉ VYSVETĽUJÚ A DOPĹŇAJÚ SÚVAHU A VÝKAZ ZISKOV A STRÁT</w:t>
      </w:r>
    </w:p>
    <w:p w:rsidR="00B87364" w:rsidRDefault="00B87364">
      <w:pPr>
        <w:spacing w:line="240" w:lineRule="auto"/>
        <w:ind w:right="-468"/>
        <w:jc w:val="both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>1) ÚJ neeviduje žiadne položky nehmotného majetku.</w:t>
      </w:r>
    </w:p>
    <w:p w:rsidR="00B87364" w:rsidRDefault="00B87364">
      <w:pPr>
        <w:spacing w:after="120" w:line="240" w:lineRule="auto"/>
        <w:ind w:right="-471"/>
        <w:jc w:val="both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>2) ÚJ neeviduje žiadne položky významných derivátov, majetku a záväzkoch zabezpečených derivátmi.</w:t>
      </w:r>
    </w:p>
    <w:p w:rsidR="00B87364" w:rsidRDefault="00B87364">
      <w:pPr>
        <w:spacing w:after="120" w:line="240" w:lineRule="auto"/>
        <w:jc w:val="both"/>
      </w:pPr>
    </w:p>
    <w:p w:rsidR="00B87364" w:rsidRDefault="00270653">
      <w:pPr>
        <w:spacing w:after="120"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3a) ÚJ neeviduje žiadne položky zabezpečených záväzkov so zostatkovou dobou splatnosti dlhšou </w:t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  <w:t xml:space="preserve"> ako 5 rokov:  </w:t>
      </w:r>
    </w:p>
    <w:p w:rsidR="00B87364" w:rsidRDefault="00B87364">
      <w:pPr>
        <w:spacing w:after="120" w:line="240" w:lineRule="auto"/>
        <w:ind w:right="-141"/>
        <w:jc w:val="both"/>
      </w:pPr>
    </w:p>
    <w:tbl>
      <w:tblPr>
        <w:tblStyle w:val="a4"/>
        <w:tblW w:w="971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2553"/>
        <w:gridCol w:w="2376"/>
      </w:tblGrid>
      <w:tr w:rsidR="00B87364">
        <w:trPr>
          <w:trHeight w:val="680"/>
          <w:jc w:val="center"/>
        </w:trPr>
        <w:tc>
          <w:tcPr>
            <w:tcW w:w="4785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>Názov položky</w:t>
            </w:r>
          </w:p>
        </w:tc>
        <w:tc>
          <w:tcPr>
            <w:tcW w:w="2553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376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B87364">
        <w:trPr>
          <w:trHeight w:val="200"/>
          <w:jc w:val="center"/>
        </w:trPr>
        <w:tc>
          <w:tcPr>
            <w:tcW w:w="4785" w:type="dxa"/>
            <w:vAlign w:val="center"/>
          </w:tcPr>
          <w:p w:rsidR="00B87364" w:rsidRDefault="00270653">
            <w:pPr>
              <w:spacing w:line="240" w:lineRule="auto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Záväzky so zostatkovou dobou splatnosti nad 5 rokov</w:t>
            </w:r>
          </w:p>
        </w:tc>
        <w:tc>
          <w:tcPr>
            <w:tcW w:w="2553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376" w:type="dxa"/>
            <w:vAlign w:val="center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</w:tbl>
    <w:p w:rsidR="00B87364" w:rsidRDefault="00B87364">
      <w:pPr>
        <w:spacing w:before="120" w:line="240" w:lineRule="auto"/>
        <w:ind w:right="-471"/>
        <w:jc w:val="both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>3b) ÚJ neeviduje žiadne položky zabezpečených záväzkov.</w:t>
      </w:r>
    </w:p>
    <w:p w:rsidR="00B87364" w:rsidRDefault="00B87364">
      <w:pPr>
        <w:spacing w:after="120" w:line="240" w:lineRule="auto"/>
        <w:ind w:right="-471"/>
        <w:jc w:val="both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>4) ÚJ neeviduje žiadne vlastné akcie.</w:t>
      </w:r>
    </w:p>
    <w:p w:rsidR="00B87364" w:rsidRDefault="00B87364">
      <w:pPr>
        <w:spacing w:after="120" w:line="240" w:lineRule="auto"/>
        <w:ind w:right="-471"/>
        <w:jc w:val="both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5) ÚJ neeviduje žiadne položky nákladov alebo výnosov, ktoré majú výnimočný rozsah alebo výskyt.</w:t>
      </w: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after="120" w:line="240" w:lineRule="auto"/>
        <w:ind w:right="-471"/>
        <w:jc w:val="both"/>
      </w:pPr>
    </w:p>
    <w:p w:rsidR="00B87364" w:rsidRDefault="00270653">
      <w:pPr>
        <w:spacing w:after="120" w:line="240" w:lineRule="auto"/>
        <w:ind w:right="-471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V – INFORMÁCIE O INÝCH AKTÍVACH A INÝCH PASÍVACH</w:t>
      </w:r>
    </w:p>
    <w:p w:rsidR="00B87364" w:rsidRDefault="00B87364">
      <w:pPr>
        <w:spacing w:after="120" w:line="240" w:lineRule="auto"/>
        <w:ind w:right="-471"/>
        <w:jc w:val="center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1a) ÚJ neeviduje žiadne položky podmieneného majetku.</w:t>
      </w: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1b) ÚJ neeviduje žiadne položky podmienených záväzkov.</w:t>
      </w:r>
    </w:p>
    <w:p w:rsidR="00B87364" w:rsidRDefault="00B87364">
      <w:pPr>
        <w:spacing w:after="120"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2) ÚJ neeviduje žiadne ostatné finančné povinnosti, ktoré a nevykazujú v účtovných výkazoch.</w:t>
      </w: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270653">
      <w:pPr>
        <w:spacing w:after="12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3 V účtovníctve ÚJ sa nenachádzajú žiadne položky evidované na podsúvahových účtoch.</w:t>
      </w: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ind w:right="-468"/>
        <w:jc w:val="center"/>
      </w:pPr>
    </w:p>
    <w:p w:rsidR="00B87364" w:rsidRDefault="00270653">
      <w:pPr>
        <w:spacing w:line="240" w:lineRule="auto"/>
        <w:ind w:right="-468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VI – UDALOSTI, KTORÉ NASTALI PO ZÁVIERKOVOM DNI</w:t>
      </w:r>
    </w:p>
    <w:p w:rsidR="00B87364" w:rsidRDefault="00270653">
      <w:pPr>
        <w:spacing w:line="240" w:lineRule="auto"/>
        <w:ind w:right="-468"/>
        <w:jc w:val="center"/>
      </w:pPr>
      <w:r>
        <w:rPr>
          <w:rFonts w:ascii="Calibri" w:eastAsia="Calibri" w:hAnsi="Calibri" w:cs="Calibri"/>
          <w:b/>
          <w:sz w:val="24"/>
          <w:szCs w:val="24"/>
        </w:rPr>
        <w:t>(Následné udalosti)</w:t>
      </w:r>
    </w:p>
    <w:p w:rsidR="00B87364" w:rsidRDefault="00B87364">
      <w:pPr>
        <w:spacing w:line="240" w:lineRule="auto"/>
        <w:ind w:right="-468"/>
        <w:jc w:val="center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ÚJ neeviduje žiadne udalosti, ktoré nastali po závierkovom dni.</w:t>
      </w:r>
    </w:p>
    <w:p w:rsidR="00B87364" w:rsidRDefault="00B87364">
      <w:pPr>
        <w:spacing w:line="240" w:lineRule="auto"/>
        <w:ind w:right="-468"/>
        <w:jc w:val="center"/>
      </w:pPr>
    </w:p>
    <w:p w:rsidR="00B87364" w:rsidRDefault="00B87364">
      <w:pPr>
        <w:spacing w:line="240" w:lineRule="auto"/>
        <w:ind w:right="-468"/>
        <w:jc w:val="center"/>
      </w:pPr>
    </w:p>
    <w:p w:rsidR="00B87364" w:rsidRDefault="00270653">
      <w:pPr>
        <w:spacing w:line="240" w:lineRule="auto"/>
        <w:ind w:right="-468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VII – OSTATNÉ INFORMÁCIE</w:t>
      </w:r>
    </w:p>
    <w:p w:rsidR="00B87364" w:rsidRDefault="00B87364">
      <w:pPr>
        <w:spacing w:line="240" w:lineRule="auto"/>
        <w:ind w:right="-468"/>
        <w:jc w:val="both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>1) ÚJ nemá žiadne právo poskytovať služby vo verejnom záujme.</w:t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</w:p>
    <w:p w:rsidR="00B87364" w:rsidRDefault="00B87364">
      <w:pPr>
        <w:spacing w:after="120" w:line="240" w:lineRule="auto"/>
        <w:ind w:right="-471"/>
        <w:jc w:val="both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>2) ÚJ nemá žiadnu priemyselnú výrobu. (§ 23d/6 ZoU)</w:t>
      </w: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>3) ÚJ nemá žiadne finančné vzťahy s orgánmi verejnej moci. (§ 23d/6 ZoU)</w:t>
      </w:r>
    </w:p>
    <w:p w:rsidR="00B87364" w:rsidRDefault="00B87364">
      <w:pPr>
        <w:spacing w:after="120" w:line="240" w:lineRule="auto"/>
        <w:ind w:right="-471"/>
        <w:jc w:val="both"/>
      </w:pPr>
    </w:p>
    <w:p w:rsidR="00B87364" w:rsidRDefault="00B87364">
      <w:pPr>
        <w:spacing w:after="120" w:line="240" w:lineRule="auto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</w:p>
    <w:sectPr w:rsidR="00B87364" w:rsidSect="00C80E22">
      <w:headerReference w:type="default" r:id="rId7"/>
      <w:footerReference w:type="default" r:id="rId8"/>
      <w:pgSz w:w="11907" w:h="16840"/>
      <w:pgMar w:top="1417" w:right="992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5995" w:rsidRDefault="00955995">
      <w:pPr>
        <w:spacing w:line="240" w:lineRule="auto"/>
      </w:pPr>
      <w:r>
        <w:separator/>
      </w:r>
    </w:p>
  </w:endnote>
  <w:endnote w:type="continuationSeparator" w:id="0">
    <w:p w:rsidR="00955995" w:rsidRDefault="009559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364" w:rsidRDefault="00C80E22">
    <w:pPr>
      <w:tabs>
        <w:tab w:val="center" w:pos="4536"/>
        <w:tab w:val="right" w:pos="9072"/>
      </w:tabs>
      <w:spacing w:line="240" w:lineRule="auto"/>
      <w:jc w:val="right"/>
    </w:pPr>
    <w:r>
      <w:fldChar w:fldCharType="begin"/>
    </w:r>
    <w:r w:rsidR="00270653">
      <w:instrText>PAGE</w:instrText>
    </w:r>
    <w:r>
      <w:fldChar w:fldCharType="separate"/>
    </w:r>
    <w:r w:rsidR="00FB12BF">
      <w:rPr>
        <w:noProof/>
      </w:rPr>
      <w:t>1</w:t>
    </w:r>
    <w:r>
      <w:fldChar w:fldCharType="end"/>
    </w:r>
  </w:p>
  <w:p w:rsidR="00B87364" w:rsidRDefault="00B87364">
    <w:pPr>
      <w:tabs>
        <w:tab w:val="center" w:pos="4536"/>
        <w:tab w:val="right" w:pos="9072"/>
      </w:tabs>
      <w:spacing w:after="567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5995" w:rsidRDefault="00955995">
      <w:pPr>
        <w:spacing w:line="240" w:lineRule="auto"/>
      </w:pPr>
      <w:r>
        <w:separator/>
      </w:r>
    </w:p>
  </w:footnote>
  <w:footnote w:type="continuationSeparator" w:id="0">
    <w:p w:rsidR="00955995" w:rsidRDefault="0095599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364" w:rsidRDefault="00270653">
    <w:pPr>
      <w:widowControl w:val="0"/>
      <w:tabs>
        <w:tab w:val="left" w:pos="2990"/>
        <w:tab w:val="left" w:pos="6348"/>
      </w:tabs>
      <w:spacing w:before="567" w:line="240" w:lineRule="auto"/>
      <w:ind w:left="-397"/>
      <w:jc w:val="center"/>
    </w:pPr>
    <w:r>
      <w:t xml:space="preserve"> Poznámky Úč POD 3 – 01          </w:t>
    </w:r>
    <w:r>
      <w:rPr>
        <w:color w:val="707070"/>
        <w:sz w:val="18"/>
        <w:szCs w:val="18"/>
        <w:highlight w:val="white"/>
      </w:rPr>
      <w:tab/>
    </w:r>
    <w:r>
      <w:t xml:space="preserve">                 IČO: </w:t>
    </w:r>
    <w:r w:rsidR="003459F0">
      <w:t>36</w:t>
    </w:r>
    <w:r>
      <w:t xml:space="preserve">689564         DIČ: 2022276355  </w:t>
    </w:r>
  </w:p>
  <w:p w:rsidR="00B87364" w:rsidRDefault="00B87364">
    <w:pPr>
      <w:tabs>
        <w:tab w:val="center" w:pos="4703"/>
        <w:tab w:val="right" w:pos="9406"/>
      </w:tabs>
      <w:spacing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64C91"/>
    <w:multiLevelType w:val="multilevel"/>
    <w:tmpl w:val="1EECCF62"/>
    <w:lvl w:ilvl="0"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1" w15:restartNumberingAfterBreak="0">
    <w:nsid w:val="286D243E"/>
    <w:multiLevelType w:val="multilevel"/>
    <w:tmpl w:val="5072A10A"/>
    <w:lvl w:ilvl="0">
      <w:start w:val="6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2" w15:restartNumberingAfterBreak="0">
    <w:nsid w:val="4CAE6D9F"/>
    <w:multiLevelType w:val="multilevel"/>
    <w:tmpl w:val="6D68A1C2"/>
    <w:lvl w:ilvl="0">
      <w:start w:val="1"/>
      <w:numFmt w:val="bullet"/>
      <w:lvlText w:val="➢"/>
      <w:lvlJc w:val="left"/>
      <w:pPr>
        <w:ind w:left="360" w:firstLine="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364"/>
    <w:rsid w:val="000F7B2F"/>
    <w:rsid w:val="001044E0"/>
    <w:rsid w:val="00270653"/>
    <w:rsid w:val="002863BB"/>
    <w:rsid w:val="002C3272"/>
    <w:rsid w:val="003459F0"/>
    <w:rsid w:val="0037362E"/>
    <w:rsid w:val="00421F73"/>
    <w:rsid w:val="004C3B25"/>
    <w:rsid w:val="00521956"/>
    <w:rsid w:val="00607814"/>
    <w:rsid w:val="00690DEC"/>
    <w:rsid w:val="006A7AB8"/>
    <w:rsid w:val="006C0C6B"/>
    <w:rsid w:val="00752F78"/>
    <w:rsid w:val="00955995"/>
    <w:rsid w:val="00B55F74"/>
    <w:rsid w:val="00B87364"/>
    <w:rsid w:val="00C80E22"/>
    <w:rsid w:val="00EB41F8"/>
    <w:rsid w:val="00EC2695"/>
    <w:rsid w:val="00FB1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F7FC7"/>
  <w15:docId w15:val="{9406B103-E309-4150-831C-038327CC4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sk-SK" w:eastAsia="sk-S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</w:style>
  <w:style w:type="paragraph" w:styleId="Nadpis1">
    <w:name w:val="heading 1"/>
    <w:basedOn w:val="Normlny"/>
    <w:next w:val="Normlny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pPr>
      <w:keepNext/>
      <w:keepLines/>
      <w:spacing w:before="220" w:after="40"/>
      <w:contextualSpacing/>
      <w:outlineLvl w:val="4"/>
    </w:pPr>
    <w:rPr>
      <w:b/>
    </w:rPr>
  </w:style>
  <w:style w:type="paragraph" w:styleId="Nadpis6">
    <w:name w:val="heading 6"/>
    <w:basedOn w:val="Normlny"/>
    <w:next w:val="Normlny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Podtitul">
    <w:name w:val="Subtitle"/>
    <w:basedOn w:val="Normlny"/>
    <w:next w:val="Normlny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3459F0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459F0"/>
  </w:style>
  <w:style w:type="paragraph" w:styleId="Pta">
    <w:name w:val="footer"/>
    <w:basedOn w:val="Normlny"/>
    <w:link w:val="PtaChar"/>
    <w:uiPriority w:val="99"/>
    <w:unhideWhenUsed/>
    <w:rsid w:val="003459F0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459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1210</Words>
  <Characters>6898</Characters>
  <Application>Microsoft Office Word</Application>
  <DocSecurity>0</DocSecurity>
  <Lines>57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Katka</dc:creator>
  <cp:lastModifiedBy>kata.mihalikova@gmail.com</cp:lastModifiedBy>
  <cp:revision>2</cp:revision>
  <dcterms:created xsi:type="dcterms:W3CDTF">2022-03-30T18:12:00Z</dcterms:created>
  <dcterms:modified xsi:type="dcterms:W3CDTF">2022-03-30T18:12:00Z</dcterms:modified>
</cp:coreProperties>
</file>