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D5C41C" w14:textId="77777777" w:rsidR="00B849DF" w:rsidRDefault="00BF7A61">
      <w:pPr>
        <w:pStyle w:val="Standard"/>
        <w:spacing w:after="0" w:line="276" w:lineRule="auto"/>
      </w:pPr>
      <w:r>
        <w:rPr>
          <w:rFonts w:ascii="Times New Roman" w:hAnsi="Times New Roman" w:cs="Times New Roman"/>
          <w:b/>
          <w:color w:val="4472C4"/>
        </w:rPr>
        <w:t>Čl. I </w:t>
      </w:r>
      <w:r>
        <w:rPr>
          <w:rFonts w:ascii="Times New Roman" w:hAnsi="Times New Roman" w:cs="Times New Roman"/>
          <w:b/>
          <w:color w:val="4472C4"/>
        </w:rPr>
        <w:tab/>
        <w:t>Všeobecné informácie</w:t>
      </w:r>
    </w:p>
    <w:p w14:paraId="34D13B5E" w14:textId="77777777" w:rsidR="00B849DF" w:rsidRDefault="00B849DF">
      <w:pPr>
        <w:pStyle w:val="Standard"/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59DF4CC7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hAnsi="Times New Roman" w:cs="Times New Roman"/>
          <w:b/>
        </w:rPr>
        <w:t xml:space="preserve">I.1 </w:t>
      </w:r>
      <w:r>
        <w:rPr>
          <w:rFonts w:ascii="Times New Roman" w:hAnsi="Times New Roman" w:cs="Times New Roman"/>
          <w:b/>
        </w:rPr>
        <w:tab/>
        <w:t>Obchodné meno účtovnej jednotky:</w:t>
      </w:r>
    </w:p>
    <w:p w14:paraId="66916102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>IZOL MEN  s.r.o.</w:t>
      </w:r>
    </w:p>
    <w:p w14:paraId="72436716" w14:textId="77777777" w:rsidR="00B849DF" w:rsidRDefault="00BF7A61">
      <w:pPr>
        <w:pStyle w:val="Odsekzoznamu"/>
        <w:spacing w:after="0" w:line="276" w:lineRule="auto"/>
        <w:jc w:val="both"/>
      </w:pPr>
      <w:r>
        <w:rPr>
          <w:rFonts w:ascii="Times New Roman" w:hAnsi="Times New Roman" w:cs="Times New Roman"/>
          <w:b/>
        </w:rPr>
        <w:t>Sídlo účtovnej jednotky:</w:t>
      </w:r>
    </w:p>
    <w:p w14:paraId="1ED69D46" w14:textId="77777777" w:rsidR="00B849DF" w:rsidRDefault="00BF7A61">
      <w:pPr>
        <w:pStyle w:val="Odsekzoznamu"/>
        <w:spacing w:after="0" w:line="276" w:lineRule="auto"/>
        <w:jc w:val="both"/>
      </w:pPr>
      <w:r>
        <w:rPr>
          <w:rFonts w:ascii="Times New Roman" w:hAnsi="Times New Roman" w:cs="Times New Roman"/>
        </w:rPr>
        <w:t>Dlhá 1101/1</w:t>
      </w:r>
    </w:p>
    <w:p w14:paraId="2A5C37A9" w14:textId="77777777" w:rsidR="00B849DF" w:rsidRDefault="00BF7A61">
      <w:pPr>
        <w:pStyle w:val="Odsekzoznamu"/>
        <w:spacing w:after="0" w:line="276" w:lineRule="auto"/>
        <w:jc w:val="both"/>
      </w:pPr>
      <w:r>
        <w:rPr>
          <w:rFonts w:ascii="Times New Roman" w:hAnsi="Times New Roman" w:cs="Times New Roman"/>
        </w:rPr>
        <w:t>925 53 Pata</w:t>
      </w:r>
    </w:p>
    <w:p w14:paraId="2ED00ED6" w14:textId="77777777" w:rsidR="00B849DF" w:rsidRDefault="00B849DF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7ED5E34F" w14:textId="77777777" w:rsidR="00B849DF" w:rsidRDefault="00BF7A61">
      <w:pPr>
        <w:pStyle w:val="Odsekzoznamu"/>
        <w:spacing w:after="0" w:line="276" w:lineRule="auto"/>
        <w:jc w:val="both"/>
      </w:pPr>
      <w:r>
        <w:rPr>
          <w:rFonts w:ascii="Times New Roman" w:hAnsi="Times New Roman" w:cs="Times New Roman"/>
          <w:b/>
        </w:rPr>
        <w:t>Opis hospodárskej činnosti účtovnej jednotky:</w:t>
      </w:r>
    </w:p>
    <w:p w14:paraId="6E7E370C" w14:textId="77777777" w:rsidR="00B849DF" w:rsidRDefault="00BF7A61">
      <w:pPr>
        <w:pStyle w:val="Odsekzoznamu"/>
        <w:numPr>
          <w:ilvl w:val="0"/>
          <w:numId w:val="3"/>
        </w:numPr>
        <w:spacing w:after="0" w:line="276" w:lineRule="auto"/>
        <w:jc w:val="both"/>
      </w:pPr>
      <w:r>
        <w:rPr>
          <w:rFonts w:ascii="Times New Roman" w:hAnsi="Times New Roman" w:cs="Times New Roman"/>
        </w:rPr>
        <w:t>Ostatné špecializované práce</w:t>
      </w:r>
    </w:p>
    <w:p w14:paraId="7B12B02E" w14:textId="77777777" w:rsidR="00B849DF" w:rsidRDefault="00BF7A61">
      <w:pPr>
        <w:pStyle w:val="Odsekzoznamu"/>
        <w:numPr>
          <w:ilvl w:val="0"/>
          <w:numId w:val="2"/>
        </w:numPr>
        <w:spacing w:after="0" w:line="276" w:lineRule="auto"/>
        <w:jc w:val="both"/>
      </w:pPr>
      <w:r>
        <w:rPr>
          <w:rFonts w:ascii="Times New Roman" w:hAnsi="Times New Roman" w:cs="Times New Roman"/>
        </w:rPr>
        <w:t>Kúpa tovaru na účely jeho predaja konečnému spotrebiteľovi ( maloobchod )</w:t>
      </w:r>
    </w:p>
    <w:p w14:paraId="16FDD969" w14:textId="77777777" w:rsidR="00B849DF" w:rsidRDefault="00B849DF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38A5EFF" w14:textId="77777777" w:rsidR="00B849DF" w:rsidRDefault="00B849DF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E6B2BEA" w14:textId="77777777" w:rsidR="00B849DF" w:rsidRDefault="00BF7A61">
      <w:pPr>
        <w:pStyle w:val="Odsekzoznamu"/>
        <w:spacing w:after="0" w:line="276" w:lineRule="auto"/>
        <w:ind w:left="0"/>
        <w:jc w:val="both"/>
      </w:pPr>
      <w:r>
        <w:rPr>
          <w:rFonts w:ascii="Times New Roman" w:hAnsi="Times New Roman" w:cs="Times New Roman"/>
          <w:b/>
        </w:rPr>
        <w:t>I.2</w:t>
      </w:r>
      <w:r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0806A3A" w14:textId="75BF0334" w:rsidR="00B849DF" w:rsidRDefault="00BF7A61">
      <w:pPr>
        <w:pStyle w:val="Odsekzoznamu"/>
        <w:spacing w:after="0" w:line="276" w:lineRule="auto"/>
        <w:jc w:val="both"/>
      </w:pPr>
      <w:r>
        <w:rPr>
          <w:rFonts w:ascii="Times New Roman" w:hAnsi="Times New Roman" w:cs="Times New Roman"/>
        </w:rPr>
        <w:t>Účtovná závierka Spoločnosti k 31. decembru 20</w:t>
      </w:r>
      <w:r w:rsidR="006069FE">
        <w:rPr>
          <w:rFonts w:ascii="Times New Roman" w:hAnsi="Times New Roman" w:cs="Times New Roman"/>
        </w:rPr>
        <w:t>2</w:t>
      </w:r>
      <w:r w:rsidR="00E97848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E97848">
        <w:rPr>
          <w:rFonts w:ascii="Times New Roman" w:hAnsi="Times New Roman" w:cs="Times New Roman"/>
        </w:rPr>
        <w:t>22.03.2021</w:t>
      </w:r>
    </w:p>
    <w:p w14:paraId="19781215" w14:textId="77777777" w:rsidR="00B849DF" w:rsidRDefault="00B849DF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E5A6F65" w14:textId="77777777" w:rsidR="00B849DF" w:rsidRDefault="00B849DF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E703F45" w14:textId="77777777" w:rsidR="00B849DF" w:rsidRDefault="00BF7A61">
      <w:pPr>
        <w:pStyle w:val="Odsekzoznamu"/>
        <w:spacing w:after="0" w:line="276" w:lineRule="auto"/>
        <w:ind w:left="0"/>
        <w:jc w:val="both"/>
      </w:pPr>
      <w:r>
        <w:rPr>
          <w:rFonts w:ascii="Times New Roman" w:hAnsi="Times New Roman" w:cs="Times New Roman"/>
          <w:b/>
        </w:rPr>
        <w:t>I.3</w:t>
      </w:r>
      <w:r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13382225" w14:textId="77777777" w:rsidR="00B849DF" w:rsidRDefault="00B849DF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B82A461" w14:textId="77777777" w:rsidR="00B849DF" w:rsidRDefault="00BF7A6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</w:pPr>
      <w:r>
        <w:rPr>
          <w:rFonts w:ascii="Segoe UI Symbol" w:eastAsia="MS Gothic" w:hAnsi="Segoe UI Symbol" w:cs="Segoe UI Symbol"/>
        </w:rPr>
        <w:t>☒</w:t>
      </w:r>
      <w:r>
        <w:rPr>
          <w:rFonts w:ascii="Times New Roman" w:eastAsia="MS Gothic" w:hAnsi="Times New Roman" w:cs="Times New Roman"/>
        </w:rPr>
        <w:t xml:space="preserve"> Riadna    </w:t>
      </w:r>
      <w:r>
        <w:rPr>
          <w:rFonts w:ascii="Segoe UI Symbol" w:eastAsia="MS Gothic" w:hAnsi="Segoe UI Symbol" w:cs="Segoe UI Symbol"/>
        </w:rPr>
        <w:t>☐</w:t>
      </w:r>
      <w:r>
        <w:rPr>
          <w:rFonts w:ascii="Times New Roman" w:eastAsia="MS Gothic" w:hAnsi="Times New Roman" w:cs="Times New Roman"/>
        </w:rPr>
        <w:t xml:space="preserve"> Mimoriadna</w:t>
      </w:r>
    </w:p>
    <w:p w14:paraId="0DE90D42" w14:textId="77777777" w:rsidR="00B849DF" w:rsidRDefault="00B849DF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0AE65BB" w14:textId="77777777" w:rsidR="00B849DF" w:rsidRDefault="00B849DF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D819F15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hAnsi="Times New Roman" w:cs="Times New Roman"/>
          <w:b/>
        </w:rPr>
        <w:t xml:space="preserve">I.4 </w:t>
      </w:r>
      <w:r>
        <w:rPr>
          <w:rFonts w:ascii="Times New Roman" w:hAnsi="Times New Roman" w:cs="Times New Roman"/>
          <w:b/>
        </w:rPr>
        <w:tab/>
        <w:t>Informácie o skupine účtovných jednotiek</w:t>
      </w:r>
    </w:p>
    <w:p w14:paraId="70C0D4E6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hAnsi="Times New Roman" w:cs="Times New Roman"/>
        </w:rPr>
        <w:t xml:space="preserve">             Nie je - nemá</w:t>
      </w:r>
    </w:p>
    <w:p w14:paraId="30B46787" w14:textId="77777777" w:rsidR="00B849DF" w:rsidRDefault="00BF7A61">
      <w:pPr>
        <w:pStyle w:val="Standard"/>
        <w:spacing w:after="0" w:line="276" w:lineRule="auto"/>
        <w:ind w:left="709" w:hanging="709"/>
        <w:jc w:val="both"/>
      </w:pPr>
      <w:r>
        <w:rPr>
          <w:rFonts w:ascii="Times New Roman" w:hAnsi="Times New Roman" w:cs="Times New Roman"/>
          <w:b/>
        </w:rPr>
        <w:tab/>
      </w:r>
    </w:p>
    <w:p w14:paraId="13F47625" w14:textId="77777777" w:rsidR="00B849DF" w:rsidRDefault="00B849DF">
      <w:pPr>
        <w:pStyle w:val="Standard"/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24652396" w14:textId="77777777" w:rsidR="00B849DF" w:rsidRDefault="00B849DF">
      <w:pPr>
        <w:pStyle w:val="Standard"/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57130988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hAnsi="Times New Roman" w:cs="Times New Roman"/>
          <w:b/>
        </w:rPr>
        <w:t xml:space="preserve">I.5 </w:t>
      </w:r>
      <w:r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W w:w="932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25"/>
        <w:gridCol w:w="2410"/>
        <w:gridCol w:w="2789"/>
      </w:tblGrid>
      <w:tr w:rsidR="00B849DF" w14:paraId="4E7B913C" w14:textId="77777777">
        <w:tc>
          <w:tcPr>
            <w:tcW w:w="412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6190A8" w14:textId="77777777" w:rsidR="00B849DF" w:rsidRDefault="00BF7A61">
            <w:pPr>
              <w:pStyle w:val="Standard"/>
              <w:spacing w:after="0" w:line="276" w:lineRule="auto"/>
              <w:jc w:val="center"/>
            </w:pPr>
            <w:r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F7463D" w14:textId="77777777" w:rsidR="00B849DF" w:rsidRDefault="00BF7A61">
            <w:pPr>
              <w:pStyle w:val="Standard"/>
              <w:spacing w:after="0" w:line="276" w:lineRule="auto"/>
              <w:jc w:val="center"/>
            </w:pPr>
            <w:r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4E5764" w14:textId="77777777" w:rsidR="00B849DF" w:rsidRDefault="00BF7A61">
            <w:pPr>
              <w:pStyle w:val="Standard"/>
              <w:spacing w:after="0" w:line="276" w:lineRule="auto"/>
              <w:jc w:val="center"/>
            </w:pPr>
            <w:r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B849DF" w14:paraId="38BE21AE" w14:textId="77777777">
        <w:trPr>
          <w:trHeight w:val="454"/>
        </w:trPr>
        <w:tc>
          <w:tcPr>
            <w:tcW w:w="412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7F9903" w14:textId="77777777" w:rsidR="00B849DF" w:rsidRDefault="00BF7A61">
            <w:pPr>
              <w:pStyle w:val="Standard"/>
              <w:spacing w:after="0" w:line="276" w:lineRule="auto"/>
            </w:pPr>
            <w:r>
              <w:rPr>
                <w:rFonts w:ascii="Times New Roman" w:hAnsi="Times New Roman" w:cs="Times New Roman"/>
              </w:rPr>
              <w:t>Počet zamestnancov počas účtovného obdobia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1E0FB6" w14:textId="77777777" w:rsidR="00B849DF" w:rsidRDefault="00BF7A61">
            <w:pPr>
              <w:pStyle w:val="Standard"/>
              <w:spacing w:after="0" w:line="276" w:lineRule="auto"/>
              <w:jc w:val="center"/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4D8A45" w14:textId="77777777" w:rsidR="00B849DF" w:rsidRDefault="00BF7A61">
            <w:pPr>
              <w:pStyle w:val="Standard"/>
              <w:spacing w:after="0" w:line="276" w:lineRule="auto"/>
              <w:jc w:val="center"/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711ED4EB" w14:textId="77777777" w:rsidR="00B849DF" w:rsidRDefault="00B849DF">
      <w:pPr>
        <w:pStyle w:val="Standard"/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6DB2ADD" w14:textId="77777777" w:rsidR="00B849DF" w:rsidRDefault="00B849DF">
      <w:pPr>
        <w:pStyle w:val="Standard"/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10844EA" w14:textId="77777777" w:rsidR="00B849DF" w:rsidRDefault="00B849DF">
      <w:pPr>
        <w:pStyle w:val="Standard"/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5489CAD" w14:textId="77777777" w:rsidR="00B849DF" w:rsidRDefault="00B849DF">
      <w:pPr>
        <w:pStyle w:val="Standard"/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DAF6042" w14:textId="77777777" w:rsidR="00B849DF" w:rsidRDefault="00BF7A61">
      <w:pPr>
        <w:pStyle w:val="Standard"/>
        <w:spacing w:after="0" w:line="276" w:lineRule="auto"/>
      </w:pPr>
      <w:r>
        <w:rPr>
          <w:rFonts w:ascii="Times New Roman" w:hAnsi="Times New Roman" w:cs="Times New Roman"/>
          <w:b/>
          <w:color w:val="4472C4"/>
        </w:rPr>
        <w:t>Čl. II</w:t>
      </w:r>
      <w:r>
        <w:rPr>
          <w:rFonts w:ascii="Times New Roman" w:hAnsi="Times New Roman" w:cs="Times New Roman"/>
          <w:b/>
          <w:color w:val="4472C4"/>
        </w:rPr>
        <w:tab/>
        <w:t>Informácie o orgánoch spoločnosti</w:t>
      </w:r>
    </w:p>
    <w:p w14:paraId="6C0C7B6C" w14:textId="77777777" w:rsidR="00B849DF" w:rsidRDefault="00B849DF">
      <w:pPr>
        <w:pStyle w:val="Standard"/>
        <w:spacing w:after="0" w:line="276" w:lineRule="auto"/>
        <w:jc w:val="both"/>
        <w:rPr>
          <w:rFonts w:ascii="Times New Roman" w:hAnsi="Times New Roman" w:cs="Times New Roman"/>
        </w:rPr>
      </w:pPr>
    </w:p>
    <w:p w14:paraId="35E7C7F6" w14:textId="43E565B5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hAnsi="Times New Roman" w:cs="Times New Roman"/>
        </w:rPr>
        <w:t>Členom štatutárneho orgánu, ani členom dozorných orgánov  neboli v roku 20</w:t>
      </w:r>
      <w:r w:rsidR="006069FE">
        <w:rPr>
          <w:rFonts w:ascii="Times New Roman" w:hAnsi="Times New Roman" w:cs="Times New Roman"/>
        </w:rPr>
        <w:t>2</w:t>
      </w:r>
      <w:r w:rsidR="00E97848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 w:rsidR="00E97848">
        <w:rPr>
          <w:rFonts w:ascii="Times New Roman" w:hAnsi="Times New Roman" w:cs="Times New Roman"/>
        </w:rPr>
        <w:t>20</w:t>
      </w:r>
      <w:r>
        <w:rPr>
          <w:rFonts w:ascii="Times New Roman" w:hAnsi="Times New Roman" w:cs="Times New Roman"/>
        </w:rPr>
        <w:t>: žiadne).</w:t>
      </w:r>
    </w:p>
    <w:p w14:paraId="17EEE73C" w14:textId="77777777" w:rsidR="00B849DF" w:rsidRDefault="00B849DF">
      <w:pPr>
        <w:pStyle w:val="Standard"/>
        <w:spacing w:after="0" w:line="276" w:lineRule="auto"/>
        <w:jc w:val="both"/>
        <w:rPr>
          <w:rFonts w:ascii="Times New Roman" w:hAnsi="Times New Roman" w:cs="Times New Roman"/>
        </w:rPr>
      </w:pPr>
    </w:p>
    <w:p w14:paraId="4329AB7C" w14:textId="77777777" w:rsidR="00B849DF" w:rsidRDefault="00B849DF">
      <w:pPr>
        <w:pStyle w:val="Standard"/>
        <w:spacing w:after="0" w:line="276" w:lineRule="auto"/>
        <w:jc w:val="both"/>
        <w:rPr>
          <w:rFonts w:ascii="Times New Roman" w:hAnsi="Times New Roman" w:cs="Times New Roman"/>
        </w:rPr>
      </w:pPr>
    </w:p>
    <w:p w14:paraId="30A480DA" w14:textId="77777777" w:rsidR="00B849DF" w:rsidRDefault="00B849DF">
      <w:pPr>
        <w:pStyle w:val="Standard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1EFE5A4" w14:textId="77777777" w:rsidR="00B849DF" w:rsidRDefault="00B849DF">
      <w:pPr>
        <w:pStyle w:val="Standard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B499221" w14:textId="77777777" w:rsidR="00B849DF" w:rsidRDefault="00BF7A61">
      <w:pPr>
        <w:pStyle w:val="Standard"/>
        <w:spacing w:after="0" w:line="276" w:lineRule="auto"/>
      </w:pPr>
      <w:r>
        <w:rPr>
          <w:rFonts w:ascii="Times New Roman" w:hAnsi="Times New Roman" w:cs="Times New Roman"/>
          <w:b/>
          <w:color w:val="4472C4"/>
        </w:rPr>
        <w:t>Čl. III</w:t>
      </w:r>
      <w:r>
        <w:rPr>
          <w:rFonts w:ascii="Times New Roman" w:hAnsi="Times New Roman" w:cs="Times New Roman"/>
          <w:b/>
          <w:color w:val="4472C4"/>
        </w:rPr>
        <w:tab/>
        <w:t>Informácie o prijatých postupoch</w:t>
      </w:r>
    </w:p>
    <w:p w14:paraId="3077D5C1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  <w:b/>
        </w:rPr>
        <w:t>III. 1</w:t>
      </w:r>
      <w:r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005017D2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hAnsi="Times New Roman" w:cs="Times New Roman"/>
          <w:b/>
        </w:rPr>
        <w:tab/>
      </w:r>
      <w:r>
        <w:rPr>
          <w:rFonts w:ascii="Segoe UI Symbol" w:eastAsia="MS Gothic" w:hAnsi="Segoe UI Symbol" w:cs="Segoe UI Symbol"/>
          <w:b/>
        </w:rPr>
        <w:t>☒</w:t>
      </w:r>
      <w:r>
        <w:rPr>
          <w:rFonts w:ascii="Times New Roman" w:eastAsia="MS Gothic" w:hAnsi="Times New Roman" w:cs="Times New Roman"/>
          <w:b/>
        </w:rPr>
        <w:t xml:space="preserve">  </w:t>
      </w:r>
      <w:r>
        <w:rPr>
          <w:rFonts w:ascii="Times New Roman" w:eastAsia="MS Gothic" w:hAnsi="Times New Roman" w:cs="Times New Roman"/>
        </w:rPr>
        <w:t xml:space="preserve">áno </w:t>
      </w:r>
      <w:r>
        <w:rPr>
          <w:rFonts w:ascii="Times New Roman" w:eastAsia="MS Gothic" w:hAnsi="Times New Roman" w:cs="Times New Roman"/>
          <w:b/>
        </w:rPr>
        <w:tab/>
      </w:r>
      <w:r>
        <w:rPr>
          <w:rFonts w:ascii="Segoe UI Symbol" w:eastAsia="MS Gothic" w:hAnsi="Segoe UI Symbol" w:cs="Segoe UI Symbol"/>
          <w:b/>
        </w:rPr>
        <w:t>☐</w:t>
      </w:r>
      <w:r>
        <w:rPr>
          <w:rFonts w:ascii="Times New Roman" w:eastAsia="MS Gothic" w:hAnsi="Times New Roman" w:cs="Times New Roman"/>
          <w:b/>
        </w:rPr>
        <w:t xml:space="preserve">  </w:t>
      </w:r>
      <w:r>
        <w:rPr>
          <w:rFonts w:ascii="Times New Roman" w:eastAsia="MS Gothic" w:hAnsi="Times New Roman" w:cs="Times New Roman"/>
        </w:rPr>
        <w:t>nie</w:t>
      </w:r>
    </w:p>
    <w:p w14:paraId="1BAE8A70" w14:textId="77777777" w:rsidR="00B849DF" w:rsidRDefault="00BF7A61">
      <w:pPr>
        <w:pStyle w:val="Standard"/>
        <w:spacing w:after="0" w:line="276" w:lineRule="auto"/>
        <w:ind w:left="708"/>
        <w:jc w:val="both"/>
      </w:pPr>
      <w:r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1201B88B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  <w:b/>
        </w:rPr>
      </w:pPr>
    </w:p>
    <w:p w14:paraId="671163CB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  <w:b/>
        </w:rPr>
        <w:t xml:space="preserve">III. 2  </w:t>
      </w:r>
      <w:r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212E3E89" w14:textId="77777777" w:rsidR="00B849DF" w:rsidRDefault="00B849DF">
      <w:pPr>
        <w:pStyle w:val="Standard"/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621D4CE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</w:rPr>
        <w:t>Dlhodobý majetok nakupovaný sa oceňuje obstarávacou cenou, ktorá zahŕňa cenu obstarania a náklady súvisiace s obstaraním (clo, prepravu, montáž, poistné a pod.).</w:t>
      </w:r>
    </w:p>
    <w:p w14:paraId="5AED9DCE" w14:textId="77777777" w:rsidR="00B849DF" w:rsidRDefault="00B849DF">
      <w:pPr>
        <w:pStyle w:val="Standard"/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8CBBFCD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6B89FEC0" w14:textId="77777777" w:rsidR="00B849DF" w:rsidRDefault="00B849DF">
      <w:pPr>
        <w:pStyle w:val="Standard"/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7FEFF71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</w:rPr>
        <w:t>Dlhodobý majetok vytvorený vlastnou činnosťou sa oceňuje vlastnými nákladmi. Vlastnými nákladmi sú všetky priame náklady vynaložené na výrobu alebo inú činnosť a nepriame náklady, ktoré sa vzťahujú na výrobu alebo inú činnosť.</w:t>
      </w:r>
    </w:p>
    <w:p w14:paraId="7C9A56E8" w14:textId="77777777" w:rsidR="00B849DF" w:rsidRDefault="00B849DF">
      <w:pPr>
        <w:pStyle w:val="Standard"/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804FFB6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</w:t>
      </w:r>
    </w:p>
    <w:p w14:paraId="02D2C5A8" w14:textId="77777777" w:rsidR="00B849DF" w:rsidRDefault="00B849DF">
      <w:pPr>
        <w:pStyle w:val="Standard"/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AF57E05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66F0644D" w14:textId="77777777" w:rsidR="00B849DF" w:rsidRDefault="00B849DF">
      <w:pPr>
        <w:pStyle w:val="Standard"/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93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6"/>
        <w:gridCol w:w="142"/>
        <w:gridCol w:w="1984"/>
        <w:gridCol w:w="140"/>
        <w:gridCol w:w="1701"/>
        <w:gridCol w:w="141"/>
        <w:gridCol w:w="2271"/>
      </w:tblGrid>
      <w:tr w:rsidR="00B849DF" w14:paraId="00277F0B" w14:textId="77777777">
        <w:trPr>
          <w:trHeight w:val="250"/>
        </w:trPr>
        <w:tc>
          <w:tcPr>
            <w:tcW w:w="3117" w:type="dxa"/>
            <w:gridSpan w:val="2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2F44D0B0" w14:textId="77777777" w:rsidR="00B849DF" w:rsidRDefault="00B849DF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4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7E06CD4B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65FEC2E2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7987560E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57FD3DE3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7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293C0F66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B849DF" w14:paraId="143381F5" w14:textId="77777777">
        <w:trPr>
          <w:trHeight w:val="250"/>
        </w:trPr>
        <w:tc>
          <w:tcPr>
            <w:tcW w:w="2975" w:type="dxa"/>
            <w:tcBorders>
              <w:bottom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06418B50" w14:textId="77777777" w:rsidR="00B849DF" w:rsidRDefault="00B849DF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1B8A2607" w14:textId="77777777" w:rsidR="00B849DF" w:rsidRDefault="00B849DF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1DE1919B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0" w:type="dxa"/>
            <w:tcBorders>
              <w:bottom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719B974C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790838B4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1" w:type="dxa"/>
            <w:tcBorders>
              <w:bottom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4B743DD0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71" w:type="dxa"/>
            <w:tcBorders>
              <w:bottom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4574281C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B849DF" w14:paraId="42E88421" w14:textId="77777777">
        <w:trPr>
          <w:trHeight w:val="250"/>
        </w:trPr>
        <w:tc>
          <w:tcPr>
            <w:tcW w:w="3117" w:type="dxa"/>
            <w:gridSpan w:val="2"/>
            <w:tcBorders>
              <w:top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70D47EF" w14:textId="77777777" w:rsidR="00B849DF" w:rsidRDefault="00BF7A61">
            <w:pPr>
              <w:pStyle w:val="Tabulka"/>
              <w:spacing w:line="276" w:lineRule="auto"/>
            </w:pPr>
            <w:r>
              <w:rPr>
                <w:color w:val="auto"/>
                <w:sz w:val="22"/>
                <w:szCs w:val="22"/>
              </w:rPr>
              <w:t>Stavby - vlastné</w:t>
            </w:r>
          </w:p>
        </w:tc>
        <w:tc>
          <w:tcPr>
            <w:tcW w:w="1984" w:type="dxa"/>
            <w:tcBorders>
              <w:top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38D4A94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0" w:type="dxa"/>
            <w:tcBorders>
              <w:top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E72F6CC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B729A4B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1" w:type="dxa"/>
            <w:tcBorders>
              <w:top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6961334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71" w:type="dxa"/>
            <w:tcBorders>
              <w:top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66B715A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B849DF" w14:paraId="4EDA7432" w14:textId="77777777">
        <w:trPr>
          <w:trHeight w:val="250"/>
        </w:trPr>
        <w:tc>
          <w:tcPr>
            <w:tcW w:w="3117" w:type="dxa"/>
            <w:gridSpan w:val="2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D21B82F" w14:textId="77777777" w:rsidR="00B849DF" w:rsidRDefault="00BF7A61">
            <w:pPr>
              <w:pStyle w:val="Tabulka"/>
              <w:spacing w:line="276" w:lineRule="auto"/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4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1A3C6E1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0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3117D7B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107A610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1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D7A6723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71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BD393D1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B849DF" w14:paraId="6A32DA99" w14:textId="77777777">
        <w:trPr>
          <w:trHeight w:val="250"/>
        </w:trPr>
        <w:tc>
          <w:tcPr>
            <w:tcW w:w="3117" w:type="dxa"/>
            <w:gridSpan w:val="2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DA86FA4" w14:textId="77777777" w:rsidR="00B849DF" w:rsidRDefault="00BF7A61">
            <w:pPr>
              <w:pStyle w:val="Tabulka"/>
              <w:spacing w:line="276" w:lineRule="auto"/>
            </w:pPr>
            <w:r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4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1CFB960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0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90766B4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BFBBE29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1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3BB22A2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71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D2C5E85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B849DF" w14:paraId="3E59FDDE" w14:textId="77777777">
        <w:trPr>
          <w:trHeight w:val="250"/>
        </w:trPr>
        <w:tc>
          <w:tcPr>
            <w:tcW w:w="3117" w:type="dxa"/>
            <w:gridSpan w:val="2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BF907F5" w14:textId="77777777" w:rsidR="00B849DF" w:rsidRDefault="00BF7A61">
            <w:pPr>
              <w:pStyle w:val="Tabulka"/>
              <w:spacing w:line="276" w:lineRule="auto"/>
            </w:pPr>
            <w:r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4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BB31CD1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0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1655D77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8BF420C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1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C559975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71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AECED58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B849DF" w14:paraId="4CAF3680" w14:textId="77777777">
        <w:trPr>
          <w:trHeight w:val="250"/>
        </w:trPr>
        <w:tc>
          <w:tcPr>
            <w:tcW w:w="3117" w:type="dxa"/>
            <w:gridSpan w:val="2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D6D10A2" w14:textId="77777777" w:rsidR="00B849DF" w:rsidRDefault="00BF7A61">
            <w:pPr>
              <w:pStyle w:val="Tabulka"/>
              <w:spacing w:line="276" w:lineRule="auto"/>
            </w:pPr>
            <w:r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4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C23C84D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0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3C82DAF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18D41DB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1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32439A4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71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FC3FC33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78CA9DA5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</w:rPr>
        <w:tab/>
      </w:r>
    </w:p>
    <w:p w14:paraId="100EB848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1FC06705" w14:textId="77777777" w:rsidR="00B849DF" w:rsidRDefault="00B849DF">
      <w:pPr>
        <w:pStyle w:val="Standard"/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33CDB85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  <w:b/>
          <w:i/>
        </w:rPr>
        <w:t>Posúdenie zníženia hodnoty majetku</w:t>
      </w:r>
    </w:p>
    <w:p w14:paraId="40BE59B4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</w:rPr>
        <w:lastRenderedPageBreak/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618426CE" w14:textId="77777777" w:rsidR="00B849DF" w:rsidRDefault="00B849DF">
      <w:pPr>
        <w:pStyle w:val="Standard"/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5D19391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</w:rPr>
        <w:t>Faktory, ktoré sú považované za dôležité pri  posudzovaní zníženia hodnoty majetku sú:</w:t>
      </w:r>
    </w:p>
    <w:p w14:paraId="7416D646" w14:textId="77777777" w:rsidR="00B849DF" w:rsidRDefault="00BF7A61">
      <w:pPr>
        <w:pStyle w:val="Standard"/>
        <w:tabs>
          <w:tab w:val="left" w:pos="852"/>
        </w:tabs>
        <w:spacing w:after="0" w:line="276" w:lineRule="auto"/>
        <w:ind w:left="426" w:hanging="426"/>
        <w:jc w:val="both"/>
      </w:pPr>
      <w:r>
        <w:rPr>
          <w:rFonts w:ascii="Times New Roman" w:hAnsi="Times New Roman" w:cs="Times New Roman"/>
        </w:rPr>
        <w:t>•</w:t>
      </w:r>
      <w:r>
        <w:rPr>
          <w:rFonts w:ascii="Times New Roman" w:hAnsi="Times New Roman" w:cs="Times New Roman"/>
        </w:rPr>
        <w:tab/>
        <w:t>technologický pokrok,</w:t>
      </w:r>
    </w:p>
    <w:p w14:paraId="2B2728E7" w14:textId="77777777" w:rsidR="00B849DF" w:rsidRDefault="00BF7A61">
      <w:pPr>
        <w:pStyle w:val="Standard"/>
        <w:tabs>
          <w:tab w:val="left" w:pos="852"/>
        </w:tabs>
        <w:spacing w:after="0" w:line="276" w:lineRule="auto"/>
        <w:ind w:left="426" w:hanging="426"/>
        <w:jc w:val="both"/>
      </w:pPr>
      <w:r>
        <w:rPr>
          <w:rFonts w:ascii="Times New Roman" w:hAnsi="Times New Roman" w:cs="Times New Roman"/>
        </w:rPr>
        <w:t>•</w:t>
      </w:r>
      <w:r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1858E7EF" w14:textId="77777777" w:rsidR="00B849DF" w:rsidRDefault="00BF7A61">
      <w:pPr>
        <w:pStyle w:val="Standard"/>
        <w:tabs>
          <w:tab w:val="left" w:pos="852"/>
        </w:tabs>
        <w:spacing w:after="0" w:line="276" w:lineRule="auto"/>
        <w:ind w:left="426" w:hanging="426"/>
        <w:jc w:val="both"/>
      </w:pPr>
      <w:r>
        <w:rPr>
          <w:rFonts w:ascii="Times New Roman" w:hAnsi="Times New Roman" w:cs="Times New Roman"/>
        </w:rPr>
        <w:t>•</w:t>
      </w:r>
      <w:r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25C67047" w14:textId="77777777" w:rsidR="00B849DF" w:rsidRDefault="00BF7A61">
      <w:pPr>
        <w:pStyle w:val="Standard"/>
        <w:tabs>
          <w:tab w:val="left" w:pos="852"/>
        </w:tabs>
        <w:spacing w:after="0" w:line="276" w:lineRule="auto"/>
        <w:ind w:left="426" w:hanging="426"/>
        <w:jc w:val="both"/>
      </w:pPr>
      <w:r>
        <w:rPr>
          <w:rFonts w:ascii="Times New Roman" w:hAnsi="Times New Roman" w:cs="Times New Roman"/>
        </w:rPr>
        <w:t>•</w:t>
      </w:r>
      <w:r>
        <w:rPr>
          <w:rFonts w:ascii="Times New Roman" w:hAnsi="Times New Roman" w:cs="Times New Roman"/>
        </w:rPr>
        <w:tab/>
        <w:t>zastaralosť produktov.</w:t>
      </w:r>
    </w:p>
    <w:p w14:paraId="48CE0CF7" w14:textId="77777777" w:rsidR="00B849DF" w:rsidRDefault="00B849DF">
      <w:pPr>
        <w:pStyle w:val="Standard"/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3D429E9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1D58A2BE" w14:textId="77777777" w:rsidR="00B849DF" w:rsidRDefault="00B849DF">
      <w:pPr>
        <w:pStyle w:val="Standard"/>
        <w:spacing w:after="0" w:line="276" w:lineRule="auto"/>
        <w:jc w:val="both"/>
        <w:rPr>
          <w:rFonts w:ascii="Times New Roman" w:hAnsi="Times New Roman" w:cs="Times New Roman"/>
        </w:rPr>
      </w:pPr>
    </w:p>
    <w:p w14:paraId="6C68175B" w14:textId="77777777" w:rsidR="00B849DF" w:rsidRDefault="00B849DF">
      <w:pPr>
        <w:pStyle w:val="Standard"/>
        <w:spacing w:after="0" w:line="276" w:lineRule="auto"/>
        <w:jc w:val="both"/>
        <w:rPr>
          <w:rFonts w:ascii="Times New Roman" w:hAnsi="Times New Roman" w:cs="Times New Roman"/>
        </w:rPr>
      </w:pPr>
    </w:p>
    <w:p w14:paraId="7054F112" w14:textId="77777777" w:rsidR="00B849DF" w:rsidRDefault="00BF7A61">
      <w:pPr>
        <w:pStyle w:val="Standard"/>
        <w:spacing w:after="0" w:line="276" w:lineRule="auto"/>
        <w:ind w:left="992" w:hanging="992"/>
        <w:jc w:val="both"/>
      </w:pPr>
      <w:r>
        <w:rPr>
          <w:rFonts w:ascii="Times New Roman" w:eastAsia="MS Gothic" w:hAnsi="Times New Roman" w:cs="Times New Roman"/>
          <w:b/>
        </w:rPr>
        <w:t>III. 2 b)</w:t>
      </w:r>
      <w:r>
        <w:rPr>
          <w:rFonts w:ascii="Times New Roman" w:eastAsia="MS Gothic" w:hAnsi="Times New Roman" w:cs="Times New Roman"/>
          <w:b/>
        </w:rPr>
        <w:tab/>
        <w:t>Dotácie poskytnuté na obstaranie majetku:</w:t>
      </w:r>
    </w:p>
    <w:p w14:paraId="05B138DA" w14:textId="77777777" w:rsidR="00B849DF" w:rsidRDefault="00BF7A61">
      <w:pPr>
        <w:pStyle w:val="Odsekzoznamu"/>
        <w:numPr>
          <w:ilvl w:val="0"/>
          <w:numId w:val="2"/>
        </w:numPr>
        <w:spacing w:after="0" w:line="276" w:lineRule="auto"/>
        <w:jc w:val="both"/>
      </w:pPr>
      <w:r>
        <w:rPr>
          <w:rFonts w:ascii="Times New Roman" w:eastAsia="MS Gothic" w:hAnsi="Times New Roman" w:cs="Times New Roman"/>
          <w:b/>
        </w:rPr>
        <w:t>žiadne</w:t>
      </w:r>
    </w:p>
    <w:p w14:paraId="7ADEB9AA" w14:textId="77777777" w:rsidR="00B849DF" w:rsidRDefault="00B849DF">
      <w:pPr>
        <w:pStyle w:val="Standard"/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</w:p>
    <w:p w14:paraId="4D85B0FC" w14:textId="77777777" w:rsidR="00B849DF" w:rsidRDefault="00B849DF">
      <w:pPr>
        <w:pStyle w:val="Standard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CE381B3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  <w:b/>
        </w:rPr>
        <w:t>III. 3</w:t>
      </w:r>
      <w:r>
        <w:rPr>
          <w:rFonts w:ascii="Times New Roman" w:eastAsia="MS Gothic" w:hAnsi="Times New Roman" w:cs="Times New Roman"/>
          <w:b/>
        </w:rPr>
        <w:tab/>
        <w:t>Pohľadávky</w:t>
      </w:r>
    </w:p>
    <w:p w14:paraId="5EF374CF" w14:textId="77777777" w:rsidR="00B849DF" w:rsidRDefault="00B849DF">
      <w:pPr>
        <w:pStyle w:val="Standard"/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</w:rPr>
      </w:pPr>
    </w:p>
    <w:p w14:paraId="3CD51FA9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572C76E7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5FDA53F5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  <w:b/>
        </w:rPr>
        <w:t>III. 4</w:t>
      </w:r>
      <w:r>
        <w:rPr>
          <w:rFonts w:ascii="Times New Roman" w:eastAsia="MS Gothic" w:hAnsi="Times New Roman" w:cs="Times New Roman"/>
          <w:b/>
        </w:rPr>
        <w:tab/>
        <w:t>Finančné účty</w:t>
      </w:r>
    </w:p>
    <w:p w14:paraId="55D3C840" w14:textId="77777777" w:rsidR="00B849DF" w:rsidRDefault="00B849DF">
      <w:pPr>
        <w:pStyle w:val="Standard"/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</w:rPr>
      </w:pPr>
    </w:p>
    <w:p w14:paraId="38B62ED2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Finančné účty tvorí peňažná hotovosť, ceniny, zostatky na bankových účtoch a oceňujú sa menovitou hodnotou. Zníženie ich hodnoty sa vyjadruje opravnou položkou.</w:t>
      </w:r>
    </w:p>
    <w:p w14:paraId="402EF386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64412F39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  <w:b/>
        </w:rPr>
        <w:t>III.5</w:t>
      </w:r>
      <w:r>
        <w:rPr>
          <w:rFonts w:ascii="Times New Roman" w:eastAsia="MS Gothic" w:hAnsi="Times New Roman" w:cs="Times New Roman"/>
          <w:b/>
        </w:rPr>
        <w:tab/>
        <w:t>Náklady budúcich období a príjmy budúcich období</w:t>
      </w:r>
    </w:p>
    <w:p w14:paraId="33BD8BDA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09AB047D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Náklady budúcich období a príjmy budúcich období sa vykazujú vo výške, ktorá je potrebná na dodržanie zásady vecnej a časovej súvislosti s účtovným obdobím.</w:t>
      </w:r>
    </w:p>
    <w:p w14:paraId="00D7DE2B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7472D848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  <w:b/>
        </w:rPr>
        <w:t>III.6</w:t>
      </w:r>
      <w:r>
        <w:rPr>
          <w:rFonts w:ascii="Times New Roman" w:eastAsia="MS Gothic" w:hAnsi="Times New Roman" w:cs="Times New Roman"/>
          <w:b/>
        </w:rPr>
        <w:tab/>
        <w:t>Rezervy</w:t>
      </w:r>
    </w:p>
    <w:p w14:paraId="74E038FE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58F750CC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22E38AF0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0E55D116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lastRenderedPageBreak/>
        <w:t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</w:t>
      </w:r>
    </w:p>
    <w:p w14:paraId="0D42FFCE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5E5C27E6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Tvorba rezervy na bonusy, rabaty, skontá a vrátenie kúpnej ceny pri reklamácii sa účtuje ako zníženie pôvodne dosiahnutých výnosov so súvzťažným zápisom v prospech účtu rezerv.</w:t>
      </w:r>
    </w:p>
    <w:p w14:paraId="107386E3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3B0A6E42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Rezervy na nevyfakturované dodávky majetku sa nevykazujú s vplyvom na výsledok hospodárenia a oceňujú sa v odhadovanej výške záväzku.</w:t>
      </w:r>
    </w:p>
    <w:p w14:paraId="1A34B1DF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72986DF5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  <w:b/>
        </w:rPr>
        <w:t>III.7</w:t>
      </w:r>
      <w:r>
        <w:rPr>
          <w:rFonts w:ascii="Times New Roman" w:eastAsia="MS Gothic" w:hAnsi="Times New Roman" w:cs="Times New Roman"/>
          <w:b/>
        </w:rPr>
        <w:tab/>
        <w:t>Záväzky</w:t>
      </w:r>
    </w:p>
    <w:p w14:paraId="5CBF47D0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3132E17D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0801339B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312587D1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  <w:b/>
        </w:rPr>
        <w:t xml:space="preserve">III.8 </w:t>
      </w:r>
      <w:r>
        <w:rPr>
          <w:rFonts w:ascii="Times New Roman" w:eastAsia="MS Gothic" w:hAnsi="Times New Roman" w:cs="Times New Roman"/>
          <w:b/>
        </w:rPr>
        <w:tab/>
        <w:t>Výdavky budúcich období a výnosy budúcich období</w:t>
      </w:r>
    </w:p>
    <w:p w14:paraId="07D833D9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0C49B3EC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Výdavky budúcich období a výnosy budúcich období sa vykazujú vo výške, ktorá je potrebná na dodržanie zásady vecnej a časovej súvislosti s účtovným obdobím.</w:t>
      </w:r>
    </w:p>
    <w:p w14:paraId="02881F08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3B1B3585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  <w:b/>
        </w:rPr>
        <w:t xml:space="preserve">III. 9 </w:t>
      </w:r>
      <w:r>
        <w:rPr>
          <w:rFonts w:ascii="Times New Roman" w:eastAsia="MS Gothic" w:hAnsi="Times New Roman" w:cs="Times New Roman"/>
          <w:b/>
        </w:rPr>
        <w:tab/>
        <w:t>Výnosy</w:t>
      </w:r>
    </w:p>
    <w:p w14:paraId="1DE11154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5E627E1C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038CD3AA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4CA0CBEB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Tržby z predaja výrobkov a tovaru sa vykazujú v deň splnenia dodávky podľa Obchodného zákonníka, podľa Incoterms alebo iných podmienok dohodnutých v zmluve.</w:t>
      </w:r>
    </w:p>
    <w:p w14:paraId="4FBBC1D3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7107921E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Tržby z predaja služieb sa vykazujú v účtovnom období, v ktorom boli služby poskytnuté.</w:t>
      </w:r>
    </w:p>
    <w:p w14:paraId="4A7D7A44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Výnosové úroky sa účtujú rovnomerne v účtovných obdobiach, ktorých sa vecne a časovo týkajú / na základe časového rozlíšenia metódou efektívnej úrokovej miery.</w:t>
      </w:r>
    </w:p>
    <w:p w14:paraId="4AC855CC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02905DD0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Výnosy z dividend sa zaúčtujú v čase vzniku práva Spoločnosti na prijatie platby.</w:t>
      </w:r>
    </w:p>
    <w:p w14:paraId="776B9AD9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76207011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5578290C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  <w:b/>
        </w:rPr>
        <w:t xml:space="preserve">III. 10 </w:t>
      </w:r>
      <w:r>
        <w:rPr>
          <w:rFonts w:ascii="Times New Roman" w:eastAsia="MS Gothic" w:hAnsi="Times New Roman" w:cs="Times New Roman"/>
          <w:b/>
        </w:rPr>
        <w:tab/>
        <w:t>Porovnateľné údaje</w:t>
      </w:r>
    </w:p>
    <w:p w14:paraId="7DCB8859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043ABA1E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Ak v dôsledku zmeny účtovných metód a účtovných zásad nie sú hodnoty za bezprostredne predchádzajúce účtovné obdobie v jednotlivých súčastiach účtovnej závierky porovnateľné, uvádza sa vysvetlenie o neporovnateľných hodnotách v poznámkach.</w:t>
      </w:r>
    </w:p>
    <w:p w14:paraId="5C02C712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V dôsledku zmeny zákona o dani z príjmov je rezerva na overenie účtovnej závierky a zostavenie daňového priznania k 31. decembru 2018 vykázaná ako krátkodobá ostatná rezerva, k 31. decembru 2017 ako krátkodobá zákonná rezerva.</w:t>
      </w:r>
    </w:p>
    <w:p w14:paraId="719BE3E3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04828051" w14:textId="77777777" w:rsidR="00B849DF" w:rsidRDefault="00BF7A61">
      <w:pPr>
        <w:pStyle w:val="Standard"/>
        <w:spacing w:after="0" w:line="276" w:lineRule="auto"/>
      </w:pPr>
      <w:r>
        <w:rPr>
          <w:rFonts w:ascii="Times New Roman" w:hAnsi="Times New Roman" w:cs="Times New Roman"/>
          <w:b/>
          <w:color w:val="4472C4"/>
        </w:rPr>
        <w:lastRenderedPageBreak/>
        <w:t>Čl. IV</w:t>
      </w:r>
      <w:r>
        <w:rPr>
          <w:rFonts w:ascii="Times New Roman" w:hAnsi="Times New Roman" w:cs="Times New Roman"/>
          <w:b/>
          <w:color w:val="4472C4"/>
        </w:rPr>
        <w:tab/>
        <w:t>Informácie, ktoré vysvetľujú a dopĺňajú položky súvahy a výkazu ziskov a strát</w:t>
      </w:r>
    </w:p>
    <w:p w14:paraId="1D8158DA" w14:textId="77777777" w:rsidR="00B849DF" w:rsidRDefault="00B849DF">
      <w:pPr>
        <w:pStyle w:val="Standard"/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063A6A3B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  <w:b/>
        </w:rPr>
        <w:t>IV. 1</w:t>
      </w:r>
      <w:r>
        <w:rPr>
          <w:rFonts w:ascii="Times New Roman" w:eastAsia="MS Gothic" w:hAnsi="Times New Roman" w:cs="Times New Roman"/>
          <w:b/>
        </w:rPr>
        <w:tab/>
        <w:t>Informácie o záväzkoch</w:t>
      </w:r>
    </w:p>
    <w:p w14:paraId="0A0A1468" w14:textId="77777777" w:rsidR="00B849DF" w:rsidRDefault="00B849DF">
      <w:pPr>
        <w:pStyle w:val="Textbody"/>
        <w:ind w:left="0"/>
        <w:rPr>
          <w:sz w:val="22"/>
          <w:szCs w:val="22"/>
        </w:rPr>
      </w:pPr>
    </w:p>
    <w:p w14:paraId="3FBD8B62" w14:textId="77777777" w:rsidR="00B849DF" w:rsidRDefault="00BF7A61">
      <w:pPr>
        <w:pStyle w:val="Textbody"/>
        <w:ind w:left="0"/>
      </w:pPr>
      <w:r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659911E1" w14:textId="77777777" w:rsidR="00B849DF" w:rsidRDefault="00B849DF">
      <w:pPr>
        <w:pStyle w:val="Textbody"/>
      </w:pPr>
    </w:p>
    <w:bookmarkStart w:id="0" w:name="_MON_1450595791"/>
    <w:bookmarkEnd w:id="0"/>
    <w:p w14:paraId="3C4FD86E" w14:textId="21B14CE6" w:rsidR="00B849DF" w:rsidRDefault="00E97848">
      <w:pPr>
        <w:pStyle w:val="Standard"/>
        <w:ind w:left="426"/>
      </w:pPr>
      <w:r w:rsidRPr="00F730ED">
        <w:rPr>
          <w:rFonts w:ascii="Times New Roman" w:hAnsi="Times New Roman" w:cs="Times New Roman"/>
        </w:rPr>
        <w:object w:dxaOrig="8972" w:dyaOrig="2349" w14:anchorId="50A3651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29" DrawAspect="Content" ObjectID="_1706979586" r:id="rId8"/>
        </w:object>
      </w:r>
    </w:p>
    <w:p w14:paraId="5E2EB8D2" w14:textId="77777777" w:rsidR="00B849DF" w:rsidRDefault="00BF7A61">
      <w:pPr>
        <w:pStyle w:val="Standard"/>
      </w:pPr>
      <w:r>
        <w:rPr>
          <w:rFonts w:ascii="Times New Roman" w:hAnsi="Times New Roman" w:cs="Times New Roman"/>
          <w:b/>
          <w:color w:val="4472C4"/>
        </w:rPr>
        <w:t>Čl. V</w:t>
      </w:r>
      <w:r>
        <w:rPr>
          <w:rFonts w:ascii="Times New Roman" w:hAnsi="Times New Roman" w:cs="Times New Roman"/>
          <w:b/>
          <w:color w:val="4472C4"/>
        </w:rPr>
        <w:tab/>
        <w:t>Informácie o iných aktívach a iných pasívach</w:t>
      </w:r>
    </w:p>
    <w:p w14:paraId="4175275B" w14:textId="77777777" w:rsidR="00B849DF" w:rsidRDefault="00B849DF">
      <w:pPr>
        <w:pStyle w:val="Standard"/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4673AA72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  <w:b/>
        </w:rPr>
        <w:t>V. 1 a)</w:t>
      </w:r>
      <w:r>
        <w:rPr>
          <w:rFonts w:ascii="Times New Roman" w:eastAsia="MS Gothic" w:hAnsi="Times New Roman" w:cs="Times New Roman"/>
          <w:b/>
        </w:rPr>
        <w:tab/>
        <w:t>Informácie o podmienenom majetku</w:t>
      </w:r>
    </w:p>
    <w:p w14:paraId="5E5EAFD4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</w:rPr>
        <w:t>Spoločnosť neeviduje podmienený majetok.</w:t>
      </w:r>
    </w:p>
    <w:p w14:paraId="718C3EBD" w14:textId="77777777" w:rsidR="00B849DF" w:rsidRDefault="00B849DF">
      <w:pPr>
        <w:pStyle w:val="Standard"/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</w:rPr>
      </w:pPr>
    </w:p>
    <w:p w14:paraId="2C4FD9FD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  <w:b/>
        </w:rPr>
      </w:pPr>
    </w:p>
    <w:p w14:paraId="0E6A862C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  <w:b/>
        </w:rPr>
        <w:t>V. 1 b)</w:t>
      </w:r>
      <w:r>
        <w:rPr>
          <w:rFonts w:ascii="Times New Roman" w:eastAsia="MS Gothic" w:hAnsi="Times New Roman" w:cs="Times New Roman"/>
          <w:b/>
        </w:rPr>
        <w:tab/>
        <w:t>Informácie o podmienených záväzkoch</w:t>
      </w:r>
    </w:p>
    <w:p w14:paraId="27A9EF7F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3D55A6BD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  <w:b/>
        </w:rPr>
      </w:pPr>
    </w:p>
    <w:p w14:paraId="19EA8511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  <w:b/>
        </w:rPr>
      </w:pPr>
    </w:p>
    <w:p w14:paraId="54FF9FF0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  <w:b/>
        </w:rPr>
        <w:t>V. 3</w:t>
      </w:r>
      <w:r>
        <w:rPr>
          <w:rFonts w:ascii="Times New Roman" w:eastAsia="MS Gothic" w:hAnsi="Times New Roman" w:cs="Times New Roman"/>
          <w:b/>
        </w:rPr>
        <w:tab/>
        <w:t>Informácie o údajoch na podsúvahových účtoch</w:t>
      </w:r>
    </w:p>
    <w:p w14:paraId="6DA78DF4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 xml:space="preserve">                   - žiadne</w:t>
      </w:r>
    </w:p>
    <w:p w14:paraId="4FFDCCB1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/>
        </w:rPr>
      </w:pPr>
    </w:p>
    <w:p w14:paraId="56A2704D" w14:textId="77777777" w:rsidR="00B849DF" w:rsidRDefault="00BF7A61">
      <w:pPr>
        <w:pStyle w:val="Standard"/>
        <w:spacing w:after="0" w:line="276" w:lineRule="auto"/>
        <w:ind w:left="993" w:hanging="993"/>
      </w:pPr>
      <w:r>
        <w:rPr>
          <w:rFonts w:ascii="Times New Roman" w:hAnsi="Times New Roman" w:cs="Times New Roman"/>
          <w:b/>
          <w:color w:val="4472C4"/>
        </w:rPr>
        <w:t>Čl. VI</w:t>
      </w:r>
      <w:r>
        <w:rPr>
          <w:rFonts w:ascii="Times New Roman" w:hAnsi="Times New Roman" w:cs="Times New Roman"/>
          <w:b/>
          <w:color w:val="4472C4"/>
        </w:rPr>
        <w:tab/>
        <w:t> Udalosti, ktoré nastali po dni, ku ktorému sa zostavuje účtovná závierka</w:t>
      </w:r>
    </w:p>
    <w:p w14:paraId="30BB172F" w14:textId="77777777" w:rsidR="00B849DF" w:rsidRDefault="00BF7A61">
      <w:pPr>
        <w:pStyle w:val="Standard"/>
        <w:spacing w:after="0" w:line="276" w:lineRule="auto"/>
        <w:ind w:left="1134" w:hanging="1134"/>
        <w:jc w:val="both"/>
      </w:pPr>
      <w:r>
        <w:rPr>
          <w:rFonts w:ascii="Times New Roman" w:eastAsia="MS Gothic" w:hAnsi="Times New Roman" w:cs="Times New Roman"/>
          <w:b/>
        </w:rPr>
        <w:t>VI. a) – j)   Udalosti, ktoré nastali po dni, ku ktorému sa zostavuje účtovná závierka</w:t>
      </w:r>
    </w:p>
    <w:p w14:paraId="14753E6B" w14:textId="77777777" w:rsidR="00B849DF" w:rsidRDefault="00B849DF">
      <w:pPr>
        <w:pStyle w:val="Standard"/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70E84843" w14:textId="053B2F13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6069FE">
        <w:rPr>
          <w:rFonts w:ascii="Times New Roman" w:eastAsia="MS Gothic" w:hAnsi="Times New Roman" w:cs="Times New Roman"/>
        </w:rPr>
        <w:t>2</w:t>
      </w:r>
      <w:r w:rsidR="00E97848">
        <w:rPr>
          <w:rFonts w:ascii="Times New Roman" w:eastAsia="MS Gothic" w:hAnsi="Times New Roman" w:cs="Times New Roman"/>
        </w:rPr>
        <w:t>1</w:t>
      </w:r>
      <w:r>
        <w:rPr>
          <w:rFonts w:ascii="Times New Roman" w:eastAsia="MS Gothic" w:hAnsi="Times New Roman" w:cs="Times New Roman"/>
        </w:rPr>
        <w:t xml:space="preserve"> do 31. decembra 20</w:t>
      </w:r>
      <w:r w:rsidR="006069FE">
        <w:rPr>
          <w:rFonts w:ascii="Times New Roman" w:eastAsia="MS Gothic" w:hAnsi="Times New Roman" w:cs="Times New Roman"/>
        </w:rPr>
        <w:t>2</w:t>
      </w:r>
      <w:r w:rsidR="00E97848">
        <w:rPr>
          <w:rFonts w:ascii="Times New Roman" w:eastAsia="MS Gothic" w:hAnsi="Times New Roman" w:cs="Times New Roman"/>
        </w:rPr>
        <w:t>1</w:t>
      </w:r>
      <w:r>
        <w:rPr>
          <w:rFonts w:ascii="Times New Roman" w:eastAsia="MS Gothic" w:hAnsi="Times New Roman" w:cs="Times New Roman"/>
        </w:rPr>
        <w:t>.</w:t>
      </w:r>
    </w:p>
    <w:p w14:paraId="1A2937CA" w14:textId="77777777" w:rsidR="00B849DF" w:rsidRDefault="00B849DF">
      <w:pPr>
        <w:pStyle w:val="Standard"/>
      </w:pPr>
    </w:p>
    <w:sectPr w:rsidR="00B849DF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99CB3B" w14:textId="77777777" w:rsidR="00DB22BB" w:rsidRDefault="00DB22BB">
      <w:r>
        <w:separator/>
      </w:r>
    </w:p>
  </w:endnote>
  <w:endnote w:type="continuationSeparator" w:id="0">
    <w:p w14:paraId="6216F9FC" w14:textId="77777777" w:rsidR="00DB22BB" w:rsidRDefault="00DB22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">
    <w:altName w:val="Calibri"/>
    <w:charset w:val="00"/>
    <w:family w:val="auto"/>
    <w:pitch w:val="variable"/>
  </w:font>
  <w:font w:name="Liberation Sans"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1D4705" w14:textId="77777777" w:rsidR="00931C2C" w:rsidRDefault="00BF7A61">
    <w:pPr>
      <w:pStyle w:val="Pta"/>
      <w:jc w:val="center"/>
    </w:pPr>
    <w:r>
      <w:rPr>
        <w:rFonts w:ascii="Times New Roman" w:hAnsi="Times New Roman" w:cs="Times New Roman"/>
        <w:color w:val="808080"/>
        <w:sz w:val="16"/>
        <w:szCs w:val="16"/>
      </w:rPr>
      <w:t xml:space="preserve">Strana </w:t>
    </w:r>
    <w:r>
      <w:rPr>
        <w:rFonts w:ascii="Times New Roman" w:hAnsi="Times New Roman" w:cs="Times New Roman"/>
        <w:b/>
        <w:bCs/>
        <w:color w:val="808080"/>
        <w:sz w:val="16"/>
        <w:szCs w:val="16"/>
      </w:rPr>
      <w:fldChar w:fldCharType="begin"/>
    </w:r>
    <w:r>
      <w:rPr>
        <w:rFonts w:ascii="Times New Roman" w:hAnsi="Times New Roman" w:cs="Times New Roman"/>
        <w:b/>
        <w:bCs/>
        <w:color w:val="808080"/>
        <w:sz w:val="16"/>
        <w:szCs w:val="16"/>
      </w:rPr>
      <w:instrText xml:space="preserve"> PAGE \* ARABIC </w:instrText>
    </w:r>
    <w:r>
      <w:rPr>
        <w:rFonts w:ascii="Times New Roman" w:hAnsi="Times New Roman" w:cs="Times New Roman"/>
        <w:b/>
        <w:bCs/>
        <w:color w:val="8080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color w:val="808080"/>
        <w:sz w:val="16"/>
        <w:szCs w:val="16"/>
      </w:rPr>
      <w:t>4</w:t>
    </w:r>
    <w:r>
      <w:rPr>
        <w:rFonts w:ascii="Times New Roman" w:hAnsi="Times New Roman" w:cs="Times New Roman"/>
        <w:b/>
        <w:bCs/>
        <w:color w:val="808080"/>
        <w:sz w:val="16"/>
        <w:szCs w:val="16"/>
      </w:rPr>
      <w:fldChar w:fldCharType="end"/>
    </w:r>
    <w:r>
      <w:rPr>
        <w:rFonts w:ascii="Times New Roman" w:hAnsi="Times New Roman" w:cs="Times New Roman"/>
        <w:color w:val="808080"/>
        <w:sz w:val="16"/>
        <w:szCs w:val="16"/>
      </w:rPr>
      <w:t xml:space="preserve"> z </w:t>
    </w:r>
    <w:r>
      <w:rPr>
        <w:rFonts w:ascii="Times New Roman" w:hAnsi="Times New Roman" w:cs="Times New Roman"/>
        <w:b/>
        <w:bCs/>
        <w:color w:val="808080"/>
        <w:sz w:val="16"/>
        <w:szCs w:val="16"/>
      </w:rPr>
      <w:fldChar w:fldCharType="begin"/>
    </w:r>
    <w:r>
      <w:rPr>
        <w:rFonts w:ascii="Times New Roman" w:hAnsi="Times New Roman" w:cs="Times New Roman"/>
        <w:b/>
        <w:bCs/>
        <w:color w:val="808080"/>
        <w:sz w:val="16"/>
        <w:szCs w:val="16"/>
      </w:rPr>
      <w:instrText xml:space="preserve"> NUMPAGES \* ARABIC </w:instrText>
    </w:r>
    <w:r>
      <w:rPr>
        <w:rFonts w:ascii="Times New Roman" w:hAnsi="Times New Roman" w:cs="Times New Roman"/>
        <w:b/>
        <w:bCs/>
        <w:color w:val="8080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color w:val="808080"/>
        <w:sz w:val="16"/>
        <w:szCs w:val="16"/>
      </w:rPr>
      <w:t>5</w:t>
    </w:r>
    <w:r>
      <w:rPr>
        <w:rFonts w:ascii="Times New Roman" w:hAnsi="Times New Roman" w:cs="Times New Roman"/>
        <w:b/>
        <w:bCs/>
        <w:color w:val="8080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5EAB1D" w14:textId="77777777" w:rsidR="00DB22BB" w:rsidRDefault="00DB22BB">
      <w:r>
        <w:rPr>
          <w:color w:val="000000"/>
        </w:rPr>
        <w:separator/>
      </w:r>
    </w:p>
  </w:footnote>
  <w:footnote w:type="continuationSeparator" w:id="0">
    <w:p w14:paraId="7082B949" w14:textId="77777777" w:rsidR="00DB22BB" w:rsidRDefault="00DB22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971" w:type="dxa"/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2796"/>
      <w:gridCol w:w="735"/>
      <w:gridCol w:w="307"/>
      <w:gridCol w:w="307"/>
      <w:gridCol w:w="308"/>
      <w:gridCol w:w="307"/>
      <w:gridCol w:w="307"/>
      <w:gridCol w:w="307"/>
      <w:gridCol w:w="307"/>
      <w:gridCol w:w="307"/>
      <w:gridCol w:w="897"/>
      <w:gridCol w:w="308"/>
      <w:gridCol w:w="307"/>
      <w:gridCol w:w="307"/>
      <w:gridCol w:w="307"/>
      <w:gridCol w:w="307"/>
      <w:gridCol w:w="307"/>
      <w:gridCol w:w="307"/>
      <w:gridCol w:w="307"/>
      <w:gridCol w:w="307"/>
      <w:gridCol w:w="322"/>
    </w:tblGrid>
    <w:tr w:rsidR="00931C2C" w14:paraId="0130D004" w14:textId="77777777">
      <w:trPr>
        <w:trHeight w:val="141"/>
      </w:trPr>
      <w:tc>
        <w:tcPr>
          <w:tcW w:w="2794" w:type="dxa"/>
          <w:tcMar>
            <w:top w:w="0" w:type="dxa"/>
            <w:left w:w="108" w:type="dxa"/>
            <w:bottom w:w="0" w:type="dxa"/>
            <w:right w:w="108" w:type="dxa"/>
          </w:tcMar>
        </w:tcPr>
        <w:p w14:paraId="668D08C7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4998"/>
            </w:tabs>
            <w:ind w:left="-108" w:right="-121"/>
          </w:pPr>
          <w:r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34" w:type="dxa"/>
          <w:tcBorders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4B96A61D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D6F8EFC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BCD3B53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0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3B69E101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7E9B4F5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0BD013CB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4893FEBB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70A0174F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48AB2790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97" w:type="dxa"/>
          <w:tcBorders>
            <w:left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9198E82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30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147D1135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1D09DB06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1E243492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E019223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4D504565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1B831720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0F1ADB87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146486AA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F8ED935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562FC1F6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  <w:tr w:rsidR="00931C2C" w14:paraId="2751F65F" w14:textId="77777777">
      <w:trPr>
        <w:trHeight w:val="141"/>
      </w:trPr>
      <w:tc>
        <w:tcPr>
          <w:tcW w:w="2794" w:type="dxa"/>
          <w:tcMar>
            <w:top w:w="0" w:type="dxa"/>
            <w:left w:w="108" w:type="dxa"/>
            <w:bottom w:w="0" w:type="dxa"/>
            <w:right w:w="108" w:type="dxa"/>
          </w:tcMar>
        </w:tcPr>
        <w:p w14:paraId="48A8CE2B" w14:textId="77777777" w:rsidR="00931C2C" w:rsidRDefault="00DB22BB">
          <w:pPr>
            <w:pStyle w:val="Hlavika"/>
            <w:tabs>
              <w:tab w:val="clear" w:pos="4536"/>
              <w:tab w:val="clear" w:pos="9072"/>
              <w:tab w:val="left" w:pos="4998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734" w:type="dxa"/>
          <w:tcBorders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0EFA219D" w14:textId="77777777" w:rsidR="00931C2C" w:rsidRDefault="00DB22B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2CE848BF" w14:textId="77777777" w:rsidR="00931C2C" w:rsidRDefault="00DB22B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63B9084" w14:textId="77777777" w:rsidR="00931C2C" w:rsidRDefault="00DB22B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1623FC96" w14:textId="77777777" w:rsidR="00931C2C" w:rsidRDefault="00DB22B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7D9DB7CB" w14:textId="77777777" w:rsidR="00931C2C" w:rsidRDefault="00DB22B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26A0D485" w14:textId="77777777" w:rsidR="00931C2C" w:rsidRDefault="00DB22B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0305A9D8" w14:textId="77777777" w:rsidR="00931C2C" w:rsidRDefault="00DB22B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0B516770" w14:textId="77777777" w:rsidR="00931C2C" w:rsidRDefault="00DB22B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4CF9EE5C" w14:textId="77777777" w:rsidR="00931C2C" w:rsidRDefault="00DB22B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897" w:type="dxa"/>
          <w:tcBorders>
            <w:left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2B3A1282" w14:textId="77777777" w:rsidR="00931C2C" w:rsidRDefault="00DB22B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DE4E0A3" w14:textId="77777777" w:rsidR="00931C2C" w:rsidRDefault="00DB22B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008ABE23" w14:textId="77777777" w:rsidR="00931C2C" w:rsidRDefault="00DB22B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5ACEE00" w14:textId="77777777" w:rsidR="00931C2C" w:rsidRDefault="00DB22B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36335310" w14:textId="77777777" w:rsidR="00931C2C" w:rsidRDefault="00DB22B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A0662AE" w14:textId="77777777" w:rsidR="00931C2C" w:rsidRDefault="00DB22B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12048D32" w14:textId="77777777" w:rsidR="00931C2C" w:rsidRDefault="00DB22B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53A984CA" w14:textId="77777777" w:rsidR="00931C2C" w:rsidRDefault="00DB22B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29581A1E" w14:textId="77777777" w:rsidR="00931C2C" w:rsidRDefault="00DB22B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33EEB77B" w14:textId="77777777" w:rsidR="00931C2C" w:rsidRDefault="00DB22B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801C791" w14:textId="77777777" w:rsidR="00931C2C" w:rsidRDefault="00DB22B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</w:tr>
  </w:tbl>
  <w:p w14:paraId="0E65552F" w14:textId="77777777" w:rsidR="00931C2C" w:rsidRDefault="00DB22BB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36379E"/>
    <w:multiLevelType w:val="multilevel"/>
    <w:tmpl w:val="C2024DE6"/>
    <w:styleLink w:val="WWNum1"/>
    <w:lvl w:ilvl="0">
      <w:numFmt w:val="bullet"/>
      <w:lvlText w:val="-"/>
      <w:lvlJc w:val="left"/>
      <w:pPr>
        <w:ind w:left="1068" w:hanging="360"/>
      </w:pPr>
      <w:rPr>
        <w:rFonts w:ascii="Times New Roman" w:eastAsia="Calibri" w:hAnsi="Times New Roman" w:cs="Times New Roman"/>
        <w:b/>
      </w:rPr>
    </w:lvl>
    <w:lvl w:ilvl="1">
      <w:numFmt w:val="bullet"/>
      <w:lvlText w:val="o"/>
      <w:lvlJc w:val="left"/>
      <w:pPr>
        <w:ind w:left="1788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08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28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48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68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88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08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828" w:hanging="360"/>
      </w:pPr>
      <w:rPr>
        <w:rFonts w:ascii="Wingdings" w:hAnsi="Wingdings"/>
      </w:rPr>
    </w:lvl>
  </w:abstractNum>
  <w:abstractNum w:abstractNumId="1" w15:restartNumberingAfterBreak="0">
    <w:nsid w:val="39AE08D4"/>
    <w:multiLevelType w:val="multilevel"/>
    <w:tmpl w:val="DAD22642"/>
    <w:styleLink w:val="Bezzoznamu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num w:numId="1">
    <w:abstractNumId w:val="1"/>
  </w:num>
  <w:num w:numId="2">
    <w:abstractNumId w:val="0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49DF"/>
    <w:rsid w:val="006069FE"/>
    <w:rsid w:val="009525D7"/>
    <w:rsid w:val="009A2883"/>
    <w:rsid w:val="00B849DF"/>
    <w:rsid w:val="00BF7A61"/>
    <w:rsid w:val="00DB22BB"/>
    <w:rsid w:val="00E97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4E44C8"/>
  <w15:docId w15:val="{E94A7F52-176A-4107-91A9-DB9E7D5418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F"/>
        <w:sz w:val="22"/>
        <w:szCs w:val="22"/>
        <w:lang w:val="sk-SK" w:eastAsia="en-US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widowControl/>
      <w:spacing w:after="160" w:line="259" w:lineRule="auto"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xtbody">
    <w:name w:val="Text body"/>
    <w:basedOn w:val="Standar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paragraph" w:styleId="Zoznam">
    <w:name w:val="List"/>
    <w:basedOn w:val="Textbody"/>
    <w:rPr>
      <w:rFonts w:cs="Arial"/>
      <w:sz w:val="24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Arial"/>
      <w:sz w:val="24"/>
    </w:rPr>
  </w:style>
  <w:style w:type="paragraph" w:styleId="Odsekzoznamu">
    <w:name w:val="List Paragraph"/>
    <w:basedOn w:val="Standard"/>
    <w:pPr>
      <w:ind w:left="720"/>
    </w:pPr>
  </w:style>
  <w:style w:type="paragraph" w:styleId="Hlavika">
    <w:name w:val="header"/>
    <w:basedOn w:val="Standard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Standar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Tabulka">
    <w:name w:val="Tabulka"/>
    <w:basedOn w:val="Standard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Textbubliny">
    <w:name w:val="Balloon Text"/>
    <w:basedOn w:val="Standard"/>
    <w:pPr>
      <w:spacing w:after="0" w:line="240" w:lineRule="auto"/>
    </w:pPr>
    <w:rPr>
      <w:rFonts w:ascii="Segoe UI" w:eastAsia="Segoe UI" w:hAnsi="Segoe UI" w:cs="Segoe UI"/>
      <w:sz w:val="18"/>
      <w:szCs w:val="18"/>
    </w:rPr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character" w:customStyle="1" w:styleId="ZkladntextChar">
    <w:name w:val="Základný text Char"/>
    <w:basedOn w:val="Predvolenpsmoodseku"/>
    <w:rPr>
      <w:rFonts w:ascii="Times New Roman" w:eastAsia="Times New Roman" w:hAnsi="Times New Roman" w:cs="Times New Roman"/>
      <w:sz w:val="18"/>
      <w:szCs w:val="20"/>
    </w:rPr>
  </w:style>
  <w:style w:type="character" w:customStyle="1" w:styleId="TextbublinyChar">
    <w:name w:val="Text bubliny Char"/>
    <w:basedOn w:val="Predvolenpsmoodseku"/>
    <w:rPr>
      <w:rFonts w:ascii="Segoe UI" w:eastAsia="Segoe UI" w:hAnsi="Segoe UI" w:cs="Segoe UI"/>
      <w:sz w:val="18"/>
      <w:szCs w:val="18"/>
    </w:rPr>
  </w:style>
  <w:style w:type="character" w:customStyle="1" w:styleId="ListLabel1">
    <w:name w:val="ListLabel 1"/>
    <w:rPr>
      <w:rFonts w:ascii="Times New Roman" w:eastAsia="Calibri" w:hAnsi="Times New Roman" w:cs="Times New Roman"/>
      <w:b/>
    </w:rPr>
  </w:style>
  <w:style w:type="character" w:customStyle="1" w:styleId="ListLabel2">
    <w:name w:val="ListLabel 2"/>
    <w:rPr>
      <w:rFonts w:cs="Courier New"/>
    </w:rPr>
  </w:style>
  <w:style w:type="character" w:customStyle="1" w:styleId="ListLabel3">
    <w:name w:val="ListLabel 3"/>
    <w:rPr>
      <w:rFonts w:cs="Courier New"/>
    </w:rPr>
  </w:style>
  <w:style w:type="character" w:customStyle="1" w:styleId="ListLabel4">
    <w:name w:val="ListLabel 4"/>
    <w:rPr>
      <w:rFonts w:cs="Courier New"/>
    </w:rPr>
  </w:style>
  <w:style w:type="numbering" w:customStyle="1" w:styleId="Bezzoznamu1">
    <w:name w:val="Bez zoznamu1"/>
    <w:basedOn w:val="Bezzoznamu"/>
    <w:pPr>
      <w:numPr>
        <w:numId w:val="1"/>
      </w:numPr>
    </w:pPr>
  </w:style>
  <w:style w:type="numbering" w:customStyle="1" w:styleId="WWNum1">
    <w:name w:val="WWNum1"/>
    <w:basedOn w:val="Bezzoznamu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1459</Words>
  <Characters>8318</Characters>
  <Application>Microsoft Office Word</Application>
  <DocSecurity>0</DocSecurity>
  <Lines>69</Lines>
  <Paragraphs>19</Paragraphs>
  <ScaleCrop>false</ScaleCrop>
  <Company/>
  <LinksUpToDate>false</LinksUpToDate>
  <CharactersWithSpaces>9758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Milena Miklošíková</dc:creator>
  <cp:lastModifiedBy>Milena Miklošíková</cp:lastModifiedBy>
  <cp:revision>4</cp:revision>
  <cp:lastPrinted>2020-03-30T11:18:00Z</cp:lastPrinted>
  <dcterms:created xsi:type="dcterms:W3CDTF">2020-03-30T11:18:00Z</dcterms:created>
  <dcterms:modified xsi:type="dcterms:W3CDTF">2022-02-21T19:13:00Z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