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70DB9" w:rsidRDefault="00770DB9" w:rsidP="006D4CA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6D4CA9">
              <w:rPr>
                <w:rFonts w:cs="Arial"/>
                <w:sz w:val="20"/>
                <w:szCs w:val="22"/>
                <w:lang w:eastAsia="sk-SK"/>
              </w:rPr>
              <w:t>EQUES, s.r.o.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70DB9" w:rsidRDefault="006D4CA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2"/>
                <w:lang w:eastAsia="sk-SK"/>
              </w:rPr>
              <w:t>Komjatická</w:t>
            </w:r>
            <w:proofErr w:type="spellEnd"/>
            <w:r>
              <w:rPr>
                <w:rFonts w:cs="Arial"/>
                <w:sz w:val="20"/>
                <w:szCs w:val="22"/>
                <w:lang w:eastAsia="sk-SK"/>
              </w:rPr>
              <w:t xml:space="preserve"> 17, Nové Zámky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</w:p>
    <w:p w:rsidR="00770DB9" w:rsidRPr="00AF1B96" w:rsidRDefault="007D26E4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30.3. 2021</w:t>
      </w: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6D4CA9">
        <w:rPr>
          <w:rFonts w:cs="Arial"/>
          <w:color w:val="C00000"/>
          <w:sz w:val="20"/>
          <w:szCs w:val="24"/>
          <w:lang w:eastAsia="sk-SK"/>
        </w:rPr>
        <w:t>, účtovná závierka k 31. 12. Je zostavená ako riadna účtovná závierka podľa § 47 ods. 6 zákona NR SR č. 431/2002 Z. z. o účtovníctve za účtovné obdobie od januára do decembra 202</w:t>
      </w:r>
      <w:r w:rsidR="007D26E4">
        <w:rPr>
          <w:rFonts w:cs="Arial"/>
          <w:color w:val="C00000"/>
          <w:sz w:val="20"/>
          <w:szCs w:val="24"/>
          <w:lang w:eastAsia="sk-SK"/>
        </w:rPr>
        <w:t>1</w:t>
      </w:r>
      <w:bookmarkStart w:id="0" w:name="_GoBack"/>
      <w:bookmarkEnd w:id="0"/>
      <w:r w:rsidR="006D4CA9">
        <w:rPr>
          <w:rFonts w:cs="Arial"/>
          <w:color w:val="C00000"/>
          <w:sz w:val="20"/>
          <w:szCs w:val="24"/>
          <w:lang w:eastAsia="sk-SK"/>
        </w:rPr>
        <w:t xml:space="preserve"> k poslednému dňu kalendárneho roka </w:t>
      </w:r>
      <w:r w:rsidR="007D26E4">
        <w:rPr>
          <w:rFonts w:cs="Arial"/>
          <w:color w:val="C00000"/>
          <w:sz w:val="20"/>
          <w:szCs w:val="24"/>
          <w:lang w:eastAsia="sk-SK"/>
        </w:rPr>
        <w:t>2021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770DB9" w:rsidRPr="00AF1B96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:rsidR="00770DB9" w:rsidRPr="00AF1B96" w:rsidRDefault="006D4CA9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70DB9" w:rsidRPr="00AF1B96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:rsidR="00770DB9" w:rsidRPr="00AF1B96" w:rsidRDefault="006D4CA9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22 %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ne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</w:t>
      </w:r>
      <w:proofErr w:type="spellStart"/>
      <w:r w:rsidRPr="00770DB9">
        <w:rPr>
          <w:rFonts w:cs="Arial"/>
          <w:sz w:val="20"/>
          <w:szCs w:val="24"/>
          <w:lang w:eastAsia="sk-SK"/>
        </w:rPr>
        <w:t>majetku,doba</w:t>
      </w:r>
      <w:proofErr w:type="spellEnd"/>
      <w:r w:rsidRPr="00770DB9">
        <w:rPr>
          <w:rFonts w:cs="Arial"/>
          <w:sz w:val="20"/>
          <w:szCs w:val="24"/>
          <w:lang w:eastAsia="sk-SK"/>
        </w:rPr>
        <w:t xml:space="preserve"> odpisovania, použité sadzby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7"/>
        <w:gridCol w:w="1057"/>
        <w:gridCol w:w="1300"/>
        <w:gridCol w:w="1163"/>
        <w:gridCol w:w="1119"/>
        <w:gridCol w:w="1526"/>
      </w:tblGrid>
      <w:tr w:rsidR="00770DB9" w:rsidRPr="00770DB9" w:rsidTr="00E20789">
        <w:tc>
          <w:tcPr>
            <w:tcW w:w="3111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:rsidTr="00E20789">
        <w:tc>
          <w:tcPr>
            <w:tcW w:w="2977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AF1B96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  <w:u w:val="single"/>
        </w:rPr>
      </w:pPr>
      <w:r w:rsidRPr="00436ADE">
        <w:rPr>
          <w:color w:val="C00000"/>
          <w:szCs w:val="22"/>
        </w:rPr>
        <w:t>Určenie ocenenia finančných nástrojov alebo majetku, ktorý nie je finančným nástrojom pri oceňovaní reálnou hodnot</w:t>
      </w:r>
      <w:r w:rsidR="00C106D9" w:rsidRPr="00436ADE">
        <w:rPr>
          <w:color w:val="C00000"/>
          <w:szCs w:val="22"/>
        </w:rPr>
        <w:t>ou</w:t>
      </w:r>
    </w:p>
    <w:p w:rsidR="00AF1B96" w:rsidRPr="00436ADE" w:rsidRDefault="00AF1B96" w:rsidP="00AF1B9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AF1B96" w:rsidRPr="00436ADE" w:rsidRDefault="00AF1B96" w:rsidP="00AF1B96">
      <w:pPr>
        <w:pStyle w:val="Odsekzoznamu"/>
        <w:numPr>
          <w:ilvl w:val="0"/>
          <w:numId w:val="9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C106D9" w:rsidRPr="00436ADE" w:rsidRDefault="00AF1B96" w:rsidP="00C106D9">
      <w:pPr>
        <w:pStyle w:val="Odsekzoznamu"/>
        <w:numPr>
          <w:ilvl w:val="0"/>
          <w:numId w:val="9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každý druh derivátových finančných nástrojov informácie o rozsahu a podstate týchto nástrojov vrátane hlavných podmienok a okolností, ktoré môžu ovplyvniť sumu, časový priebeh a mieru i</w:t>
      </w:r>
      <w:r w:rsidR="00C106D9" w:rsidRPr="00436ADE">
        <w:rPr>
          <w:color w:val="C00000"/>
          <w:szCs w:val="22"/>
        </w:rPr>
        <w:t>stoty budúcich peňažných tokov</w:t>
      </w: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AF1B96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Určenie ocenenia finančných nástrojov alebo majetku, ktorý nie je finančným nástrojom pri oceňovaní obstarávacou cenou alebo vlastnými nákladmi, a to</w:t>
      </w:r>
      <w:r w:rsidRPr="00436ADE">
        <w:rPr>
          <w:b/>
          <w:color w:val="C00000"/>
          <w:szCs w:val="22"/>
        </w:rPr>
        <w:t>:</w:t>
      </w:r>
    </w:p>
    <w:p w:rsidR="00AF1B96" w:rsidRPr="00436ADE" w:rsidRDefault="00AF1B96" w:rsidP="00AF1B9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AF1B96" w:rsidRPr="00436ADE" w:rsidRDefault="00AF1B96" w:rsidP="00AF1B9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lastRenderedPageBreak/>
        <w:t xml:space="preserve">pri dlhodobom finančnom majetku, ktorý sa vykazuje vo vyššej hodnote ako je jeho reálna hodnota, sa uvádza </w:t>
      </w:r>
    </w:p>
    <w:p w:rsidR="00AF1B96" w:rsidRPr="00436ADE" w:rsidRDefault="00AF1B96" w:rsidP="00AF1B9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účtovná hodnota a reálna hodnota za jednotlivé položky majetku alebo skupiny týchto jednotlivých položiek majetku,</w:t>
      </w:r>
    </w:p>
    <w:p w:rsidR="00AF1B96" w:rsidRPr="00436ADE" w:rsidRDefault="00AF1B96" w:rsidP="00AF1B9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dôvod pre nezníženie účtovnej hodnoty vrátane povahy dôkazov pre predpoklad, že sa účtovná hodnota opätovne dosiahne,</w:t>
      </w:r>
    </w:p>
    <w:p w:rsidR="00770DB9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  <w:u w:val="single"/>
        </w:rPr>
      </w:pPr>
      <w:r w:rsidRPr="00436ADE">
        <w:rPr>
          <w:color w:val="C00000"/>
          <w:szCs w:val="22"/>
        </w:rPr>
        <w:t>Stanovenie metódy vlastného imania</w:t>
      </w:r>
    </w:p>
    <w:p w:rsidR="00C106D9" w:rsidRPr="00436ADE" w:rsidRDefault="00C106D9" w:rsidP="00C106D9">
      <w:pPr>
        <w:tabs>
          <w:tab w:val="left" w:pos="851"/>
        </w:tabs>
        <w:spacing w:after="0" w:line="240" w:lineRule="auto"/>
        <w:jc w:val="both"/>
        <w:rPr>
          <w:color w:val="C00000"/>
          <w:szCs w:val="22"/>
        </w:rPr>
      </w:pPr>
    </w:p>
    <w:p w:rsid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</w:rPr>
      </w:pPr>
    </w:p>
    <w:p w:rsidR="00C106D9" w:rsidRP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  <w:u w:val="single"/>
        </w:rPr>
      </w:pPr>
    </w:p>
    <w:p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:rsidR="001971D3" w:rsidRPr="00436ADE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  <w:r w:rsidRPr="00436ADE">
        <w:rPr>
          <w:rFonts w:cs="Arial"/>
          <w:color w:val="C00000"/>
          <w:sz w:val="20"/>
          <w:szCs w:val="24"/>
          <w:lang w:eastAsia="sk-SK"/>
        </w:rPr>
        <w:t xml:space="preserve">Dôvod vzniku </w:t>
      </w:r>
      <w:proofErr w:type="spellStart"/>
      <w:r w:rsidRPr="00436ADE">
        <w:rPr>
          <w:rFonts w:cs="Arial"/>
          <w:color w:val="C00000"/>
          <w:sz w:val="20"/>
          <w:szCs w:val="24"/>
          <w:lang w:eastAsia="sk-SK"/>
        </w:rPr>
        <w:t>goodwillu</w:t>
      </w:r>
      <w:proofErr w:type="spellEnd"/>
      <w:r w:rsidRPr="00436ADE">
        <w:rPr>
          <w:rFonts w:cs="Arial"/>
          <w:color w:val="C00000"/>
          <w:sz w:val="20"/>
          <w:szCs w:val="24"/>
          <w:lang w:eastAsia="sk-SK"/>
        </w:rPr>
        <w:t xml:space="preserve"> alebo záporného </w:t>
      </w:r>
      <w:proofErr w:type="spellStart"/>
      <w:r w:rsidRPr="00436ADE">
        <w:rPr>
          <w:rFonts w:cs="Arial"/>
          <w:color w:val="C00000"/>
          <w:sz w:val="20"/>
          <w:szCs w:val="24"/>
          <w:lang w:eastAsia="sk-SK"/>
        </w:rPr>
        <w:t>goodwillu</w:t>
      </w:r>
      <w:proofErr w:type="spellEnd"/>
      <w:r w:rsidRPr="00436ADE">
        <w:rPr>
          <w:rFonts w:cs="Arial"/>
          <w:color w:val="C00000"/>
          <w:sz w:val="20"/>
          <w:szCs w:val="24"/>
          <w:lang w:eastAsia="sk-SK"/>
        </w:rPr>
        <w:t>, spôsob výpočtu, prehodnotenie opodstatnenosti jeho výšky a odpisu jeho hodnoty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4"/>
        <w:gridCol w:w="1434"/>
      </w:tblGrid>
      <w:tr w:rsidR="00770DB9" w:rsidRPr="00770DB9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770DB9" w:rsidRPr="00AF1B96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:rsidR="00770DB9" w:rsidRPr="00770DB9" w:rsidRDefault="00770DB9" w:rsidP="00770DB9">
      <w:pPr>
        <w:numPr>
          <w:ilvl w:val="0"/>
          <w:numId w:val="21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0"/>
          <w:lang w:eastAsia="sk-SK"/>
        </w:rPr>
      </w:pPr>
      <w:r w:rsidRPr="00AF1B96">
        <w:rPr>
          <w:rFonts w:cs="Arial"/>
          <w:sz w:val="20"/>
          <w:szCs w:val="20"/>
          <w:lang w:eastAsia="sk-SK"/>
        </w:rPr>
        <w:t>C</w:t>
      </w:r>
      <w:r w:rsidR="00770DB9" w:rsidRPr="00770DB9">
        <w:rPr>
          <w:rFonts w:cs="Arial"/>
          <w:sz w:val="20"/>
          <w:szCs w:val="20"/>
          <w:lang w:eastAsia="sk-SK"/>
        </w:rPr>
        <w:t>elková suma významných podmienených záväzkov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0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b/>
          <w:sz w:val="20"/>
          <w:szCs w:val="24"/>
          <w:lang w:eastAsia="sk-SK"/>
        </w:rPr>
      </w:pPr>
    </w:p>
    <w:p w:rsidR="001971D3" w:rsidRPr="00AF1B96" w:rsidRDefault="001971D3" w:rsidP="001971D3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bookmarkStart w:id="1" w:name="OLE_LINK1"/>
      <w:r w:rsidRPr="00AF1B96">
        <w:rPr>
          <w:rFonts w:cs="Arial"/>
          <w:sz w:val="20"/>
          <w:szCs w:val="24"/>
          <w:lang w:eastAsia="sk-SK"/>
        </w:rPr>
        <w:t>Celková suma podmieneného majetku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 w:rsidR="001971D3" w:rsidRPr="00AF1B96" w:rsidRDefault="001971D3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formách prijatej náhrady,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účtovných zásadách použitých pri prideľovaní nákladov a výnosov,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druhoch činností účtovnej jednotky.</w:t>
      </w:r>
    </w:p>
    <w:p w:rsidR="00AF1B96" w:rsidRPr="00436ADE" w:rsidRDefault="00AF1B96" w:rsidP="00770DB9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:rsidR="00486DF8" w:rsidRPr="00AF1B96" w:rsidRDefault="00486DF8" w:rsidP="004268D2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ÚJ-účtovná</w:t>
      </w:r>
      <w:proofErr w:type="spellEnd"/>
      <w:r w:rsidRPr="00AF1B96">
        <w:rPr>
          <w:szCs w:val="22"/>
        </w:rPr>
        <w:t xml:space="preserve"> jednotka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BO-bežné</w:t>
      </w:r>
      <w:proofErr w:type="spellEnd"/>
      <w:r w:rsidRPr="00AF1B96">
        <w:rPr>
          <w:szCs w:val="22"/>
        </w:rPr>
        <w:t xml:space="preserve">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PO-bezprostredne</w:t>
      </w:r>
      <w:proofErr w:type="spellEnd"/>
      <w:r w:rsidRPr="00AF1B96">
        <w:rPr>
          <w:szCs w:val="22"/>
        </w:rPr>
        <w:t xml:space="preserve"> predchádzajúce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X-položka</w:t>
      </w:r>
      <w:proofErr w:type="spellEnd"/>
      <w:r w:rsidRPr="00AF1B96">
        <w:rPr>
          <w:szCs w:val="22"/>
        </w:rPr>
        <w:t xml:space="preserve"> sa vzťahuje na účtovnú jednotku</w:t>
      </w:r>
    </w:p>
    <w:sectPr w:rsidR="00EB467F" w:rsidRPr="00AF1B96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470" w:rsidRDefault="00B20470" w:rsidP="00107589">
      <w:pPr>
        <w:spacing w:after="0" w:line="240" w:lineRule="auto"/>
      </w:pPr>
      <w:r>
        <w:separator/>
      </w:r>
    </w:p>
  </w:endnote>
  <w:endnote w:type="continuationSeparator" w:id="0">
    <w:p w:rsidR="00B20470" w:rsidRDefault="00B2047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D26E4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470" w:rsidRDefault="00B20470" w:rsidP="00107589">
      <w:pPr>
        <w:spacing w:after="0" w:line="240" w:lineRule="auto"/>
      </w:pPr>
      <w:r>
        <w:separator/>
      </w:r>
    </w:p>
  </w:footnote>
  <w:footnote w:type="continuationSeparator" w:id="0">
    <w:p w:rsidR="00B20470" w:rsidRDefault="00B2047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6D4CA9">
            <w:t>46734368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6D4CA9">
            <w:t>2023553026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13"/>
  </w:num>
  <w:num w:numId="4">
    <w:abstractNumId w:val="11"/>
  </w:num>
  <w:num w:numId="5">
    <w:abstractNumId w:val="29"/>
  </w:num>
  <w:num w:numId="6">
    <w:abstractNumId w:val="7"/>
  </w:num>
  <w:num w:numId="7">
    <w:abstractNumId w:val="1"/>
  </w:num>
  <w:num w:numId="8">
    <w:abstractNumId w:val="30"/>
  </w:num>
  <w:num w:numId="9">
    <w:abstractNumId w:val="15"/>
  </w:num>
  <w:num w:numId="10">
    <w:abstractNumId w:val="21"/>
  </w:num>
  <w:num w:numId="11">
    <w:abstractNumId w:val="10"/>
  </w:num>
  <w:num w:numId="12">
    <w:abstractNumId w:val="28"/>
  </w:num>
  <w:num w:numId="13">
    <w:abstractNumId w:val="5"/>
  </w:num>
  <w:num w:numId="14">
    <w:abstractNumId w:val="18"/>
  </w:num>
  <w:num w:numId="15">
    <w:abstractNumId w:val="0"/>
  </w:num>
  <w:num w:numId="16">
    <w:abstractNumId w:val="3"/>
  </w:num>
  <w:num w:numId="17">
    <w:abstractNumId w:val="19"/>
  </w:num>
  <w:num w:numId="18">
    <w:abstractNumId w:val="16"/>
  </w:num>
  <w:num w:numId="19">
    <w:abstractNumId w:val="6"/>
  </w:num>
  <w:num w:numId="20">
    <w:abstractNumId w:val="22"/>
  </w:num>
  <w:num w:numId="21">
    <w:abstractNumId w:val="27"/>
  </w:num>
  <w:num w:numId="22">
    <w:abstractNumId w:val="2"/>
  </w:num>
  <w:num w:numId="23">
    <w:abstractNumId w:val="23"/>
  </w:num>
  <w:num w:numId="24">
    <w:abstractNumId w:val="20"/>
  </w:num>
  <w:num w:numId="25">
    <w:abstractNumId w:val="14"/>
  </w:num>
  <w:num w:numId="26">
    <w:abstractNumId w:val="17"/>
  </w:num>
  <w:num w:numId="27">
    <w:abstractNumId w:val="32"/>
  </w:num>
  <w:num w:numId="28">
    <w:abstractNumId w:val="9"/>
  </w:num>
  <w:num w:numId="29">
    <w:abstractNumId w:val="24"/>
  </w:num>
  <w:num w:numId="30">
    <w:abstractNumId w:val="4"/>
  </w:num>
  <w:num w:numId="31">
    <w:abstractNumId w:val="12"/>
  </w:num>
  <w:num w:numId="32">
    <w:abstractNumId w:val="25"/>
  </w:num>
  <w:num w:numId="33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1637"/>
    <w:rsid w:val="00107589"/>
    <w:rsid w:val="001205A3"/>
    <w:rsid w:val="00151C69"/>
    <w:rsid w:val="001579C7"/>
    <w:rsid w:val="0016384B"/>
    <w:rsid w:val="00186CFF"/>
    <w:rsid w:val="001923C8"/>
    <w:rsid w:val="001971D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6AD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4CA9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26E4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256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1B96"/>
    <w:rsid w:val="00AF3212"/>
    <w:rsid w:val="00AF3AB4"/>
    <w:rsid w:val="00B06C2C"/>
    <w:rsid w:val="00B12A6C"/>
    <w:rsid w:val="00B20470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6362F"/>
    <w:rsid w:val="00E66ECB"/>
    <w:rsid w:val="00E720C4"/>
    <w:rsid w:val="00E769E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75FAF-FDF1-4585-9B35-229B8D159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1867</Words>
  <Characters>10647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Otília</cp:lastModifiedBy>
  <cp:revision>2</cp:revision>
  <cp:lastPrinted>2021-03-30T20:39:00Z</cp:lastPrinted>
  <dcterms:created xsi:type="dcterms:W3CDTF">2022-03-30T17:33:00Z</dcterms:created>
  <dcterms:modified xsi:type="dcterms:W3CDTF">2022-03-30T17:33:00Z</dcterms:modified>
</cp:coreProperties>
</file>