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tbl>
      <w:tblPr>
        <w:tblInd w:w="38" w:type="dxa"/>
      </w:tblPr>
      <w:tblGrid>
        <w:gridCol w:w="2560"/>
        <w:gridCol w:w="2098"/>
        <w:gridCol w:w="340"/>
        <w:gridCol w:w="340"/>
        <w:gridCol w:w="340"/>
        <w:gridCol w:w="340"/>
        <w:gridCol w:w="340"/>
        <w:gridCol w:w="340"/>
        <w:gridCol w:w="340"/>
        <w:gridCol w:w="340"/>
        <w:gridCol w:w="644"/>
        <w:gridCol w:w="307"/>
        <w:gridCol w:w="307"/>
        <w:gridCol w:w="307"/>
        <w:gridCol w:w="307"/>
      </w:tblGrid>
      <w:tr>
        <w:trPr>
          <w:trHeight w:val="1" w:hRule="atLeast"/>
          <w:jc w:val="left"/>
        </w:trPr>
        <w:tc>
          <w:tcPr>
            <w:tcW w:w="2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Poznámky (Ú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  NUJ 3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01)</w:t>
            </w:r>
          </w:p>
        </w:tc>
        <w:tc>
          <w:tcPr>
            <w:tcW w:w="20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 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/SID</w:t>
            </w:r>
          </w:p>
        </w:tc>
        <w:tc>
          <w:tcPr>
            <w:tcW w:w="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Poznámky k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čtovnej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ávierke k 31. decembru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1</w:t>
      </w:r>
    </w:p>
    <w:p>
      <w:pPr>
        <w:keepNext w:val="true"/>
        <w:numPr>
          <w:ilvl w:val="0"/>
          <w:numId w:val="7"/>
        </w:numPr>
        <w:tabs>
          <w:tab w:val="left" w:pos="360" w:leader="none"/>
        </w:tabs>
        <w:spacing w:before="120" w:after="60" w:line="240"/>
        <w:ind w:right="0" w:left="357" w:hanging="357"/>
        <w:jc w:val="left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2"/>
          <w:shd w:fill="auto" w:val="clear"/>
        </w:rPr>
        <w:t xml:space="preserve">Čl. I. Všeobecn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2"/>
          <w:shd w:fill="auto" w:val="clear"/>
        </w:rPr>
        <w:t xml:space="preserve">é údaje</w:t>
      </w:r>
    </w:p>
    <w:p>
      <w:pPr>
        <w:keepNext w:val="true"/>
        <w:numPr>
          <w:ilvl w:val="0"/>
          <w:numId w:val="8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Obchodné meno a sídlo spolo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čnosti: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AGDEM, s.r.o. v likvidácii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Radlinského 1729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026 01 Dolný Kubín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ČO: 36383350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DI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Č: 2021409236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čnosť AGDEM, s r. o. (ďalej len Spoločnosť) bola do obchodn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ého registra bola zapísaná 7. decembra  1998 (Obchodný register Okresného súdu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Žilina,  oddiel s.r.o., vložka 11412/L).Od 3.5.2001 je spoločnosť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likvidácii. 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numPr>
          <w:ilvl w:val="0"/>
          <w:numId w:val="10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2a.  Hlavnými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činnosťami Spoločnosti s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ú: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       - kúpa tovaru na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čely jeho predaja konečn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ému spotrebite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ľovi (maloobchod), alebo 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prevádzkovate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ľom živnosti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         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ľkoobchod)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      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športov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činnosť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         </w:t>
      </w:r>
    </w:p>
    <w:p>
      <w:pPr>
        <w:keepNext w:val="true"/>
        <w:numPr>
          <w:ilvl w:val="0"/>
          <w:numId w:val="12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numPr>
          <w:ilvl w:val="0"/>
          <w:numId w:val="12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2.b    Informácie o spolo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íkoch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čtovnej jednotky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Štrukt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úra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íkov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čnosti do 31. marca 2022 bola tak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áto: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Konate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 a likvid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átor</w:t>
        <w:tab/>
        <w:tab/>
        <w:t xml:space="preserve">Ing. Tibor Demeter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                                </w:t>
      </w:r>
    </w:p>
    <w:p>
      <w:pPr>
        <w:keepNext w:val="true"/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3.      Priemerný po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čet zamestnancov :    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II. INFORM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ÁCIE O PRIJATÝCH POSTUPOCH</w:t>
      </w:r>
    </w:p>
    <w:p>
      <w:pPr>
        <w:keepNext w:val="true"/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Právny dôvod na zostavenie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ávierky</w:t>
      </w:r>
    </w:p>
    <w:p>
      <w:p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ab/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závierka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čnosti k 31. decembru 2017 je zostaven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ako riadna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závierka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§ 17 ods. 6 zákona NR SR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č. 431/2002 Z.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z. 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íctve, za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obdobie od 01. decembra 202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do 31. decembra 202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.</w:t>
      </w:r>
    </w:p>
    <w:p>
      <w:p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1.a   Dátum schválenia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ávierky za predchádzajúce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é obdobie</w:t>
      </w:r>
    </w:p>
    <w:p>
      <w:p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      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závierka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čnosti k 31. decembru 2021, za predch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ádzajúce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obdobie, bola schválená valným zhroma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žden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ím</w:t>
      </w:r>
    </w:p>
    <w:p>
      <w:p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      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čnosti dňa 15.3.2022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numPr>
          <w:ilvl w:val="0"/>
          <w:numId w:val="22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Informácie o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ých zásadách 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ých metódach  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(a)</w:t>
        <w:tab/>
        <w:t xml:space="preserve">Východiská pre zostavenie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ávierky</w:t>
      </w:r>
    </w:p>
    <w:p>
      <w:pPr>
        <w:spacing w:before="0" w:after="0" w:line="240"/>
        <w:ind w:right="0" w:left="45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závierka bola zostavená za predpokladu nepretr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ého trvania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čnosti (going concern).</w:t>
      </w:r>
    </w:p>
    <w:p>
      <w:pPr>
        <w:spacing w:before="0" w:after="0" w:line="240"/>
        <w:ind w:right="0" w:left="45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metódy a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šeobecn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zásady boli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čtovnou jednotkou konzistentne aplikovan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é. </w:t>
      </w:r>
    </w:p>
    <w:p>
      <w:pPr>
        <w:spacing w:before="0" w:after="0" w:line="240"/>
        <w:ind w:right="0" w:left="45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(b)</w:t>
        <w:tab/>
        <w:t xml:space="preserve"> Zásoby 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Zásoby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žšou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nasledovných hodnôt: obstarávacou cenou (nakupované zásoby) / vlastnými nákladmi (zásoby vytvorené vlastnou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činnosťou) alebo čistou realizačnou hodnotou.Obstar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ávacia cena zah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ŕňa cenu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ásob a náklady súvisiace s obstaraním (clo, prepravu, poistné, provízie, skonto a pod.). Úroky z cudzích zdrojov nie sú sú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časťou obstar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ávacej ceny. Nakupované zásoby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vá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aritmetickým priemerom z obstarávacích cien.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tbl>
      <w:tblPr>
        <w:tblInd w:w="38" w:type="dxa"/>
      </w:tblPr>
      <w:tblGrid>
        <w:gridCol w:w="2560"/>
        <w:gridCol w:w="2098"/>
        <w:gridCol w:w="340"/>
        <w:gridCol w:w="340"/>
        <w:gridCol w:w="340"/>
        <w:gridCol w:w="340"/>
        <w:gridCol w:w="340"/>
        <w:gridCol w:w="340"/>
        <w:gridCol w:w="340"/>
        <w:gridCol w:w="340"/>
        <w:gridCol w:w="644"/>
        <w:gridCol w:w="307"/>
        <w:gridCol w:w="307"/>
        <w:gridCol w:w="307"/>
        <w:gridCol w:w="307"/>
      </w:tblGrid>
      <w:tr>
        <w:trPr>
          <w:trHeight w:val="1" w:hRule="atLeast"/>
          <w:jc w:val="left"/>
        </w:trPr>
        <w:tc>
          <w:tcPr>
            <w:tcW w:w="2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Poznámky (Ú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  NUJ 3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01)</w:t>
            </w:r>
          </w:p>
        </w:tc>
        <w:tc>
          <w:tcPr>
            <w:tcW w:w="20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 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/SID</w:t>
            </w:r>
          </w:p>
        </w:tc>
        <w:tc>
          <w:tcPr>
            <w:tcW w:w="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        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(c)</w:t>
        <w:tab/>
        <w:t xml:space="preserve">Cenné papiere a podiely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Cenné papiere a podiely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obstarávacími cenami, vrátane nákladov súvisiacich s obstaraním. Od obstarávacej ceny je odpo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ítané zní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ženie hodnoty cenn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ých papierov a podielov. 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(f)</w:t>
        <w:tab/>
        <w:t xml:space="preserve">Poh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ávky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ávky pri ich vzniku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ich menovitou hodnotou; postúpené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ávky a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ávky nadobudnuté vkladom do základného imania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obstarávacou cenou, vrátane nákladov súvisiacich s obstaraním. Toto ocenenie sa zni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žuje o pochybn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a nevymo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žiteľn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ávky.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(g)</w:t>
        <w:tab/>
        <w:t xml:space="preserve">Pe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ňažn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é prostriedky a ceniny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ňažn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prostriedky a ceniny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ich menovitou hodnotou. 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(h)</w:t>
        <w:tab/>
        <w:t xml:space="preserve">Náklady budúcich období a príjmy budúcich období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Náklady budúcich období a príjmy budúcich období sa vykazujú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ške,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je potrebná na dodr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žanie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ásady vecnej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časovej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úvislosti s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obdobím.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(i)</w:t>
        <w:tab/>
        <w:t xml:space="preserve">Rezervy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Rezervy sú záväzky s neur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vymedzením alebo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škou; tvoria sa na krytie zn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ámych rizík alebo strát z podnikania.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sa v 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ávanej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ške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áväzku.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(j)</w:t>
        <w:tab/>
        <w:t xml:space="preserve">Záväzky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Záväzky pri ich vzniku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menovitou hodnotou. Záväzky pri ich prevzatí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obstarávacou cenou. Ak sa pri inventarizácii zistí,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 suma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áväzkov je iná ako ich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ška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íctve, uvedú sa záväzky v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íctve a v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ávierke v tomto zistenom ocenení. 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(k)</w:t>
        <w:tab/>
        <w:t xml:space="preserve">Výdavky budúcich období a výnosy budúcich období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Výdavky budúcich období a výnosy budúcich období sa vykazujú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ške,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je potrebná na dodr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žanie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ásady vecnej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časovej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úvislosti s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obdobím.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 lízing (s kúpnou opciou; bez kúpnej opcie je pova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 za operatívny lízing). Majetok prenajatý na základe zmluvy uzatvorenej do 31. decembra 2003 vykazuje ako svoj majetok jeho vlastník, nie nájomca. Majetok prenajatý na základe zmluvy uzatvorenej 1. januára 2004 a neskôr vykazuje ako svoj majetok jeho nájomca, nie vlastník.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 (l)</w:t>
        <w:tab/>
        <w:t xml:space="preserve">Majetok a záväzky zabezpe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é derivátmi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Majetok a záväzky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derivátmi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reálnou hodnotou. Zmeny reálnych hodnôt majetku a záväzkov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ých derivátmi sa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bez vplyvu na výsledok hospodárenia, priamo do vlastného imania. 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(m)</w:t>
        <w:tab/>
        <w:t xml:space="preserve">Cudzia mena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Majetok a záväzky vyjadrené v cudzej mene sa prepo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ítavajú na slovenskú menu kurzom 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v kurzovom lístku Národnej banky Slovenska platným ku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 uskutočnenia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ého prípadu a v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ávierke kurzom platným ku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ňu, ku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ktorému sa zostavuje, a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sa s vplyvom na výsledok hospodárenia.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(q)</w:t>
        <w:tab/>
        <w:t xml:space="preserve">Výnosy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žby za vlastn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výkony a tovar neobsahujú 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 z pridanej hodnoty.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tie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 zn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o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ľavy a zr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žky (rabaty, bonusy, skont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á, dobropisy a pod.) bez 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ľadu na to, či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ákazník mal vopred na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ľavu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árok, alebo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či ide 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dodato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čne uznan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ľavu.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3.      Spôsob zostavenia odpisového plánu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         </w:t>
        <w:tab/>
        <w:t xml:space="preserve">Dlhodobý nehmotný a dlhodobý hmotný majetok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Dlhodobý majetok nakupovaný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ňuje obstar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ávacou cenou, ktorá zah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ŕňa cenu obstarania a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áklady súvisiace s obstaraním (clo, prepravu, montá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ž, poistn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a pod.). Sú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časťou obstar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ávacej ceny od 1. januára 2003 nie sú úroky z cudzích zdrojov ani realizované kurzové rozdiely, ktoré vznikli do momentu uvedenia dlhodobého majetku do 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ívania.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Dlhodobý majetok vytvorený vlastnou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činnosťou sa oceňuje vlastn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ými nákladmi. Vlastnými nákladmi sú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šetky priame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áklady vynalo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na výrobu alebo inú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činnosť 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nepriame náklady, ktoré sa vz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ťahuj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na výrobu alebo inú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činnosť. 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Odpisy dlhodobého hmotného majetku sú stanovené vychádzajúc z predpokladanej doby jeho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ívania a predpokladaného priebehu jeho opotrebenia. Odpisova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ť sa zač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ína prvým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ňom mesiaca nasleduj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úceho po uvedení dlhodobého majetku do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ívania. Drobný dlhodobý hmotný majetok, ktorého obstarávacia cena (resp. vlastné 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náklady) je 1750 EUR a 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žšia, sa za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čtuje do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ákladov pri uvedení do 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ívania. Pozemky sa neodpisujú. Predpokladaná doba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ívania, metóda odpisovania a odpisová sadzba sú uvedené v nasledujúcej tabu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ľke: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tbl>
      <w:tblPr>
        <w:tblInd w:w="456" w:type="dxa"/>
      </w:tblPr>
      <w:tblGrid>
        <w:gridCol w:w="2927"/>
        <w:gridCol w:w="419"/>
        <w:gridCol w:w="1688"/>
        <w:gridCol w:w="1239"/>
        <w:gridCol w:w="1684"/>
        <w:gridCol w:w="1396"/>
        <w:gridCol w:w="1679"/>
      </w:tblGrid>
      <w:tr>
        <w:trPr>
          <w:trHeight w:val="250" w:hRule="auto"/>
          <w:jc w:val="left"/>
        </w:trPr>
        <w:tc>
          <w:tcPr>
            <w:tcW w:w="334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Predpokladaná</w:t>
            </w:r>
          </w:p>
        </w:tc>
        <w:tc>
          <w:tcPr>
            <w:tcW w:w="123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Metóda</w:t>
            </w:r>
          </w:p>
        </w:tc>
        <w:tc>
          <w:tcPr>
            <w:tcW w:w="139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Ro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á odpisová</w:t>
            </w:r>
          </w:p>
        </w:tc>
      </w:tr>
      <w:tr>
        <w:trPr>
          <w:trHeight w:val="250" w:hRule="auto"/>
          <w:jc w:val="left"/>
        </w:trPr>
        <w:tc>
          <w:tcPr>
            <w:tcW w:w="29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doba pou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ž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ívania</w:t>
            </w:r>
          </w:p>
        </w:tc>
        <w:tc>
          <w:tcPr>
            <w:tcW w:w="123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odpisovania</w:t>
            </w:r>
          </w:p>
        </w:tc>
        <w:tc>
          <w:tcPr>
            <w:tcW w:w="139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sadzba v %</w:t>
            </w:r>
          </w:p>
        </w:tc>
      </w:tr>
      <w:tr>
        <w:trPr>
          <w:trHeight w:val="250" w:hRule="auto"/>
          <w:jc w:val="left"/>
        </w:trPr>
        <w:tc>
          <w:tcPr>
            <w:tcW w:w="3346" w:type="dxa"/>
            <w:gridSpan w:val="2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Stavby</w:t>
            </w:r>
          </w:p>
        </w:tc>
        <w:tc>
          <w:tcPr>
            <w:tcW w:w="1688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20</w:t>
            </w:r>
          </w:p>
        </w:tc>
        <w:tc>
          <w:tcPr>
            <w:tcW w:w="1239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4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lineárna</w:t>
            </w:r>
          </w:p>
        </w:tc>
        <w:tc>
          <w:tcPr>
            <w:tcW w:w="1396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5</w:t>
            </w:r>
          </w:p>
        </w:tc>
      </w:tr>
      <w:tr>
        <w:trPr>
          <w:trHeight w:val="250" w:hRule="auto"/>
          <w:jc w:val="left"/>
        </w:trPr>
        <w:tc>
          <w:tcPr>
            <w:tcW w:w="334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Stroje, prístroje a zariadenia</w:t>
            </w:r>
          </w:p>
        </w:tc>
        <w:tc>
          <w:tcPr>
            <w:tcW w:w="168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4 a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ž 6</w:t>
            </w:r>
          </w:p>
        </w:tc>
        <w:tc>
          <w:tcPr>
            <w:tcW w:w="123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lineárna</w:t>
            </w:r>
          </w:p>
        </w:tc>
        <w:tc>
          <w:tcPr>
            <w:tcW w:w="139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16,6 a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ž 25</w:t>
            </w:r>
          </w:p>
        </w:tc>
      </w:tr>
    </w:tbl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tbl>
      <w:tblPr>
        <w:tblInd w:w="38" w:type="dxa"/>
      </w:tblPr>
      <w:tblGrid>
        <w:gridCol w:w="2560"/>
        <w:gridCol w:w="2098"/>
        <w:gridCol w:w="340"/>
        <w:gridCol w:w="340"/>
        <w:gridCol w:w="340"/>
        <w:gridCol w:w="340"/>
        <w:gridCol w:w="340"/>
        <w:gridCol w:w="340"/>
        <w:gridCol w:w="340"/>
        <w:gridCol w:w="340"/>
        <w:gridCol w:w="644"/>
        <w:gridCol w:w="307"/>
        <w:gridCol w:w="307"/>
        <w:gridCol w:w="307"/>
        <w:gridCol w:w="307"/>
      </w:tblGrid>
      <w:tr>
        <w:trPr>
          <w:trHeight w:val="1" w:hRule="atLeast"/>
          <w:jc w:val="left"/>
        </w:trPr>
        <w:tc>
          <w:tcPr>
            <w:tcW w:w="2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Poznámky (Ú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  NUJ 3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01)</w:t>
            </w:r>
          </w:p>
        </w:tc>
        <w:tc>
          <w:tcPr>
            <w:tcW w:w="20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 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/SID</w:t>
            </w:r>
          </w:p>
        </w:tc>
        <w:tc>
          <w:tcPr>
            <w:tcW w:w="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tbl>
      <w:tblPr>
        <w:tblInd w:w="456" w:type="dxa"/>
      </w:tblPr>
      <w:tblGrid>
        <w:gridCol w:w="3346"/>
        <w:gridCol w:w="1688"/>
        <w:gridCol w:w="1446"/>
        <w:gridCol w:w="1684"/>
        <w:gridCol w:w="1663"/>
        <w:gridCol w:w="1679"/>
      </w:tblGrid>
      <w:tr>
        <w:trPr>
          <w:trHeight w:val="250" w:hRule="auto"/>
          <w:jc w:val="left"/>
        </w:trPr>
        <w:tc>
          <w:tcPr>
            <w:tcW w:w="334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numPr>
          <w:ilvl w:val="0"/>
          <w:numId w:val="87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Zmeny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ých zásad a metód v danom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í neboli prevedené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keepNext w:val="true"/>
        <w:numPr>
          <w:ilvl w:val="0"/>
          <w:numId w:val="89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Dotácie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čtovnej jednotke neboli pridelen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é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1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Opravy chýb minulých období v danom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í neboli prevedené.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III. INFORM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 SÚVAHU A VÝKAZ ZISKOV A STRÁT</w:t>
      </w:r>
    </w:p>
    <w:p>
      <w:pPr>
        <w:numPr>
          <w:ilvl w:val="0"/>
          <w:numId w:val="93"/>
        </w:numPr>
        <w:tabs>
          <w:tab w:val="left" w:pos="720" w:leader="none"/>
          <w:tab w:val="left" w:pos="0" w:leader="none"/>
        </w:tabs>
        <w:spacing w:before="0" w:after="0" w:line="240"/>
        <w:ind w:right="0" w:left="720" w:hanging="72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Nebol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</w:p>
    <w:p>
      <w:pPr>
        <w:numPr>
          <w:ilvl w:val="0"/>
          <w:numId w:val="93"/>
        </w:numPr>
        <w:tabs>
          <w:tab w:val="left" w:pos="720" w:leader="none"/>
          <w:tab w:val="left" w:pos="0" w:leader="none"/>
        </w:tabs>
        <w:spacing w:before="0" w:after="0" w:line="240"/>
        <w:ind w:right="0" w:left="720" w:hanging="72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záväzkoch: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3.           O akciách vo firme nebolo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é.</w:t>
      </w:r>
    </w:p>
    <w:p>
      <w:pPr>
        <w:spacing w:before="0" w:after="200" w:line="276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4.            Informácie o 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jednotky :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 zárukách, pô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ách a pou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ých prostriedkov na súkromné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čely nebolo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é.</w:t>
      </w:r>
    </w:p>
    <w:p>
      <w:pPr>
        <w:spacing w:before="0" w:after="200" w:line="276"/>
        <w:ind w:right="0" w:left="720" w:hanging="72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5.           Informácie o povinnostiach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jednotky:     Nebolo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3">
    <w:lvl w:ilvl="0">
      <w:start w:val="1"/>
      <w:numFmt w:val="upperLetter"/>
      <w:lvlText w:val="%1."/>
    </w:lvl>
  </w:abstractNum>
  <w:abstractNum w:abstractNumId="1">
    <w:lvl w:ilvl="0">
      <w:start w:val="1"/>
      <w:numFmt w:val="decimal"/>
      <w:lvlText w:val="%1."/>
    </w:lvl>
  </w:abstractNum>
  <w:abstractNum w:abstractNumId="7">
    <w:lvl w:ilvl="0">
      <w:start w:val="1"/>
      <w:numFmt w:val="decimal"/>
      <w:lvlText w:val="%1."/>
    </w:lvl>
  </w:abstractNum>
  <w:abstractNum w:abstractNumId="13">
    <w:lvl w:ilvl="0">
      <w:start w:val="1"/>
      <w:numFmt w:val="decimal"/>
      <w:lvlText w:val="%1."/>
    </w:lvl>
  </w:abstractNum>
  <w:abstractNum w:abstractNumId="19">
    <w:lvl w:ilvl="0">
      <w:start w:val="1"/>
      <w:numFmt w:val="decimal"/>
      <w:lvlText w:val="%1."/>
    </w:lvl>
  </w:abstractNum>
  <w:abstractNum w:abstractNumId="25">
    <w:lvl w:ilvl="0">
      <w:start w:val="1"/>
      <w:numFmt w:val="decimal"/>
      <w:lvlText w:val="%1."/>
    </w:lvl>
  </w:abstractNum>
  <w:abstractNum w:abstractNumId="31">
    <w:lvl w:ilvl="0">
      <w:start w:val="1"/>
      <w:numFmt w:val="decimal"/>
      <w:lvlText w:val="%1."/>
    </w:lvl>
  </w:abstractNum>
  <w:abstractNum w:abstractNumId="37">
    <w:lvl w:ilvl="0">
      <w:start w:val="1"/>
      <w:numFmt w:val="decimal"/>
      <w:lvlText w:val="%1."/>
    </w:lvl>
  </w:abstractNum>
  <w:abstractNum w:abstractNumId="43">
    <w:lvl w:ilvl="0">
      <w:start w:val="1"/>
      <w:numFmt w:val="decimal"/>
      <w:lvlText w:val="%1."/>
    </w:lvl>
  </w:abstractNum>
  <w:abstractNum w:abstractNumId="49">
    <w:lvl w:ilvl="0">
      <w:start w:val="1"/>
      <w:numFmt w:val="decimal"/>
      <w:lvlText w:val="%1."/>
    </w:lvl>
  </w:abstractNum>
  <w:abstractNum w:abstractNumId="55">
    <w:lvl w:ilvl="0">
      <w:start w:val="1"/>
      <w:numFmt w:val="decimal"/>
      <w:lvlText w:val="%1."/>
    </w:lvl>
  </w:abstractNum>
  <w:abstractNum w:abstractNumId="0">
    <w:lvl w:ilvl="0">
      <w:start w:val="1"/>
      <w:numFmt w:val="bullet"/>
      <w:lvlText w:val="•"/>
    </w:lvl>
  </w:abstractNum>
  <w:num w:numId="7">
    <w:abstractNumId w:val="3"/>
  </w:num>
  <w:num w:numId="8">
    <w:abstractNumId w:val="55"/>
  </w:num>
  <w:num w:numId="10">
    <w:abstractNumId w:val="49"/>
  </w:num>
  <w:num w:numId="12">
    <w:abstractNumId w:val="43"/>
  </w:num>
  <w:num w:numId="15">
    <w:abstractNumId w:val="37"/>
  </w:num>
  <w:num w:numId="17">
    <w:abstractNumId w:val="31"/>
  </w:num>
  <w:num w:numId="19">
    <w:abstractNumId w:val="25"/>
  </w:num>
  <w:num w:numId="22">
    <w:abstractNumId w:val="19"/>
  </w:num>
  <w:num w:numId="87">
    <w:abstractNumId w:val="13"/>
  </w:num>
  <w:num w:numId="89">
    <w:abstractNumId w:val="7"/>
  </w:num>
  <w:num w:numId="91">
    <w:abstractNumId w:val="1"/>
  </w:num>
  <w:num w:numId="9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