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DAREN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1395/48,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52553078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2121062944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F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6F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F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Zaoral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F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6F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AA0" w:rsidRDefault="008F4AA0" w:rsidP="00107589">
      <w:pPr>
        <w:spacing w:after="0" w:line="240" w:lineRule="auto"/>
      </w:pPr>
      <w:r>
        <w:separator/>
      </w:r>
    </w:p>
  </w:endnote>
  <w:endnote w:type="continuationSeparator" w:id="0">
    <w:p w:rsidR="008F4AA0" w:rsidRDefault="008F4A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6FA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AA0" w:rsidRDefault="008F4AA0" w:rsidP="00107589">
      <w:pPr>
        <w:spacing w:after="0" w:line="240" w:lineRule="auto"/>
      </w:pPr>
      <w:r>
        <w:separator/>
      </w:r>
    </w:p>
  </w:footnote>
  <w:footnote w:type="continuationSeparator" w:id="0">
    <w:p w:rsidR="008F4AA0" w:rsidRDefault="008F4A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2121062944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FA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AA0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75BF17-B6B4-43FB-B9EE-17B977C9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D8980-3171-4523-9758-6566878D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2022-05-03T07:06:00Z</dcterms:modified>
</cp:coreProperties>
</file>