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3FC" w:rsidRDefault="00CD63FC" w:rsidP="00BD376F">
      <w:pPr>
        <w:pStyle w:val="ListParagraph"/>
        <w:ind w:left="426" w:hanging="426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Rok : 2021</w:t>
      </w:r>
    </w:p>
    <w:p w:rsidR="00CD63FC" w:rsidRDefault="00CD63FC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D63FC" w:rsidRDefault="00CD63FC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E406F8">
        <w:rPr>
          <w:rFonts w:ascii="Cambria" w:hAnsi="Cambria" w:cs="Arial"/>
          <w:b/>
          <w:sz w:val="24"/>
          <w:szCs w:val="24"/>
        </w:rPr>
        <w:t xml:space="preserve">Článok I - Všeobecné </w:t>
      </w:r>
      <w:r>
        <w:rPr>
          <w:rFonts w:ascii="Cambria" w:hAnsi="Cambria" w:cs="Arial"/>
          <w:b/>
          <w:sz w:val="24"/>
          <w:szCs w:val="24"/>
        </w:rPr>
        <w:t>údaje</w:t>
      </w:r>
    </w:p>
    <w:p w:rsidR="00CD63FC" w:rsidRDefault="00CD63FC" w:rsidP="00BD376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osoby: R&amp;S Bratislava, spol. s r.o.        </w:t>
      </w:r>
    </w:p>
    <w:p w:rsidR="00CD63FC" w:rsidRPr="00B77972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CD63FC" w:rsidRPr="00BD376F" w:rsidRDefault="00CD63FC" w:rsidP="00BD376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  <w:bookmarkStart w:id="0" w:name="Text20"/>
      <w:r>
        <w:rPr>
          <w:rFonts w:ascii="Cambria" w:hAnsi="Cambria" w:cs="Arial"/>
        </w:rPr>
        <w:t xml:space="preserve"> </w:t>
      </w:r>
      <w:r w:rsidRPr="00BD376F">
        <w:rPr>
          <w:rFonts w:ascii="Cambria" w:hAnsi="Cambria" w:cs="Arial"/>
          <w:b/>
          <w:bCs/>
        </w:rPr>
        <w:t>Polianky č.5, 841 01 Bratislava</w:t>
      </w:r>
      <w:bookmarkEnd w:id="0"/>
    </w:p>
    <w:p w:rsidR="00CD63FC" w:rsidRPr="00BD376F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</w:rPr>
      </w:pPr>
      <w:r w:rsidRPr="00BD376F">
        <w:rPr>
          <w:rFonts w:ascii="Cambria" w:hAnsi="Cambria" w:cs="Arial"/>
          <w:b/>
          <w:bCs/>
          <w:i/>
        </w:rPr>
        <w:t xml:space="preserve">        </w:t>
      </w:r>
    </w:p>
    <w:p w:rsidR="00CD63FC" w:rsidRPr="00B701A9" w:rsidRDefault="00CD63FC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CD63FC" w:rsidRPr="00D367A8" w:rsidRDefault="00CD63FC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D63FC" w:rsidRDefault="00CD63F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:rsidR="00CD63FC" w:rsidRPr="00395156" w:rsidRDefault="00CD63F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63FC" w:rsidRPr="00A405A5" w:rsidRDefault="00CD63FC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Pr="00A405A5">
        <w:rPr>
          <w:rFonts w:ascii="Cambria" w:hAnsi="Cambria" w:cs="Arial"/>
          <w:sz w:val="20"/>
          <w:szCs w:val="20"/>
        </w:rPr>
        <w:t>:</w:t>
      </w:r>
    </w:p>
    <w:p w:rsidR="00CD63FC" w:rsidRPr="00A405A5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63FC" w:rsidRPr="00A405A5" w:rsidRDefault="00CD63FC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D63FC" w:rsidRDefault="00CD63FC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D63FC" w:rsidRPr="00A405A5" w:rsidRDefault="00CD63FC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63FC" w:rsidRDefault="00CD63FC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CD63FC" w:rsidRPr="00FC7A70" w:rsidRDefault="00CD63FC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Pr="00FC7A70">
        <w:rPr>
          <w:rFonts w:ascii="Cambria" w:hAnsi="Cambria" w:cs="Arial"/>
          <w:sz w:val="20"/>
          <w:szCs w:val="20"/>
        </w:rPr>
        <w:t>účtovná jednotka  materskou účtovnou jednotkou</w:t>
      </w:r>
      <w:r w:rsidRPr="00FC7A70">
        <w:rPr>
          <w:rFonts w:ascii="Cambria" w:hAnsi="Cambria" w:cs="Arial"/>
          <w:b/>
          <w:sz w:val="20"/>
          <w:szCs w:val="20"/>
        </w:rPr>
        <w:t xml:space="preserve">: </w:t>
      </w:r>
      <w:r>
        <w:rPr>
          <w:rFonts w:ascii="Cambria" w:hAnsi="Cambria" w:cs="Arial"/>
          <w:b/>
          <w:color w:val="00B050"/>
          <w:sz w:val="20"/>
          <w:szCs w:val="20"/>
        </w:rPr>
        <w:t>vyberte</w:t>
      </w:r>
    </w:p>
    <w:p w:rsidR="00CD63FC" w:rsidRPr="00FC7A70" w:rsidRDefault="00CD63FC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="Cambria" w:hAnsi="Cambria" w:cs="Arial"/>
          <w:sz w:val="20"/>
          <w:szCs w:val="20"/>
        </w:rPr>
        <w:t>konsolidovanú výročnú správu podľa § 22 zákona o účtovníctve a to:</w:t>
      </w:r>
    </w:p>
    <w:p w:rsidR="00CD63FC" w:rsidRPr="0042025A" w:rsidRDefault="00CD63FC" w:rsidP="006F3E72">
      <w:pPr>
        <w:pStyle w:val="ListParagraph"/>
        <w:spacing w:after="0" w:line="240" w:lineRule="auto"/>
        <w:ind w:left="851"/>
        <w:jc w:val="both"/>
        <w:rPr>
          <w:rFonts w:ascii="Cambria" w:hAnsi="Cambria" w:cs="Arial"/>
          <w:sz w:val="20"/>
          <w:szCs w:val="20"/>
        </w:rPr>
      </w:pPr>
    </w:p>
    <w:p w:rsidR="00CD63FC" w:rsidRPr="0042025A" w:rsidRDefault="00CD63FC" w:rsidP="0042025A">
      <w:pPr>
        <w:pStyle w:val="NoSpacing"/>
        <w:ind w:left="426"/>
        <w:jc w:val="both"/>
        <w:rPr>
          <w:rFonts w:ascii="Cambria" w:hAnsi="Cambria" w:cs="Arial"/>
          <w:sz w:val="20"/>
          <w:szCs w:val="20"/>
        </w:rPr>
      </w:pPr>
      <w:r w:rsidRPr="0042025A">
        <w:rPr>
          <w:rFonts w:ascii="MS Mincho" w:eastAsia="MS Mincho" w:hAnsi="MS Mincho" w:cs="MS Mincho" w:hint="eastAsia"/>
          <w:b/>
          <w:sz w:val="20"/>
          <w:szCs w:val="20"/>
        </w:rPr>
        <w:t>☐</w:t>
      </w:r>
      <w:r w:rsidRPr="0042025A">
        <w:rPr>
          <w:rFonts w:ascii="Cambria" w:hAnsi="Cambria" w:cs="Arial"/>
          <w:b/>
          <w:sz w:val="20"/>
          <w:szCs w:val="20"/>
        </w:rPr>
        <w:tab/>
      </w:r>
      <w:r w:rsidRPr="0042025A">
        <w:rPr>
          <w:rFonts w:ascii="Cambria" w:hAnsi="Cambria" w:cs="Arial"/>
          <w:sz w:val="20"/>
          <w:szCs w:val="20"/>
        </w:rPr>
        <w:t>v zmysle § 22 ods. 8 ZoÚ (oslobodenie od konsolidácie na medzistupni):</w:t>
      </w:r>
    </w:p>
    <w:p w:rsidR="00CD63FC" w:rsidRPr="00A405A5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CD63FC" w:rsidRPr="00A405A5" w:rsidRDefault="00CD63FC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CD63FC" w:rsidRPr="00A405A5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D63FC" w:rsidRPr="00A405A5" w:rsidRDefault="00CD63FC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D63FC" w:rsidRPr="00A405A5" w:rsidRDefault="00CD63FC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D63FC" w:rsidRPr="00A405A5" w:rsidRDefault="00CD63FC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63FC" w:rsidRPr="00041CBE" w:rsidRDefault="00CD63FC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r w:rsidRPr="00A405A5">
        <w:rPr>
          <w:rFonts w:ascii="MS Mincho" w:eastAsia="MS Mincho" w:hAnsi="MS Mincho" w:cs="MS Mincho" w:hint="eastAsia"/>
          <w:b/>
        </w:rPr>
        <w:t>☐</w:t>
      </w:r>
      <w:r w:rsidRPr="00A405A5">
        <w:rPr>
          <w:rFonts w:ascii="Cambria" w:hAnsi="Cambria" w:cs="Arial"/>
          <w:b/>
        </w:rPr>
        <w:tab/>
      </w:r>
      <w:r w:rsidRPr="00A405A5">
        <w:rPr>
          <w:rFonts w:ascii="Cambria" w:hAnsi="Cambria" w:cs="Arial"/>
          <w:sz w:val="20"/>
          <w:szCs w:val="20"/>
        </w:rPr>
        <w:t>v zmysle § 22 ods. 10 a 12 ZoÚ (oslobodenie pri nevýznamnosti dcérskych spoločností</w:t>
      </w:r>
      <w:r>
        <w:rPr>
          <w:rFonts w:ascii="Cambria" w:hAnsi="Cambria" w:cs="Arial"/>
          <w:sz w:val="20"/>
          <w:szCs w:val="20"/>
        </w:rPr>
        <w:t>, uvedených v prehľade</w:t>
      </w:r>
      <w:r w:rsidRPr="00A405A5">
        <w:rPr>
          <w:rFonts w:ascii="Cambria" w:hAnsi="Cambria" w:cs="Arial"/>
          <w:sz w:val="20"/>
          <w:szCs w:val="20"/>
        </w:rPr>
        <w:t>):</w:t>
      </w:r>
      <w:r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CD63FC" w:rsidRDefault="00CD63FC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69"/>
        <w:gridCol w:w="5103"/>
      </w:tblGrid>
      <w:tr w:rsidR="00CD63FC" w:rsidRPr="009926AC">
        <w:tc>
          <w:tcPr>
            <w:tcW w:w="9072" w:type="dxa"/>
            <w:gridSpan w:val="2"/>
            <w:vAlign w:val="center"/>
          </w:tcPr>
          <w:p w:rsidR="00CD63FC" w:rsidRPr="009926AC" w:rsidRDefault="00CD63FC" w:rsidP="009926AC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D63FC" w:rsidRPr="009926AC">
        <w:tc>
          <w:tcPr>
            <w:tcW w:w="3969" w:type="dxa"/>
            <w:vAlign w:val="center"/>
          </w:tcPr>
          <w:p w:rsidR="00CD63FC" w:rsidRPr="009926AC" w:rsidRDefault="00CD63FC" w:rsidP="009926AC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D63FC" w:rsidRPr="009926AC" w:rsidRDefault="00CD63FC" w:rsidP="009926AC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D63FC" w:rsidRPr="009926AC">
        <w:tc>
          <w:tcPr>
            <w:tcW w:w="3969" w:type="dxa"/>
            <w:shd w:val="clear" w:color="auto" w:fill="DBE5F1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color w:val="DBE5F1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color w:val="DBE5F1"/>
                <w:sz w:val="20"/>
                <w:szCs w:val="20"/>
              </w:rPr>
            </w:pPr>
          </w:p>
        </w:tc>
      </w:tr>
      <w:tr w:rsidR="00CD63FC" w:rsidRPr="009926AC">
        <w:tc>
          <w:tcPr>
            <w:tcW w:w="3969" w:type="dxa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c>
          <w:tcPr>
            <w:tcW w:w="3969" w:type="dxa"/>
            <w:shd w:val="clear" w:color="auto" w:fill="DBE5F1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c>
          <w:tcPr>
            <w:tcW w:w="3969" w:type="dxa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c>
          <w:tcPr>
            <w:tcW w:w="3969" w:type="dxa"/>
            <w:shd w:val="clear" w:color="auto" w:fill="DBE5F1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c>
          <w:tcPr>
            <w:tcW w:w="3969" w:type="dxa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D63FC" w:rsidRPr="009926AC" w:rsidRDefault="00CD63FC" w:rsidP="009926AC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D63FC" w:rsidRDefault="00CD63FC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D63FC" w:rsidRDefault="00CD63FC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D63FC" w:rsidRDefault="00CD63FC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D63FC" w:rsidRDefault="00CD63FC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D63FC" w:rsidRPr="004C53A2" w:rsidRDefault="00CD63FC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D63FC" w:rsidRPr="00395156" w:rsidRDefault="00CD63FC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:rsidR="00CD63FC" w:rsidRPr="00A405A5" w:rsidRDefault="00CD63FC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CD63FC" w:rsidRPr="009926AC">
        <w:tc>
          <w:tcPr>
            <w:tcW w:w="425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CD63FC" w:rsidRPr="009926AC" w:rsidRDefault="00CD63F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CD63FC" w:rsidRPr="009926AC" w:rsidRDefault="00CD63F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CD63FC" w:rsidRPr="009926AC" w:rsidRDefault="00CD63FC" w:rsidP="009926A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D63FC" w:rsidRPr="009926AC">
        <w:trPr>
          <w:trHeight w:val="378"/>
        </w:trPr>
        <w:tc>
          <w:tcPr>
            <w:tcW w:w="425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2                       </w:t>
            </w:r>
          </w:p>
        </w:tc>
        <w:tc>
          <w:tcPr>
            <w:tcW w:w="238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2</w:t>
            </w:r>
          </w:p>
        </w:tc>
      </w:tr>
    </w:tbl>
    <w:p w:rsidR="00CD63FC" w:rsidRPr="00B47D63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 – Informácie o prijatých postupoch</w:t>
      </w:r>
    </w:p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II. 1 Informácia o splnení predpokladu nepretržitého pokračovania činnosti účtovnej jednotky: </w:t>
      </w:r>
    </w:p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63FC" w:rsidRPr="009916FF" w:rsidRDefault="00CD63FC" w:rsidP="009916FF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9916FF">
        <w:rPr>
          <w:rFonts w:ascii="Cambria" w:hAnsi="Cambria" w:cs="Arial"/>
        </w:rPr>
        <w:t xml:space="preserve">Účtovná jednotka bude nepretržite pokračovať vo svojej činnosti: </w:t>
      </w:r>
      <w:r w:rsidRPr="009916FF">
        <w:rPr>
          <w:rFonts w:ascii="Cambria" w:hAnsi="Cambria" w:cs="Arial"/>
          <w:color w:val="00B050"/>
        </w:rPr>
        <w:t>vyberte</w:t>
      </w:r>
    </w:p>
    <w:p w:rsidR="00CD63FC" w:rsidRPr="003466F3" w:rsidRDefault="00CD63FC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D63FC" w:rsidRPr="003466F3" w:rsidRDefault="00CD63FC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CD63FC" w:rsidRDefault="00CD63FC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D63FC" w:rsidRPr="00E023FE" w:rsidRDefault="00CD63FC" w:rsidP="009916FF">
      <w:pPr>
        <w:spacing w:line="240" w:lineRule="auto"/>
        <w:jc w:val="both"/>
        <w:rPr>
          <w:rFonts w:ascii="Cambria" w:hAnsi="Cambria" w:cs="Arial"/>
          <w:b/>
        </w:rPr>
      </w:pPr>
      <w:r w:rsidRPr="00C2623F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 xml:space="preserve">I. 2 </w:t>
      </w:r>
      <w:r w:rsidRPr="00C2623F">
        <w:rPr>
          <w:rFonts w:ascii="Cambria" w:eastAsia="MS Gothic" w:hAnsi="Cambria" w:cs="Arial"/>
          <w:b/>
        </w:rPr>
        <w:t>Spôsob oceňovania jednotlivých zložiek majetku a záväzkov:</w:t>
      </w:r>
      <w:r>
        <w:rPr>
          <w:rFonts w:ascii="Cambria" w:eastAsia="MS Gothic" w:hAnsi="Cambria" w:cs="Arial"/>
          <w:b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18"/>
        <w:gridCol w:w="2065"/>
        <w:gridCol w:w="2268"/>
      </w:tblGrid>
      <w:tr w:rsidR="00CD63FC" w:rsidRPr="009926AC">
        <w:tc>
          <w:tcPr>
            <w:tcW w:w="0" w:type="auto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Náklady spojené</w:t>
            </w:r>
          </w:p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 obstaraním</w:t>
            </w:r>
          </w:p>
        </w:tc>
      </w:tr>
      <w:tr w:rsidR="00CD63FC" w:rsidRPr="009926AC">
        <w:trPr>
          <w:trHeight w:val="340"/>
        </w:trPr>
        <w:tc>
          <w:tcPr>
            <w:tcW w:w="0" w:type="auto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40"/>
        </w:trPr>
        <w:tc>
          <w:tcPr>
            <w:tcW w:w="0" w:type="auto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40"/>
        </w:trPr>
        <w:tc>
          <w:tcPr>
            <w:tcW w:w="0" w:type="auto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40"/>
        </w:trPr>
        <w:tc>
          <w:tcPr>
            <w:tcW w:w="0" w:type="auto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40"/>
        </w:trPr>
        <w:tc>
          <w:tcPr>
            <w:tcW w:w="0" w:type="auto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40"/>
        </w:trPr>
        <w:tc>
          <w:tcPr>
            <w:tcW w:w="0" w:type="auto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40"/>
        </w:trPr>
        <w:tc>
          <w:tcPr>
            <w:tcW w:w="0" w:type="auto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40"/>
        </w:trPr>
        <w:tc>
          <w:tcPr>
            <w:tcW w:w="0" w:type="auto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40"/>
        </w:trPr>
        <w:tc>
          <w:tcPr>
            <w:tcW w:w="0" w:type="auto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Derivátové operácie</w:t>
            </w:r>
          </w:p>
        </w:tc>
        <w:tc>
          <w:tcPr>
            <w:tcW w:w="206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63FC" w:rsidRPr="00B47D63" w:rsidRDefault="00CD63FC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D63FC" w:rsidRPr="006E5C50" w:rsidRDefault="00CD63FC" w:rsidP="003D440E">
      <w:pPr>
        <w:pStyle w:val="ListParagraph"/>
        <w:spacing w:after="0" w:line="240" w:lineRule="auto"/>
        <w:ind w:left="0"/>
        <w:jc w:val="both"/>
        <w:rPr>
          <w:rFonts w:ascii="Cambria" w:hAnsi="Cambria" w:cs="Arial"/>
        </w:rPr>
      </w:pPr>
      <w:r>
        <w:rPr>
          <w:rFonts w:ascii="Cambria" w:eastAsia="MS Gothic" w:hAnsi="Cambria" w:cs="Arial"/>
          <w:b/>
        </w:rPr>
        <w:t xml:space="preserve">II. 3 </w:t>
      </w:r>
      <w:r w:rsidRPr="006E5C50">
        <w:rPr>
          <w:rFonts w:ascii="Cambria" w:eastAsia="MS Gothic" w:hAnsi="Cambria" w:cs="Arial"/>
          <w:b/>
        </w:rPr>
        <w:t>Spôsob zostavenia odpisového plánu dlhodobého majetku</w:t>
      </w:r>
    </w:p>
    <w:p w:rsidR="00CD63FC" w:rsidRPr="00B47D63" w:rsidRDefault="00CD63FC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D63FC" w:rsidRPr="00B47D63" w:rsidRDefault="00CD63FC" w:rsidP="003D440E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  <w:r w:rsidRPr="00B47D63">
        <w:rPr>
          <w:rFonts w:ascii="Cambria" w:hAnsi="Cambria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5"/>
        <w:gridCol w:w="2303"/>
        <w:gridCol w:w="2303"/>
        <w:gridCol w:w="2303"/>
      </w:tblGrid>
      <w:tr w:rsidR="00CD63FC" w:rsidRPr="009926AC">
        <w:trPr>
          <w:trHeight w:val="397"/>
        </w:trPr>
        <w:tc>
          <w:tcPr>
            <w:tcW w:w="219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Odpisová metóda</w:t>
            </w:r>
          </w:p>
        </w:tc>
      </w:tr>
      <w:tr w:rsidR="00CD63FC" w:rsidRPr="009926AC">
        <w:trPr>
          <w:trHeight w:val="397"/>
        </w:trPr>
        <w:tc>
          <w:tcPr>
            <w:tcW w:w="2195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Osobné vozidlo</w:t>
            </w: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25%</w:t>
            </w: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zrýchlená</w:t>
            </w:r>
          </w:p>
        </w:tc>
      </w:tr>
      <w:tr w:rsidR="00CD63FC" w:rsidRPr="009926AC">
        <w:trPr>
          <w:trHeight w:val="397"/>
        </w:trPr>
        <w:tc>
          <w:tcPr>
            <w:tcW w:w="2195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97"/>
        </w:trPr>
        <w:tc>
          <w:tcPr>
            <w:tcW w:w="2195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97"/>
        </w:trPr>
        <w:tc>
          <w:tcPr>
            <w:tcW w:w="2195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97"/>
        </w:trPr>
        <w:tc>
          <w:tcPr>
            <w:tcW w:w="2195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D63FC" w:rsidRPr="00B47D63" w:rsidRDefault="00CD63FC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D63FC" w:rsidRPr="00B47D63" w:rsidRDefault="00CD63FC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D63FC" w:rsidRDefault="00CD63F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MS Mincho" w:eastAsia="MS Mincho" w:hAnsi="MS Mincho" w:cs="MS Mincho"/>
          <w:b/>
        </w:rPr>
        <w:t>x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nehmotného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</w:t>
      </w:r>
      <w:r>
        <w:rPr>
          <w:rFonts w:ascii="Cambria" w:eastAsia="MS Gothic" w:hAnsi="Cambria" w:cs="Arial"/>
          <w:sz w:val="20"/>
          <w:szCs w:val="20"/>
        </w:rPr>
        <w:t xml:space="preserve">zostavený účtovnou jednotkou </w:t>
      </w:r>
      <w:r w:rsidRPr="00B47D63">
        <w:rPr>
          <w:rFonts w:ascii="Cambria" w:eastAsia="MS Gothic" w:hAnsi="Cambria" w:cs="Arial"/>
          <w:sz w:val="20"/>
          <w:szCs w:val="20"/>
        </w:rPr>
        <w:t>vychádza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 xml:space="preserve">z predpokladanej doby použiteľnosti dlhodobého nehmotného majetku </w:t>
      </w:r>
      <w:r>
        <w:rPr>
          <w:rFonts w:ascii="Cambria" w:eastAsia="MS Gothic" w:hAnsi="Cambria" w:cs="Arial"/>
          <w:sz w:val="20"/>
          <w:szCs w:val="20"/>
        </w:rPr>
        <w:t>a/</w:t>
      </w:r>
      <w:r w:rsidRPr="00B47D63">
        <w:rPr>
          <w:rFonts w:ascii="Cambria" w:eastAsia="MS Gothic" w:hAnsi="Cambria" w:cs="Arial"/>
          <w:sz w:val="20"/>
          <w:szCs w:val="20"/>
        </w:rPr>
        <w:t>alebo iných objektívnych predpokladov</w:t>
      </w:r>
      <w:r>
        <w:rPr>
          <w:rFonts w:ascii="Cambria" w:eastAsia="MS Gothic" w:hAnsi="Cambria" w:cs="Arial"/>
          <w:sz w:val="20"/>
          <w:szCs w:val="20"/>
        </w:rPr>
        <w:t xml:space="preserve"> (uviesť)</w:t>
      </w:r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CD63FC" w:rsidRDefault="00CD63F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D63FC" w:rsidRDefault="00CD63F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fldChar w:fldCharType="begin"/>
      </w:r>
      <w:r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>
        <w:rPr>
          <w:rFonts w:ascii="Cambria" w:eastAsia="MS Gothic" w:hAnsi="Cambria" w:cs="Arial"/>
          <w:b/>
          <w:sz w:val="20"/>
          <w:szCs w:val="20"/>
        </w:rPr>
        <w:fldChar w:fldCharType="separate"/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noProof/>
          <w:sz w:val="20"/>
          <w:szCs w:val="20"/>
        </w:rPr>
        <w:t> </w:t>
      </w:r>
      <w:r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D63FC" w:rsidRPr="00B47D63" w:rsidRDefault="00CD63F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D63FC" w:rsidRPr="00B47D63" w:rsidRDefault="00CD63F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D63FC" w:rsidRPr="00B47D63" w:rsidRDefault="00CD63FC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MS Mincho" w:eastAsia="MS Mincho" w:hAnsi="MS Mincho" w:cs="MS Mincho" w:hint="eastAsia"/>
          <w:b/>
        </w:rPr>
        <w:t>☐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>Odpisový plán bol ovplyvnený týmito rozhodnutiami:</w:t>
      </w:r>
    </w:p>
    <w:p w:rsidR="00CD63FC" w:rsidRPr="00B47D63" w:rsidRDefault="00CD63FC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CD63FC" w:rsidRPr="00B47D63" w:rsidRDefault="00CD63FC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Cambria" w:eastAsia="MS Gothic" w:hAnsi="Cambria" w:cs="Arial"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sz w:val="20"/>
          <w:szCs w:val="20"/>
        </w:rPr>
        <w:fldChar w:fldCharType="end"/>
      </w:r>
    </w:p>
    <w:p w:rsidR="00CD63FC" w:rsidRPr="00B47D63" w:rsidRDefault="00CD63F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D63FC" w:rsidRPr="00B47D63" w:rsidRDefault="00CD63FC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MS Mincho" w:eastAsia="MS Mincho" w:hAnsi="MS Mincho" w:cs="MS Mincho" w:hint="eastAsia"/>
          <w:b/>
        </w:rPr>
        <w:t>☐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zostav</w:t>
      </w:r>
      <w:r>
        <w:rPr>
          <w:rFonts w:ascii="Cambria" w:eastAsia="MS Gothic" w:hAnsi="Cambria" w:cs="Arial"/>
          <w:sz w:val="20"/>
          <w:szCs w:val="20"/>
        </w:rPr>
        <w:t xml:space="preserve">ený účtovnou jednotkou </w:t>
      </w:r>
      <w:r w:rsidRPr="00B47D63">
        <w:rPr>
          <w:rFonts w:ascii="Cambria" w:eastAsia="MS Gothic" w:hAnsi="Cambria" w:cs="Arial"/>
          <w:sz w:val="20"/>
          <w:szCs w:val="20"/>
        </w:rPr>
        <w:t>interným predpisom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 xml:space="preserve">vychádzal z predpokladaného opotrebenia zaraďovaného majetku zodpovedajúceho </w:t>
      </w:r>
      <w:r>
        <w:rPr>
          <w:rFonts w:ascii="Cambria" w:eastAsia="MS Gothic" w:hAnsi="Cambria" w:cs="Arial"/>
          <w:sz w:val="20"/>
          <w:szCs w:val="20"/>
        </w:rPr>
        <w:t>miere opotrebenia v bežných podmienkach</w:t>
      </w:r>
      <w:r w:rsidRPr="00B47D63">
        <w:rPr>
          <w:rFonts w:ascii="Cambria" w:eastAsia="MS Gothic" w:hAnsi="Cambria" w:cs="Arial"/>
          <w:sz w:val="20"/>
          <w:szCs w:val="20"/>
        </w:rPr>
        <w:t xml:space="preserve"> jeho používania. Odpisové sadzby pre účtovné a daňové odpisy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sz w:val="20"/>
          <w:szCs w:val="20"/>
        </w:rPr>
        <w:t xml:space="preserve"> </w:t>
      </w:r>
      <w:r w:rsidRPr="00B47D63">
        <w:rPr>
          <w:rFonts w:ascii="Cambria" w:eastAsia="MS Gothic" w:hAnsi="Cambria" w:cs="Arial"/>
          <w:b/>
          <w:sz w:val="20"/>
          <w:szCs w:val="20"/>
        </w:rPr>
        <w:t>sa nerovnajú</w:t>
      </w:r>
      <w:r w:rsidRPr="00B47D63">
        <w:rPr>
          <w:rFonts w:ascii="Cambria" w:eastAsia="MS Gothic" w:hAnsi="Cambria" w:cs="Arial"/>
          <w:sz w:val="20"/>
          <w:szCs w:val="20"/>
        </w:rPr>
        <w:t>.</w:t>
      </w:r>
    </w:p>
    <w:p w:rsidR="00CD63FC" w:rsidRPr="00B47D63" w:rsidRDefault="00CD63F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D63FC" w:rsidRDefault="00CD63FC" w:rsidP="003D440E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MS Mincho" w:eastAsia="MS Mincho" w:hAnsi="MS Mincho" w:cs="MS Mincho"/>
          <w:b/>
        </w:rPr>
        <w:t>x</w:t>
      </w:r>
      <w:r w:rsidRPr="00B47D63">
        <w:rPr>
          <w:rFonts w:ascii="Cambria" w:eastAsia="MS Gothic" w:hAnsi="Cambria" w:cs="Arial"/>
          <w:b/>
        </w:rPr>
        <w:tab/>
      </w:r>
      <w:r w:rsidRPr="00B47D63"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 w:rsidRPr="00B47D63">
        <w:rPr>
          <w:rFonts w:ascii="Cambria" w:eastAsia="MS Gothic" w:hAnsi="Cambria" w:cs="Arial"/>
          <w:b/>
          <w:sz w:val="20"/>
          <w:szCs w:val="20"/>
        </w:rPr>
        <w:t>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</w:t>
      </w:r>
      <w:r>
        <w:rPr>
          <w:rFonts w:ascii="Cambria" w:eastAsia="MS Gothic" w:hAnsi="Cambria" w:cs="Arial"/>
          <w:sz w:val="20"/>
          <w:szCs w:val="20"/>
        </w:rPr>
        <w:t xml:space="preserve">bol </w:t>
      </w:r>
      <w:r w:rsidRPr="00B47D63">
        <w:rPr>
          <w:rFonts w:ascii="Cambria" w:eastAsia="MS Gothic" w:hAnsi="Cambria" w:cs="Arial"/>
          <w:sz w:val="20"/>
          <w:szCs w:val="20"/>
        </w:rPr>
        <w:t>zostav</w:t>
      </w:r>
      <w:r>
        <w:rPr>
          <w:rFonts w:ascii="Cambria" w:eastAsia="MS Gothic" w:hAnsi="Cambria" w:cs="Arial"/>
          <w:sz w:val="20"/>
          <w:szCs w:val="20"/>
        </w:rPr>
        <w:t>ený účtovnou jednotkou</w:t>
      </w:r>
      <w:r w:rsidRPr="00B47D63">
        <w:rPr>
          <w:rFonts w:ascii="Cambria" w:eastAsia="MS Gothic" w:hAnsi="Cambria" w:cs="Arial"/>
          <w:sz w:val="20"/>
          <w:szCs w:val="20"/>
        </w:rPr>
        <w:t xml:space="preserve"> interným predpisom tak, že za základ</w:t>
      </w:r>
      <w:r>
        <w:rPr>
          <w:rFonts w:ascii="Cambria" w:eastAsia="MS Gothic" w:hAnsi="Cambria" w:cs="Arial"/>
          <w:sz w:val="20"/>
          <w:szCs w:val="20"/>
        </w:rPr>
        <w:t xml:space="preserve"> </w:t>
      </w:r>
      <w:r w:rsidRPr="003526D8">
        <w:rPr>
          <w:rFonts w:ascii="Cambria" w:eastAsia="MS Gothic" w:hAnsi="Cambria" w:cs="Arial"/>
          <w:sz w:val="20"/>
          <w:szCs w:val="20"/>
        </w:rPr>
        <w:t>odhadu miery opotrebenia dlhodobého hmotného majetku</w:t>
      </w:r>
      <w:r w:rsidRPr="00B47D63">
        <w:rPr>
          <w:rFonts w:ascii="Cambria" w:eastAsia="MS Gothic" w:hAnsi="Cambria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Pr="00B47D63">
        <w:rPr>
          <w:rFonts w:ascii="Cambria" w:eastAsia="MS Gothic" w:hAnsi="Cambria" w:cs="Arial"/>
          <w:b/>
          <w:sz w:val="20"/>
          <w:szCs w:val="20"/>
        </w:rPr>
        <w:t>sa rovnajú</w:t>
      </w:r>
      <w:r w:rsidRPr="00B47D63">
        <w:rPr>
          <w:rFonts w:ascii="Cambria" w:eastAsia="MS Gothic" w:hAnsi="Cambria" w:cs="Arial"/>
          <w:sz w:val="20"/>
          <w:szCs w:val="20"/>
        </w:rPr>
        <w:t xml:space="preserve">. Ročný účtovný odpis sa </w:t>
      </w:r>
      <w:r>
        <w:rPr>
          <w:rFonts w:ascii="Cambria" w:eastAsia="MS Gothic" w:hAnsi="Cambria" w:cs="Arial"/>
          <w:sz w:val="20"/>
          <w:szCs w:val="20"/>
        </w:rPr>
        <w:t>môže odlišovať</w:t>
      </w:r>
      <w:r w:rsidRPr="00B47D63">
        <w:rPr>
          <w:rFonts w:ascii="Cambria" w:eastAsia="MS Gothic" w:hAnsi="Cambria" w:cs="Arial"/>
          <w:sz w:val="20"/>
          <w:szCs w:val="20"/>
        </w:rPr>
        <w:t xml:space="preserve"> od daňového podľa počtu mesiacov od zaradenia </w:t>
      </w:r>
      <w:r>
        <w:rPr>
          <w:rFonts w:ascii="Cambria" w:eastAsia="MS Gothic" w:hAnsi="Cambria" w:cs="Arial"/>
          <w:sz w:val="20"/>
          <w:szCs w:val="20"/>
        </w:rPr>
        <w:t xml:space="preserve">majetku </w:t>
      </w:r>
      <w:r w:rsidRPr="00B47D63">
        <w:rPr>
          <w:rFonts w:ascii="Cambria" w:eastAsia="MS Gothic" w:hAnsi="Cambria" w:cs="Arial"/>
          <w:sz w:val="20"/>
          <w:szCs w:val="20"/>
        </w:rPr>
        <w:t>do konca roka.</w:t>
      </w:r>
    </w:p>
    <w:p w:rsidR="00CD63FC" w:rsidRDefault="00CD63F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D63FC" w:rsidRDefault="00CD63FC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k tvorbe odpisového plánu: </w:t>
      </w:r>
    </w:p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63FC" w:rsidRPr="00507AE7" w:rsidRDefault="00CD63FC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II. 4  </w:t>
      </w:r>
      <w:r w:rsidRPr="00507AE7">
        <w:rPr>
          <w:rFonts w:ascii="Cambria" w:hAnsi="Cambria" w:cs="Arial"/>
          <w:b/>
        </w:rPr>
        <w:t>Zmeny účtovných zásad a metód:</w:t>
      </w:r>
    </w:p>
    <w:p w:rsidR="00CD63FC" w:rsidRDefault="00CD63FC" w:rsidP="003D440E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D63FC" w:rsidRPr="009E0212" w:rsidRDefault="00CD63FC" w:rsidP="009E0212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CD63FC" w:rsidRPr="00A1752A" w:rsidRDefault="00CD63FC" w:rsidP="003D440E">
      <w:pPr>
        <w:spacing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>Nenastali</w:t>
      </w:r>
    </w:p>
    <w:p w:rsidR="00CD63FC" w:rsidRPr="00B47D63" w:rsidRDefault="00CD63FC" w:rsidP="003D440E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B47D63">
        <w:rPr>
          <w:rFonts w:ascii="Cambria" w:hAnsi="Cambria" w:cs="Arial"/>
          <w:sz w:val="20"/>
          <w:szCs w:val="20"/>
        </w:rPr>
        <w:t>Účtovné metódy a zásady boli aplikované v rámci platného ZoÚ</w:t>
      </w:r>
      <w:r>
        <w:rPr>
          <w:rFonts w:ascii="Cambria" w:hAnsi="Cambria" w:cs="Arial"/>
          <w:sz w:val="20"/>
          <w:szCs w:val="20"/>
        </w:rPr>
        <w:t xml:space="preserve">, </w:t>
      </w:r>
      <w:r w:rsidRPr="00B47D63">
        <w:rPr>
          <w:rFonts w:ascii="Cambria" w:hAnsi="Cambria" w:cs="Arial"/>
          <w:sz w:val="20"/>
          <w:szCs w:val="20"/>
        </w:rPr>
        <w:t xml:space="preserve"> s</w:t>
      </w:r>
      <w:r>
        <w:rPr>
          <w:rFonts w:ascii="Cambria" w:hAnsi="Cambria" w:cs="Arial"/>
          <w:sz w:val="20"/>
          <w:szCs w:val="20"/>
        </w:rPr>
        <w:t xml:space="preserve"> nasledovnými </w:t>
      </w:r>
      <w:r w:rsidRPr="00B47D63">
        <w:rPr>
          <w:rFonts w:ascii="Cambria" w:hAnsi="Cambria" w:cs="Arial"/>
          <w:sz w:val="20"/>
          <w:szCs w:val="20"/>
        </w:rPr>
        <w:t xml:space="preserve">osobitosťami: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835"/>
        <w:gridCol w:w="2977"/>
        <w:gridCol w:w="3203"/>
      </w:tblGrid>
      <w:tr w:rsidR="00CD63FC" w:rsidRPr="009926AC">
        <w:tc>
          <w:tcPr>
            <w:tcW w:w="283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Druh zmeny zásady</w:t>
            </w:r>
          </w:p>
          <w:p w:rsidR="00CD63FC" w:rsidRPr="009926AC" w:rsidRDefault="00CD63FC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6AC">
              <w:rPr>
                <w:rFonts w:ascii="Cambria" w:hAnsi="Cambria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CD63FC" w:rsidRPr="009926AC">
        <w:trPr>
          <w:trHeight w:val="397"/>
        </w:trPr>
        <w:tc>
          <w:tcPr>
            <w:tcW w:w="2835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D63FC" w:rsidRPr="009926AC">
        <w:trPr>
          <w:trHeight w:val="397"/>
        </w:trPr>
        <w:tc>
          <w:tcPr>
            <w:tcW w:w="2835" w:type="dxa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D63FC" w:rsidRPr="009926AC">
        <w:trPr>
          <w:trHeight w:val="397"/>
        </w:trPr>
        <w:tc>
          <w:tcPr>
            <w:tcW w:w="2835" w:type="dxa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D63FC" w:rsidRPr="009926AC">
        <w:trPr>
          <w:trHeight w:val="397"/>
        </w:trPr>
        <w:tc>
          <w:tcPr>
            <w:tcW w:w="2835" w:type="dxa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D63FC" w:rsidRPr="009926AC">
        <w:trPr>
          <w:trHeight w:val="397"/>
        </w:trPr>
        <w:tc>
          <w:tcPr>
            <w:tcW w:w="2835" w:type="dxa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CD63FC" w:rsidRPr="009926AC">
        <w:trPr>
          <w:trHeight w:val="397"/>
        </w:trPr>
        <w:tc>
          <w:tcPr>
            <w:tcW w:w="2835" w:type="dxa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CD63FC" w:rsidRPr="00B47D63" w:rsidRDefault="00CD63FC" w:rsidP="003D440E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D63FC" w:rsidRDefault="00CD63FC" w:rsidP="003D440E">
      <w:pPr>
        <w:spacing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63FC" w:rsidRPr="00FA30A7" w:rsidRDefault="00CD63FC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II. 5</w:t>
      </w:r>
      <w:r w:rsidRPr="00FA30A7">
        <w:rPr>
          <w:rFonts w:ascii="Cambria" w:hAnsi="Cambria" w:cs="Arial"/>
          <w:b/>
        </w:rPr>
        <w:t xml:space="preserve"> Dotácie poskytnuté na obstaranie majetku:</w:t>
      </w:r>
      <w:r>
        <w:rPr>
          <w:rFonts w:ascii="Cambria" w:hAnsi="Cambria" w:cs="Arial"/>
          <w:b/>
        </w:rPr>
        <w:t xml:space="preserve"> neboli </w:t>
      </w:r>
    </w:p>
    <w:p w:rsidR="00CD63FC" w:rsidRPr="00B47D63" w:rsidRDefault="00CD63FC" w:rsidP="00E136FB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2"/>
        <w:gridCol w:w="3071"/>
        <w:gridCol w:w="3071"/>
      </w:tblGrid>
      <w:tr w:rsidR="00CD63FC" w:rsidRPr="009926AC">
        <w:trPr>
          <w:trHeight w:val="394"/>
        </w:trPr>
        <w:tc>
          <w:tcPr>
            <w:tcW w:w="2962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Majetok obstaraný z dotácie</w:t>
            </w: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Výška dotácie</w:t>
            </w:r>
          </w:p>
        </w:tc>
      </w:tr>
      <w:tr w:rsidR="00CD63FC" w:rsidRPr="009926AC">
        <w:trPr>
          <w:trHeight w:val="397"/>
        </w:trPr>
        <w:tc>
          <w:tcPr>
            <w:tcW w:w="2962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97"/>
        </w:trPr>
        <w:tc>
          <w:tcPr>
            <w:tcW w:w="2962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97"/>
        </w:trPr>
        <w:tc>
          <w:tcPr>
            <w:tcW w:w="2962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D63FC" w:rsidRDefault="00CD63FC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D63FC" w:rsidRPr="00B47D63" w:rsidRDefault="00CD63FC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D63FC" w:rsidRPr="008B2DBA" w:rsidRDefault="00CD63FC" w:rsidP="00E136FB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 w:rsidRPr="008B2DBA">
        <w:rPr>
          <w:rFonts w:ascii="Cambria" w:hAnsi="Cambria" w:cs="Arial"/>
          <w:b/>
        </w:rPr>
        <w:t>I</w:t>
      </w:r>
      <w:r>
        <w:rPr>
          <w:rFonts w:ascii="Cambria" w:hAnsi="Cambria" w:cs="Arial"/>
          <w:b/>
        </w:rPr>
        <w:t xml:space="preserve">I. 6 </w:t>
      </w:r>
      <w:r w:rsidRPr="008B2DBA">
        <w:rPr>
          <w:rFonts w:ascii="Cambria" w:hAnsi="Cambria" w:cs="Arial"/>
          <w:b/>
        </w:rPr>
        <w:t>Oprava významných a nevýznamných chýb minulých účtovných období vykonaných v bežnom účtovnom období:</w:t>
      </w:r>
    </w:p>
    <w:p w:rsidR="00CD63FC" w:rsidRPr="00B47D63" w:rsidRDefault="00CD63FC" w:rsidP="00E136FB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2"/>
        <w:gridCol w:w="3071"/>
        <w:gridCol w:w="3071"/>
      </w:tblGrid>
      <w:tr w:rsidR="00CD63FC" w:rsidRPr="009926AC">
        <w:trPr>
          <w:trHeight w:val="397"/>
        </w:trPr>
        <w:tc>
          <w:tcPr>
            <w:tcW w:w="2962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CD63FC" w:rsidRPr="009926AC">
        <w:trPr>
          <w:trHeight w:val="397"/>
        </w:trPr>
        <w:tc>
          <w:tcPr>
            <w:tcW w:w="2962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 w:rsidRPr="009926AC">
              <w:rPr>
                <w:rFonts w:ascii="Cambria" w:hAnsi="Cambria" w:cs="Arial"/>
                <w:b/>
                <w:sz w:val="20"/>
                <w:szCs w:val="20"/>
              </w:rPr>
              <w:t>významných</w:t>
            </w:r>
            <w:r w:rsidRPr="009926AC">
              <w:rPr>
                <w:rFonts w:ascii="Cambria" w:hAnsi="Cambria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D63FC" w:rsidRPr="009926AC">
        <w:trPr>
          <w:trHeight w:val="397"/>
        </w:trPr>
        <w:tc>
          <w:tcPr>
            <w:tcW w:w="2962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 w:rsidRPr="009926AC"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 w:rsidRPr="009926AC">
              <w:rPr>
                <w:rFonts w:ascii="Cambria" w:hAnsi="Cambria" w:cs="Arial"/>
                <w:b/>
                <w:sz w:val="20"/>
                <w:szCs w:val="20"/>
              </w:rPr>
              <w:t>nevýznamných</w:t>
            </w:r>
            <w:r w:rsidRPr="009926AC">
              <w:rPr>
                <w:rFonts w:ascii="Cambria" w:hAnsi="Cambria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D63FC" w:rsidRDefault="00CD63FC" w:rsidP="00E136FB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63FC" w:rsidRDefault="00CD63FC" w:rsidP="006449B1">
      <w:pPr>
        <w:spacing w:after="0" w:line="240" w:lineRule="auto"/>
        <w:jc w:val="both"/>
        <w:rPr>
          <w:rFonts w:ascii="Cambria" w:hAnsi="Cambria" w:cs="Arial"/>
          <w:b/>
        </w:rPr>
      </w:pPr>
    </w:p>
    <w:p w:rsidR="00CD63FC" w:rsidRPr="009916FF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63FC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III – Informácie, ktoré vysvetľujú a dopĺňajú súvahu a výkaz ziskov a strát</w:t>
      </w:r>
    </w:p>
    <w:p w:rsidR="00CD63FC" w:rsidRPr="00C42283" w:rsidRDefault="00CD63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63FC" w:rsidRPr="00C42283" w:rsidRDefault="00CD63FC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C42283">
        <w:rPr>
          <w:rFonts w:ascii="Cambria" w:eastAsia="MS Gothic" w:hAnsi="Cambria"/>
          <w:b/>
        </w:rPr>
        <w:t xml:space="preserve">III. 1 Informácie o sume a dôvodoch vzniku jednotlivých položiek nákladov alebo </w:t>
      </w:r>
      <w:r w:rsidRPr="00C42283">
        <w:rPr>
          <w:rFonts w:ascii="Cambria" w:eastAsia="MS Gothic" w:hAnsi="Cambria"/>
          <w:b/>
        </w:rPr>
        <w:tab/>
        <w:t>výnosov, ktoré majú výnimočný rozsah alebo výskyt: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CD63FC" w:rsidRPr="009926AC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</w:t>
            </w:r>
          </w:p>
        </w:tc>
      </w:tr>
      <w:tr w:rsidR="00CD63FC" w:rsidRPr="009926AC">
        <w:tc>
          <w:tcPr>
            <w:tcW w:w="3672" w:type="dxa"/>
            <w:tcBorders>
              <w:top w:val="single" w:sz="12" w:space="0" w:color="auto"/>
            </w:tcBorders>
          </w:tcPr>
          <w:p w:rsidR="00CD63FC" w:rsidRPr="00D91F35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>
              <w:rPr>
                <w:rFonts w:ascii="Cambria" w:eastAsia="MS Gothic" w:hAnsi="Cambria"/>
                <w:b/>
                <w:sz w:val="20"/>
                <w:szCs w:val="20"/>
              </w:rPr>
              <w:t>Dotácia z dôvodu Opatrenia 3A a 3B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CD63FC" w:rsidRPr="00D91F35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>
              <w:rPr>
                <w:rFonts w:ascii="Cambria" w:eastAsia="MS Gothic" w:hAnsi="Cambria"/>
                <w:b/>
                <w:sz w:val="20"/>
                <w:szCs w:val="20"/>
              </w:rPr>
              <w:t>Pomáhame ľuďom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CD63FC" w:rsidRPr="00D91F35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D91F35">
              <w:rPr>
                <w:rFonts w:ascii="Cambria" w:eastAsia="MS Gothic" w:hAnsi="Cambria"/>
                <w:b/>
                <w:sz w:val="20"/>
                <w:szCs w:val="20"/>
              </w:rPr>
              <w:t xml:space="preserve">  </w:t>
            </w:r>
            <w:r>
              <w:rPr>
                <w:rFonts w:ascii="Cambria" w:eastAsia="MS Gothic" w:hAnsi="Cambria"/>
                <w:b/>
                <w:sz w:val="20"/>
                <w:szCs w:val="20"/>
              </w:rPr>
              <w:t xml:space="preserve">     </w:t>
            </w:r>
            <w:r w:rsidRPr="00D91F35">
              <w:rPr>
                <w:rFonts w:ascii="Cambria" w:eastAsia="MS Gothic" w:hAnsi="Cambria"/>
                <w:b/>
                <w:sz w:val="20"/>
                <w:szCs w:val="20"/>
              </w:rPr>
              <w:t xml:space="preserve">      </w:t>
            </w:r>
            <w:r>
              <w:rPr>
                <w:rFonts w:ascii="Cambria" w:eastAsia="MS Gothic" w:hAnsi="Cambria"/>
                <w:b/>
                <w:sz w:val="20"/>
                <w:szCs w:val="20"/>
              </w:rPr>
              <w:t>1.767,60</w:t>
            </w:r>
            <w:r w:rsidRPr="00D91F35">
              <w:rPr>
                <w:rFonts w:ascii="Cambria" w:eastAsia="MS Gothic" w:hAnsi="Cambria"/>
                <w:b/>
                <w:sz w:val="20"/>
                <w:szCs w:val="20"/>
              </w:rPr>
              <w:t xml:space="preserve"> €</w:t>
            </w:r>
          </w:p>
        </w:tc>
      </w:tr>
      <w:tr w:rsidR="00CD63FC" w:rsidRPr="009926AC">
        <w:tc>
          <w:tcPr>
            <w:tcW w:w="3672" w:type="dxa"/>
          </w:tcPr>
          <w:p w:rsidR="00CD63FC" w:rsidRPr="00D91F35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2970" w:type="dxa"/>
          </w:tcPr>
          <w:p w:rsidR="00CD63FC" w:rsidRPr="00D91F35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CD63FC" w:rsidRPr="00D91F35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</w:tr>
      <w:tr w:rsidR="00CD63FC" w:rsidRPr="009926AC">
        <w:tc>
          <w:tcPr>
            <w:tcW w:w="3672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CD63FC" w:rsidRPr="009926AC">
        <w:tc>
          <w:tcPr>
            <w:tcW w:w="3672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CD63FC" w:rsidRPr="009926AC">
        <w:tc>
          <w:tcPr>
            <w:tcW w:w="3672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  <w:tr w:rsidR="00CD63FC" w:rsidRPr="009926AC">
        <w:tc>
          <w:tcPr>
            <w:tcW w:w="3672" w:type="dxa"/>
            <w:tcBorders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32"/>
                <w:szCs w:val="24"/>
              </w:rPr>
            </w:pPr>
          </w:p>
        </w:tc>
      </w:tr>
    </w:tbl>
    <w:p w:rsidR="00CD63FC" w:rsidRDefault="00CD63FC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Default="00CD63FC" w:rsidP="006F58E4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  <w:sz w:val="24"/>
          <w:szCs w:val="24"/>
        </w:rPr>
        <w:t xml:space="preserve">III. 2 </w:t>
      </w:r>
      <w:r>
        <w:rPr>
          <w:rFonts w:ascii="Cambria" w:eastAsia="MS Gothic" w:hAnsi="Cambria"/>
          <w:b/>
        </w:rPr>
        <w:t>Informácie o záväzkoch</w:t>
      </w:r>
    </w:p>
    <w:p w:rsidR="00CD63FC" w:rsidRPr="00291DE9" w:rsidRDefault="00CD63FC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291DE9">
        <w:rPr>
          <w:rFonts w:ascii="Cambria" w:eastAsia="MS Gothic" w:hAnsi="Cambria"/>
          <w:b/>
        </w:rPr>
        <w:t>III. 2 a) Záväzky so zostatkovou dobou splatnosti dlhšou ako päť rokov: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CD63F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D63F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</w:tr>
      <w:tr w:rsidR="00CD63F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 xml:space="preserve">                  28.238,60 €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 xml:space="preserve">              15.685,50 €</w:t>
            </w:r>
          </w:p>
        </w:tc>
      </w:tr>
      <w:tr w:rsidR="00CD63F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63F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 xml:space="preserve">                28.238,60 €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63F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 xml:space="preserve">             15.685,50 €</w:t>
            </w:r>
          </w:p>
        </w:tc>
      </w:tr>
      <w:tr w:rsidR="00CD63FC" w:rsidRPr="009926AC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4"/>
                <w:szCs w:val="24"/>
              </w:rPr>
            </w:pPr>
            <w:r w:rsidRPr="009926AC">
              <w:rPr>
                <w:rFonts w:ascii="Cambria" w:eastAsia="MS Gothic" w:hAnsi="Cambria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D63FC" w:rsidRDefault="00CD63FC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6F58E4" w:rsidRDefault="00CD63FC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6F58E4" w:rsidRDefault="00CD63FC" w:rsidP="006F58E4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 xml:space="preserve">III. 2 b) </w:t>
      </w:r>
      <w:r w:rsidRPr="006F58E4">
        <w:rPr>
          <w:rFonts w:ascii="Cambria" w:eastAsia="MS Gothic" w:hAnsi="Cambria"/>
          <w:b/>
        </w:rPr>
        <w:t>Hodnota záväzkov zabezpečená záložným právom: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CD63FC" w:rsidRPr="009926AC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 záväzku zabezpečená</w:t>
            </w:r>
          </w:p>
        </w:tc>
      </w:tr>
      <w:tr w:rsidR="00CD63FC" w:rsidRPr="009926AC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Inou formou zabezpečenia</w:t>
            </w:r>
          </w:p>
        </w:tc>
      </w:tr>
      <w:tr w:rsidR="00CD63FC" w:rsidRPr="009926AC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387" w:type="dxa"/>
            <w:tcBorders>
              <w:lef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387" w:type="dxa"/>
            <w:tcBorders>
              <w:lef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387" w:type="dxa"/>
            <w:tcBorders>
              <w:lef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D63FC" w:rsidRDefault="00CD63FC" w:rsidP="006F58E4">
      <w:pPr>
        <w:spacing w:after="360"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3D04F2" w:rsidRDefault="00CD63FC" w:rsidP="003D04F2">
      <w:pPr>
        <w:spacing w:after="360" w:line="240" w:lineRule="auto"/>
        <w:jc w:val="both"/>
        <w:rPr>
          <w:rFonts w:ascii="Cambria" w:eastAsia="MS Gothic" w:hAnsi="Cambria"/>
          <w:b/>
        </w:rPr>
      </w:pPr>
      <w:r w:rsidRPr="006449B1">
        <w:rPr>
          <w:rFonts w:ascii="Cambria" w:eastAsia="MS Gothic" w:hAnsi="Cambria"/>
          <w:b/>
        </w:rPr>
        <w:t>I</w:t>
      </w:r>
      <w:r>
        <w:rPr>
          <w:rFonts w:ascii="Cambria" w:eastAsia="MS Gothic" w:hAnsi="Cambria"/>
          <w:b/>
        </w:rPr>
        <w:t>II</w:t>
      </w:r>
      <w:r w:rsidRPr="006449B1">
        <w:rPr>
          <w:rFonts w:ascii="Cambria" w:eastAsia="MS Gothic" w:hAnsi="Cambria"/>
          <w:b/>
        </w:rPr>
        <w:t xml:space="preserve">. 3 </w:t>
      </w:r>
      <w:r w:rsidRPr="00684432">
        <w:rPr>
          <w:rFonts w:ascii="Cambria" w:eastAsia="MS Gothic" w:hAnsi="Cambria" w:cs="Arial"/>
          <w:b/>
        </w:rPr>
        <w:t>Informácie o vlastných akciách: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CD63FC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Bežné účtovné obdobie</w:t>
            </w:r>
          </w:p>
        </w:tc>
      </w:tr>
      <w:tr w:rsidR="00CD63FC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Stav na konci účtovného obdobia</w:t>
            </w:r>
          </w:p>
        </w:tc>
      </w:tr>
      <w:tr w:rsidR="00CD63FC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Podiel na upísanom ZI v %</w:t>
            </w:r>
          </w:p>
        </w:tc>
        <w:tc>
          <w:tcPr>
            <w:tcW w:w="1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Podiel na upísanom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D63FC" w:rsidRPr="00B47D63" w:rsidRDefault="00CD63FC" w:rsidP="006449B1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t>Ďalšie dôležité informácie o vlastných akciách:</w:t>
      </w:r>
    </w:p>
    <w:p w:rsidR="00CD63FC" w:rsidRPr="00B47D63" w:rsidRDefault="00CD63FC" w:rsidP="006449B1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D63FC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B854F9" w:rsidRDefault="00CD63FC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III. 4 Informácia o tvorbe kapitálového fondu z príspevkov:</w:t>
      </w:r>
    </w:p>
    <w:p w:rsidR="00CD63FC" w:rsidRPr="00B854F9" w:rsidRDefault="00CD63FC" w:rsidP="006449B1">
      <w:pPr>
        <w:spacing w:line="240" w:lineRule="auto"/>
        <w:jc w:val="both"/>
        <w:rPr>
          <w:rFonts w:ascii="Cambria" w:eastAsia="MS Gothic" w:hAnsi="Cambria"/>
        </w:rPr>
      </w:pPr>
      <w:r w:rsidRPr="00B854F9">
        <w:rPr>
          <w:rFonts w:ascii="Cambria" w:eastAsia="MS Gothic" w:hAnsi="Cambria"/>
        </w:rPr>
        <w:t xml:space="preserve">Účtovná jednotka </w:t>
      </w:r>
      <w:r w:rsidRPr="00B854F9">
        <w:rPr>
          <w:rFonts w:ascii="Cambria" w:eastAsia="MS Gothic" w:hAnsi="Cambria"/>
          <w:b/>
        </w:rPr>
        <w:t>nevytvorila</w:t>
      </w:r>
      <w:r w:rsidRPr="00B854F9">
        <w:rPr>
          <w:rFonts w:ascii="Cambria" w:eastAsia="MS Gothic" w:hAnsi="Cambria"/>
        </w:rPr>
        <w:t xml:space="preserve"> v účtovnom období kapitálový fond z príspevkov podľa § 123 odsek 2 a 217a Kapitálový fond z príspevkov Obchodného zákonníka </w:t>
      </w:r>
      <w:r>
        <w:rPr>
          <w:rFonts w:ascii="Cambria" w:eastAsia="MS Gothic" w:hAnsi="Cambria"/>
        </w:rPr>
        <w:t>(v znení neskorších predpisov)</w:t>
      </w:r>
    </w:p>
    <w:p w:rsidR="00CD63FC" w:rsidRDefault="00CD63FC" w:rsidP="006449B1">
      <w:pPr>
        <w:spacing w:line="240" w:lineRule="auto"/>
        <w:jc w:val="both"/>
        <w:rPr>
          <w:rFonts w:ascii="Cambria" w:eastAsia="MS Gothic" w:hAnsi="Cambria"/>
          <w:i/>
          <w:sz w:val="20"/>
          <w:szCs w:val="20"/>
        </w:rPr>
      </w:pPr>
    </w:p>
    <w:p w:rsidR="00CD63FC" w:rsidRDefault="00CD63FC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CD63FC" w:rsidRPr="00950934" w:rsidRDefault="00CD63FC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III. 5 a),</w:t>
      </w:r>
      <w:r>
        <w:rPr>
          <w:rFonts w:ascii="Cambria" w:eastAsia="MS Gothic" w:hAnsi="Cambria"/>
          <w:b/>
        </w:rPr>
        <w:t xml:space="preserve"> b), d) </w:t>
      </w:r>
      <w:r w:rsidRPr="00950934">
        <w:rPr>
          <w:rFonts w:ascii="Cambria" w:eastAsia="MS Gothic" w:hAnsi="Cambria"/>
          <w:b/>
        </w:rPr>
        <w:t>Informácie o orgánoch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CD63FC" w:rsidRPr="009926AC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CD63FC" w:rsidRPr="009926AC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b/>
                <w:sz w:val="20"/>
                <w:szCs w:val="24"/>
              </w:rPr>
              <w:t>iných</w:t>
            </w:r>
          </w:p>
        </w:tc>
      </w:tr>
      <w:tr w:rsidR="00CD63FC" w:rsidRPr="009926AC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Finančné prostriedky a iné plnenie použité na súkromné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950934" w:rsidRDefault="00CD63FC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5</w:t>
      </w:r>
      <w:r>
        <w:rPr>
          <w:rFonts w:ascii="Cambria" w:eastAsia="MS Gothic" w:hAnsi="Cambria"/>
          <w:b/>
        </w:rPr>
        <w:t xml:space="preserve"> c</w:t>
      </w:r>
      <w:r w:rsidRPr="00950934">
        <w:rPr>
          <w:rFonts w:ascii="Cambria" w:eastAsia="MS Gothic" w:hAnsi="Cambria"/>
          <w:b/>
        </w:rPr>
        <w:t xml:space="preserve">) Hlavné podmienky, na základe ktorých boli záruky alebo iné zabezpečenia </w:t>
      </w:r>
      <w:r w:rsidRPr="00950934">
        <w:rPr>
          <w:rFonts w:ascii="Cambria" w:eastAsia="MS Gothic" w:hAnsi="Cambria"/>
          <w:b/>
        </w:rPr>
        <w:tab/>
        <w:t>poskytnuté (pri pôžičkách sa uvádzajú úrokové sadzby):</w:t>
      </w:r>
    </w:p>
    <w:p w:rsidR="00CD63FC" w:rsidRPr="00B47D63" w:rsidRDefault="00CD63FC" w:rsidP="003D04F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D63FC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950934" w:rsidRDefault="00CD63FC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950934"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6 a)</w:t>
      </w:r>
      <w:r w:rsidRPr="00950934">
        <w:rPr>
          <w:rFonts w:ascii="Cambria" w:eastAsia="MS Gothic" w:hAnsi="Cambria"/>
          <w:b/>
        </w:rPr>
        <w:t xml:space="preserve"> Informácie o celkovej sume finančných povinností, ktoré sa nevykazujú v súvahe: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CD63FC" w:rsidRPr="009926AC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voči dcérskej ÚJ  a ÚJ s podstatným vplyvom</w:t>
            </w:r>
          </w:p>
        </w:tc>
      </w:tr>
      <w:tr w:rsidR="00CD63FC" w:rsidRPr="009926AC">
        <w:tc>
          <w:tcPr>
            <w:tcW w:w="3823" w:type="dxa"/>
            <w:tcBorders>
              <w:top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82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82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823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D63FC" w:rsidRPr="00950934" w:rsidRDefault="00CD63FC" w:rsidP="006449B1">
      <w:pPr>
        <w:spacing w:before="120" w:line="240" w:lineRule="auto"/>
        <w:jc w:val="both"/>
        <w:rPr>
          <w:rFonts w:ascii="Cambria" w:eastAsia="MS Gothic" w:hAnsi="Cambria"/>
          <w:b/>
        </w:rPr>
      </w:pPr>
      <w:r w:rsidRPr="00950934">
        <w:rPr>
          <w:rFonts w:ascii="Cambria" w:eastAsia="MS Gothic" w:hAnsi="Cambria"/>
          <w:b/>
        </w:rPr>
        <w:t>Opis významných finančných povinností:</w:t>
      </w: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6 b</w:t>
      </w:r>
      <w:r>
        <w:rPr>
          <w:rFonts w:ascii="Cambria" w:eastAsia="MS Gothic" w:hAnsi="Cambria"/>
          <w:b/>
        </w:rPr>
        <w:t xml:space="preserve">) </w:t>
      </w:r>
      <w:r w:rsidRPr="00F52202">
        <w:rPr>
          <w:rFonts w:ascii="Cambria" w:eastAsia="MS Gothic" w:hAnsi="Cambria"/>
          <w:b/>
        </w:rPr>
        <w:t>Informácie o významných podmienených záväzkoch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CD63FC" w:rsidRPr="009926AC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Bežné účtovné obdobie</w:t>
            </w:r>
          </w:p>
        </w:tc>
      </w:tr>
      <w:tr w:rsidR="00CD63FC" w:rsidRPr="009926AC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3FC" w:rsidRPr="009926AC" w:rsidRDefault="00CD63FC" w:rsidP="009926A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9926AC">
              <w:rPr>
                <w:rFonts w:ascii="Cambria" w:eastAsia="MS Gothic" w:hAnsi="Cambria"/>
                <w:b/>
              </w:rPr>
              <w:t>Hodnota voči dcérskej ÚJ                a ÚJ s podstatným vplyvom</w:t>
            </w:r>
          </w:p>
        </w:tc>
      </w:tr>
      <w:tr w:rsidR="00CD63FC" w:rsidRPr="009926AC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CD63FC" w:rsidRPr="009926A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rPr>
                <w:rFonts w:ascii="Cambria" w:eastAsia="MS Gothic" w:hAnsi="Cambria"/>
                <w:sz w:val="20"/>
                <w:szCs w:val="24"/>
              </w:rPr>
            </w:pPr>
            <w:r w:rsidRPr="009926AC">
              <w:rPr>
                <w:rFonts w:ascii="Cambria" w:eastAsia="MS Gothic" w:hAnsi="Cambria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63FC" w:rsidRPr="009926AC" w:rsidRDefault="00CD63FC" w:rsidP="009926AC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</w:tbl>
    <w:p w:rsidR="00CD63FC" w:rsidRPr="00F52202" w:rsidRDefault="00CD63FC" w:rsidP="006449B1">
      <w:pPr>
        <w:spacing w:before="120" w:after="0" w:line="240" w:lineRule="auto"/>
        <w:jc w:val="both"/>
        <w:rPr>
          <w:rFonts w:ascii="Cambria" w:hAnsi="Cambria"/>
          <w:b/>
          <w:bCs/>
          <w:color w:val="000000"/>
          <w:lang w:eastAsia="sk-SK"/>
        </w:rPr>
      </w:pPr>
      <w:r w:rsidRPr="00F52202">
        <w:rPr>
          <w:rFonts w:ascii="Cambria" w:hAnsi="Cambria"/>
          <w:b/>
          <w:bCs/>
          <w:color w:val="000000"/>
          <w:lang w:eastAsia="sk-SK"/>
        </w:rPr>
        <w:t>Opis významných podmienených záväzkov:</w:t>
      </w: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 xml:space="preserve">III. </w:t>
      </w:r>
      <w:r w:rsidRPr="00B854F9">
        <w:rPr>
          <w:rFonts w:ascii="Cambria" w:eastAsia="MS Gothic" w:hAnsi="Cambria"/>
          <w:b/>
        </w:rPr>
        <w:t>6</w:t>
      </w:r>
      <w:r>
        <w:rPr>
          <w:rFonts w:ascii="Cambria" w:eastAsia="MS Gothic" w:hAnsi="Cambria"/>
          <w:b/>
        </w:rPr>
        <w:t xml:space="preserve"> e) </w:t>
      </w:r>
      <w:r w:rsidRPr="00F52202">
        <w:rPr>
          <w:rFonts w:ascii="Cambria" w:eastAsia="MS Gothic" w:hAnsi="Cambria"/>
          <w:b/>
        </w:rPr>
        <w:t xml:space="preserve">Opis významných povinností účtovnej jednotky vyplývajúcich z dôchodkových </w:t>
      </w:r>
      <w:r w:rsidRPr="00F52202">
        <w:rPr>
          <w:rFonts w:ascii="Cambria" w:eastAsia="MS Gothic" w:hAnsi="Cambria"/>
          <w:b/>
        </w:rPr>
        <w:tab/>
        <w:t>programov pre zamestnancov:</w:t>
      </w:r>
    </w:p>
    <w:p w:rsidR="00CD63FC" w:rsidRPr="00B47D63" w:rsidRDefault="00CD63FC" w:rsidP="003D04F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CD63FC" w:rsidRPr="00F52202" w:rsidRDefault="00CD63FC" w:rsidP="006449B1">
      <w:pPr>
        <w:spacing w:line="240" w:lineRule="auto"/>
        <w:jc w:val="both"/>
        <w:rPr>
          <w:rFonts w:ascii="Cambria" w:eastAsia="MS Gothic" w:hAnsi="Cambria"/>
        </w:rPr>
      </w:pPr>
      <w:r>
        <w:rPr>
          <w:rFonts w:ascii="Cambria" w:eastAsia="MS Gothic" w:hAnsi="Cambria"/>
          <w:b/>
        </w:rPr>
        <w:t>III</w:t>
      </w:r>
      <w:r w:rsidRPr="00B854F9">
        <w:rPr>
          <w:rFonts w:ascii="Cambria" w:eastAsia="MS Gothic" w:hAnsi="Cambria"/>
          <w:b/>
        </w:rPr>
        <w:t>. 7  Informácie</w:t>
      </w:r>
      <w:bookmarkStart w:id="1" w:name="_GoBack"/>
      <w:bookmarkEnd w:id="1"/>
      <w:r w:rsidRPr="00F52202">
        <w:rPr>
          <w:rFonts w:ascii="Cambria" w:eastAsia="MS Gothic" w:hAnsi="Cambria"/>
          <w:b/>
        </w:rPr>
        <w:t xml:space="preserve"> o udelení výlučného práva alebo osobitného práva, ktorým sa udelilo </w:t>
      </w:r>
      <w:r w:rsidRPr="00F52202">
        <w:rPr>
          <w:rFonts w:ascii="Cambria" w:eastAsia="MS Gothic" w:hAnsi="Cambria"/>
          <w:b/>
        </w:rPr>
        <w:tab/>
        <w:t xml:space="preserve">právo poskytovať služby vo verejnom záujme (uvádza sa aj náhrada za túto </w:t>
      </w:r>
      <w:r w:rsidRPr="00F52202">
        <w:rPr>
          <w:rFonts w:ascii="Cambria" w:eastAsia="MS Gothic" w:hAnsi="Cambria"/>
          <w:b/>
        </w:rPr>
        <w:tab/>
        <w:t>činnosť v akejkoľvek forme):</w:t>
      </w:r>
    </w:p>
    <w:p w:rsidR="00CD63FC" w:rsidRPr="00B47D63" w:rsidRDefault="00CD63FC" w:rsidP="003D04F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 w:rsidRPr="00B47D63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Pr="00B47D63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47D63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CD63FC" w:rsidRDefault="00CD63FC" w:rsidP="005D2D0F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CD63FC" w:rsidRPr="00C23DFB" w:rsidRDefault="00CD63FC" w:rsidP="005D2D0F">
      <w:pPr>
        <w:spacing w:before="24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Bratislava, 20.05.2022</w:t>
      </w:r>
      <w:r>
        <w:rPr>
          <w:rFonts w:ascii="Cambria" w:eastAsia="MS Gothic" w:hAnsi="Cambria" w:cs="Arial"/>
          <w:i/>
          <w:sz w:val="20"/>
          <w:szCs w:val="20"/>
        </w:rPr>
        <w:tab/>
      </w:r>
    </w:p>
    <w:sectPr w:rsidR="00CD63FC" w:rsidRPr="00C23DFB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3FC" w:rsidRDefault="00CD63FC" w:rsidP="00F0301D">
      <w:pPr>
        <w:spacing w:after="0" w:line="240" w:lineRule="auto"/>
      </w:pPr>
      <w:r>
        <w:separator/>
      </w:r>
    </w:p>
  </w:endnote>
  <w:endnote w:type="continuationSeparator" w:id="0">
    <w:p w:rsidR="00CD63FC" w:rsidRDefault="00CD63F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3FC" w:rsidRPr="00143D5B" w:rsidRDefault="00CD63FC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8</w:t>
    </w:r>
    <w:r w:rsidRPr="00143D5B">
      <w:rPr>
        <w:rFonts w:ascii="Cambria" w:hAnsi="Cambria"/>
      </w:rPr>
      <w:fldChar w:fldCharType="end"/>
    </w:r>
  </w:p>
  <w:p w:rsidR="00CD63FC" w:rsidRDefault="00CD63F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3FC" w:rsidRDefault="00CD63FC" w:rsidP="00F0301D">
      <w:pPr>
        <w:spacing w:after="0" w:line="240" w:lineRule="auto"/>
      </w:pPr>
      <w:r>
        <w:separator/>
      </w:r>
    </w:p>
  </w:footnote>
  <w:footnote w:type="continuationSeparator" w:id="0">
    <w:p w:rsidR="00CD63FC" w:rsidRDefault="00CD63F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3FC" w:rsidRDefault="00CD63FC" w:rsidP="008A44F5">
    <w:pPr>
      <w:pStyle w:val="Header"/>
      <w:rPr>
        <w:rFonts w:ascii="Cambria" w:hAnsi="Cambria"/>
      </w:rPr>
    </w:pPr>
  </w:p>
  <w:p w:rsidR="00CD63FC" w:rsidRPr="006A6ED1" w:rsidRDefault="00CD63FC" w:rsidP="008B6583">
    <w:pPr>
      <w:pStyle w:val="Header"/>
      <w:jc w:val="right"/>
      <w:rPr>
        <w:color w:val="365F91"/>
        <w:sz w:val="36"/>
        <w:szCs w:val="36"/>
      </w:rPr>
    </w:pPr>
    <w:r>
      <w:rPr>
        <w:noProof/>
        <w:lang w:eastAsia="sk-SK"/>
      </w:rPr>
      <w:pict>
        <v:group id="Group 63" o:spid="_x0000_s2049" style="position:absolute;left:0;text-align:left;margin-left:0;margin-top:0;width:225.25pt;height:70.05pt;z-index:251660288;mso-position-horizontal:left;mso-position-horizontal-relative:page;mso-position-vertical:top;mso-position-vertical-relative:page" coordorigin=",-401" coordsize="40415,10035">
          <v:line id="Straight Connector 57" o:spid="_x0000_s2050" style="position:absolute;flip:y;visibility:visible" from="4590,-401" to="40415,9288" o:connectortype="straight" filled="t" fillcolor="#95b3d7" strokecolor="#95b3d7">
            <v:fill color2="#95b3d7" rotate="t" focusposition=".5,.5" focussize="" colors="0 #b7d0f1;.5 #d2e0f5;1 #e8effa" focus="100%" type="gradientRadial"/>
          </v:line>
          <v:oval id="Oval 62" o:spid="_x0000_s2051" style="position:absolute;top:502;width:10147;height:9131;visibility:visible;v-text-anchor:middle" fillcolor="#95b3d7" stroked="f" strokeweight="2pt">
            <v:fill color2="#95b3d7" rotate="t" focusposition=".5,.5" focussize="" colors="0 #b7d0f1;.5 #d2e0f5;1 #e8effa" focus="100%" type="gradientRadial"/>
          </v:oval>
          <w10:wrap anchorx="page" anchory="page"/>
        </v:group>
      </w:pict>
    </w: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CD63FC" w:rsidRDefault="00CD63FC" w:rsidP="00212D72">
    <w:pPr>
      <w:pStyle w:val="Header"/>
      <w:rPr>
        <w:rFonts w:ascii="Cambria" w:hAnsi="Cambria"/>
      </w:rPr>
    </w:pPr>
  </w:p>
  <w:p w:rsidR="00CD63FC" w:rsidRDefault="00CD63FC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D63FC" w:rsidRPr="009926AC">
      <w:trPr>
        <w:trHeight w:val="340"/>
        <w:jc w:val="right"/>
      </w:trPr>
      <w:tc>
        <w:tcPr>
          <w:tcW w:w="62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9926AC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9926AC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D63FC" w:rsidRPr="009926AC" w:rsidRDefault="00CD63FC" w:rsidP="009926A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8</w:t>
          </w:r>
        </w:p>
      </w:tc>
    </w:tr>
  </w:tbl>
  <w:p w:rsidR="00CD63FC" w:rsidRDefault="00CD63FC" w:rsidP="00212D72">
    <w:pPr>
      <w:pStyle w:val="Header"/>
      <w:rPr>
        <w:rFonts w:ascii="Cambria" w:hAnsi="Cambria"/>
      </w:rPr>
    </w:pPr>
  </w:p>
  <w:p w:rsidR="00CD63FC" w:rsidRPr="00132CC6" w:rsidRDefault="00CD63FC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F0F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79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5BF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1AC5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165E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94B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37BAF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160F"/>
    <w:rsid w:val="00693FDA"/>
    <w:rsid w:val="00694961"/>
    <w:rsid w:val="006A1DD4"/>
    <w:rsid w:val="006A235C"/>
    <w:rsid w:val="006A6ED1"/>
    <w:rsid w:val="006A6F83"/>
    <w:rsid w:val="006A7164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26AC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212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13D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688"/>
    <w:rsid w:val="00BA3B93"/>
    <w:rsid w:val="00BA3DFB"/>
    <w:rsid w:val="00BA4963"/>
    <w:rsid w:val="00BA4FA6"/>
    <w:rsid w:val="00BA6F78"/>
    <w:rsid w:val="00BB0F36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376F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8697E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3FC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1F35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AB2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8</Pages>
  <Words>1313</Words>
  <Characters>7490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Eva Macháčová</cp:lastModifiedBy>
  <cp:revision>4</cp:revision>
  <cp:lastPrinted>2018-01-31T17:17:00Z</cp:lastPrinted>
  <dcterms:created xsi:type="dcterms:W3CDTF">2021-05-27T09:04:00Z</dcterms:created>
  <dcterms:modified xsi:type="dcterms:W3CDTF">2022-04-19T13:26:00Z</dcterms:modified>
</cp:coreProperties>
</file>