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ind w:right="-907" w:hanging="0"/>
        <w:jc w:val="left"/>
        <w:rPr>
          <w:sz w:val="36"/>
        </w:rPr>
      </w:pPr>
      <w:r>
        <w:rPr>
          <w:sz w:val="36"/>
        </w:rPr>
      </w:r>
    </w:p>
    <w:p>
      <w:pPr>
        <w:pStyle w:val="Normal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pBdr>
          <w:top w:val="single" w:sz="4" w:space="1" w:color="000000"/>
        </w:pBdr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Odsadenietelatextu"/>
        <w:pBdr>
          <w:top w:val="single" w:sz="4" w:space="1" w:color="000000"/>
        </w:pBdr>
        <w:rPr/>
      </w:pPr>
      <w:r>
        <w:rPr/>
        <w:t xml:space="preserve">    </w:t>
      </w:r>
      <w:r>
        <w:rPr/>
        <w:t>PROM.MEDIC.SK spol. s r.o. Drevárska 3663/8,  058 01 Poprad</w:t>
      </w:r>
    </w:p>
    <w:p>
      <w:pPr>
        <w:pStyle w:val="Odsadenietelatextu"/>
        <w:rPr/>
      </w:pPr>
      <w:r>
        <w:rPr/>
        <w:t>spoločnosť je zapísaná v obchodnom registri Okresného súdu v Prešove         oddiel Sro, vložka číslo 13336/P</w:t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ormal"/>
        <w:ind w:left="360" w:hanging="0"/>
        <w:rPr>
          <w:sz w:val="28"/>
        </w:rPr>
      </w:pPr>
      <w:r>
        <w:rPr>
          <w:sz w:val="28"/>
        </w:rPr>
      </w:r>
    </w:p>
    <w:p>
      <w:pPr>
        <w:pStyle w:val="Nadpis4"/>
        <w:rPr/>
      </w:pPr>
      <w:r>
        <w:rPr/>
        <w:t xml:space="preserve">                       </w:t>
      </w:r>
      <w:r>
        <w:rPr/>
        <w:t>IČO: 31 349 871</w:t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Normal"/>
        <w:ind w:left="360" w:hanging="0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Telotextu"/>
        <w:rPr/>
      </w:pPr>
      <w:r>
        <w:rPr>
          <w:sz w:val="28"/>
        </w:rPr>
        <w:t xml:space="preserve">Výročná správa spoločnosti PROM.MEDIC.SK spol. s r.o. </w:t>
      </w:r>
    </w:p>
    <w:p>
      <w:pPr>
        <w:pStyle w:val="Telotextu"/>
        <w:rPr>
          <w:sz w:val="28"/>
        </w:rPr>
      </w:pPr>
      <w:r>
        <w:rPr>
          <w:sz w:val="28"/>
        </w:rPr>
      </w:r>
    </w:p>
    <w:p>
      <w:pPr>
        <w:pStyle w:val="Telotextu"/>
        <w:rPr>
          <w:sz w:val="28"/>
        </w:rPr>
      </w:pPr>
      <w:r>
        <w:rPr>
          <w:sz w:val="28"/>
        </w:rPr>
      </w:r>
    </w:p>
    <w:p>
      <w:pPr>
        <w:pStyle w:val="Telotextu"/>
        <w:rPr>
          <w:sz w:val="28"/>
        </w:rPr>
      </w:pPr>
      <w:r>
        <w:rPr>
          <w:sz w:val="28"/>
        </w:rPr>
        <w:t>zostavená ku dňu 31.12. 2021</w:t>
      </w:r>
    </w:p>
    <w:p>
      <w:pPr>
        <w:pStyle w:val="Normal"/>
        <w:jc w:val="center"/>
        <w:rPr>
          <w:b/>
          <w:b/>
          <w:bCs/>
          <w:sz w:val="28"/>
        </w:rPr>
      </w:pPr>
      <w:r>
        <w:rPr>
          <w:b/>
          <w:bCs/>
          <w:sz w:val="28"/>
        </w:rPr>
      </w:r>
    </w:p>
    <w:p>
      <w:pPr>
        <w:pStyle w:val="Telotextu"/>
        <w:rPr>
          <w:b w:val="false"/>
          <w:b w:val="false"/>
          <w:bCs w:val="false"/>
          <w:sz w:val="28"/>
        </w:rPr>
      </w:pPr>
      <w:r>
        <w:rPr>
          <w:b w:val="false"/>
          <w:bCs w:val="false"/>
          <w:sz w:val="28"/>
        </w:rPr>
      </w:r>
    </w:p>
    <w:p>
      <w:pPr>
        <w:pStyle w:val="Telotextu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tabs>
          <w:tab w:val="clear" w:pos="708"/>
          <w:tab w:val="left" w:pos="345" w:leader="none"/>
        </w:tabs>
        <w:jc w:val="left"/>
        <w:rPr>
          <w:sz w:val="28"/>
        </w:rPr>
      </w:pPr>
      <w:r>
        <w:rPr>
          <w:sz w:val="28"/>
        </w:rPr>
      </w:r>
    </w:p>
    <w:p>
      <w:pPr>
        <w:pStyle w:val="Telotextu"/>
        <w:ind w:left="708" w:hanging="0"/>
        <w:jc w:val="left"/>
        <w:rPr>
          <w:sz w:val="28"/>
        </w:rPr>
      </w:pPr>
      <w:r>
        <w:rPr>
          <w:sz w:val="28"/>
        </w:rPr>
        <w:t>Mgr. Milan Gerbery</w:t>
      </w:r>
    </w:p>
    <w:p>
      <w:pPr>
        <w:pStyle w:val="Telotextu"/>
        <w:ind w:left="708" w:hanging="0"/>
        <w:jc w:val="left"/>
        <w:rPr>
          <w:sz w:val="28"/>
        </w:rPr>
      </w:pPr>
      <w:r>
        <w:rPr>
          <w:sz w:val="28"/>
        </w:rPr>
        <w:t>konateľ spoločnosti</w:t>
      </w:r>
    </w:p>
    <w:p>
      <w:pPr>
        <w:pStyle w:val="Telotextu"/>
        <w:pBdr>
          <w:bottom w:val="single" w:sz="4" w:space="1" w:color="000000"/>
        </w:pBdr>
        <w:jc w:val="left"/>
        <w:rPr>
          <w:sz w:val="28"/>
        </w:rPr>
      </w:pPr>
      <w:r>
        <w:rPr>
          <w:sz w:val="28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pBdr>
          <w:top w:val="single" w:sz="4" w:space="1" w:color="000000"/>
        </w:pBdr>
        <w:jc w:val="left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  <w:t>Obsah:</w:t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Úvod – všeobecné údaje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Genéza a predpoklad budúceho vývoja činnosti spoločnosti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Organizačná štruktúra spoločnosti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Ukazovatele práce a miezd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Významní dodávatelia a odberatelia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Iné dôležité informácie</w:t>
      </w:r>
    </w:p>
    <w:p>
      <w:pPr>
        <w:pStyle w:val="Telotextu"/>
        <w:numPr>
          <w:ilvl w:val="0"/>
          <w:numId w:val="3"/>
        </w:numPr>
        <w:jc w:val="left"/>
        <w:rPr/>
      </w:pPr>
      <w:r>
        <w:rPr>
          <w:sz w:val="24"/>
        </w:rPr>
        <w:t>Návrh na rozdelenie zisku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Správa audítora o overení účtovnej závierky</w:t>
      </w:r>
    </w:p>
    <w:p>
      <w:pPr>
        <w:pStyle w:val="Telotextu"/>
        <w:numPr>
          <w:ilvl w:val="0"/>
          <w:numId w:val="3"/>
        </w:numPr>
        <w:jc w:val="left"/>
        <w:rPr>
          <w:sz w:val="24"/>
        </w:rPr>
      </w:pPr>
      <w:r>
        <w:rPr>
          <w:sz w:val="24"/>
        </w:rPr>
        <w:t>Účtovná závierka</w:t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Telotextu"/>
        <w:jc w:val="left"/>
        <w:rPr>
          <w:sz w:val="36"/>
        </w:rPr>
      </w:pPr>
      <w:r>
        <w:rPr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pBdr>
          <w:bottom w:val="single" w:sz="4" w:space="1" w:color="000000"/>
        </w:pBdr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pBdr>
          <w:top w:val="single" w:sz="4" w:space="1" w:color="000000"/>
        </w:pBdr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adpis5"/>
        <w:numPr>
          <w:ilvl w:val="0"/>
          <w:numId w:val="4"/>
        </w:numPr>
        <w:rPr/>
      </w:pPr>
      <w:r>
        <w:rPr/>
        <w:t>Úvod – všeobecné údaje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720" w:hanging="0"/>
        <w:jc w:val="both"/>
        <w:rPr/>
      </w:pPr>
      <w:r>
        <w:rPr/>
        <w:t>Spoločnosť zostavuje účtovnú závierku v zmysle Zákona o účtovníctve č. 431/2002 Z.z.</w:t>
      </w:r>
    </w:p>
    <w:p>
      <w:pPr>
        <w:pStyle w:val="Normal"/>
        <w:ind w:left="720" w:hanging="0"/>
        <w:jc w:val="both"/>
        <w:rPr/>
      </w:pPr>
      <w:r>
        <w:rPr/>
        <w:t xml:space="preserve">Má za povinnosť overovať údaje z účtovnej závierky v zmysle § 19 audítorom.  </w:t>
      </w:r>
    </w:p>
    <w:p>
      <w:pPr>
        <w:pStyle w:val="Normal"/>
        <w:ind w:left="720" w:hanging="0"/>
        <w:jc w:val="both"/>
        <w:rPr/>
      </w:pPr>
      <w:r>
        <w:rPr/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b/>
          <w:bCs/>
        </w:rPr>
        <w:t>Obchodné meno spoločnosti</w:t>
      </w:r>
      <w:r>
        <w:rPr/>
        <w:t>:</w:t>
      </w:r>
    </w:p>
    <w:p>
      <w:pPr>
        <w:pStyle w:val="Normal"/>
        <w:ind w:left="720" w:hanging="0"/>
        <w:jc w:val="both"/>
        <w:rPr/>
      </w:pPr>
      <w:r>
        <w:rPr/>
        <w:t xml:space="preserve">      </w:t>
      </w:r>
      <w:r>
        <w:rPr/>
        <w:t>PROM.MEDIC.SK spol. s r.o.</w:t>
      </w:r>
    </w:p>
    <w:p>
      <w:pPr>
        <w:pStyle w:val="Normal"/>
        <w:ind w:left="1080" w:hanging="0"/>
        <w:jc w:val="both"/>
        <w:rPr/>
      </w:pPr>
      <w:r>
        <w:rPr>
          <w:b/>
          <w:bCs/>
        </w:rPr>
        <w:t>Sídlo spoločnosti</w:t>
      </w:r>
      <w:r>
        <w:rPr/>
        <w:t>:</w:t>
      </w:r>
    </w:p>
    <w:p>
      <w:pPr>
        <w:pStyle w:val="Normal"/>
        <w:ind w:left="1080" w:hanging="0"/>
        <w:jc w:val="both"/>
        <w:rPr/>
      </w:pPr>
      <w:r>
        <w:rPr/>
        <w:t>Drevárska 3663/8, 058 05 Poprad, Slovenská republika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b/>
          <w:bCs/>
        </w:rPr>
        <w:t>Predmet podnikania</w:t>
      </w:r>
    </w:p>
    <w:p>
      <w:pPr>
        <w:pStyle w:val="Normal"/>
        <w:ind w:left="72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1080" w:hanging="0"/>
        <w:jc w:val="both"/>
        <w:rPr/>
      </w:pPr>
      <w:r>
        <w:rPr/>
        <w:t>- kúpa a predaj tovaru v rozsahu voľnej živnosti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>- sprostredkovanie obchodu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>- reklama a propagácia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>- výskum trhu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>- organizácia školení a kurzov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>- veľkodistribúcia liekov a zdravotníckych pomôcok</w:t>
      </w:r>
    </w:p>
    <w:p>
      <w:pPr>
        <w:pStyle w:val="Normal"/>
        <w:ind w:left="360" w:hanging="0"/>
        <w:jc w:val="both"/>
        <w:rPr/>
      </w:pPr>
      <w:r>
        <w:rPr/>
        <w:t xml:space="preserve">            </w:t>
      </w:r>
      <w:r>
        <w:rPr/>
        <w:t xml:space="preserve">- dovoz a vývoz, skladovanie a zásobovanie v SR, registrovaných                                   </w:t>
      </w:r>
    </w:p>
    <w:p>
      <w:pPr>
        <w:pStyle w:val="Normal"/>
        <w:ind w:left="360" w:hanging="0"/>
        <w:jc w:val="both"/>
        <w:rPr/>
      </w:pPr>
      <w:r>
        <w:rPr/>
        <w:t xml:space="preserve">               </w:t>
      </w:r>
      <w:r>
        <w:rPr/>
        <w:t xml:space="preserve">hromadne vybraných liekov pomocných látok a schválených zdravotných     </w:t>
      </w:r>
    </w:p>
    <w:p>
      <w:pPr>
        <w:pStyle w:val="Normal"/>
        <w:ind w:left="360" w:hanging="0"/>
        <w:jc w:val="both"/>
        <w:rPr/>
      </w:pPr>
      <w:r>
        <w:rPr/>
        <w:t xml:space="preserve">               </w:t>
      </w:r>
      <w:r>
        <w:rPr/>
        <w:t>pomôcok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numPr>
          <w:ilvl w:val="0"/>
          <w:numId w:val="2"/>
        </w:numPr>
        <w:jc w:val="both"/>
        <w:rPr>
          <w:b/>
          <w:b/>
          <w:bCs/>
        </w:rPr>
      </w:pPr>
      <w:r>
        <w:rPr>
          <w:b/>
          <w:bCs/>
        </w:rPr>
        <w:t>Spoločníci</w:t>
      </w:r>
    </w:p>
    <w:p>
      <w:pPr>
        <w:pStyle w:val="Normal"/>
        <w:ind w:left="72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1080" w:hanging="0"/>
        <w:jc w:val="both"/>
        <w:rPr/>
      </w:pPr>
      <w:r>
        <w:rPr/>
        <w:t xml:space="preserve">PRO.MED.CS Praha a.s.                                                </w:t>
      </w:r>
    </w:p>
    <w:p>
      <w:pPr>
        <w:pStyle w:val="Normal"/>
        <w:jc w:val="both"/>
        <w:rPr/>
      </w:pPr>
      <w:r>
        <w:rPr/>
        <w:t xml:space="preserve">              </w:t>
      </w:r>
    </w:p>
    <w:p>
      <w:pPr>
        <w:pStyle w:val="Normal"/>
        <w:ind w:left="720" w:hanging="0"/>
        <w:jc w:val="both"/>
        <w:rPr/>
      </w:pPr>
      <w:r>
        <w:rPr/>
      </w:r>
    </w:p>
    <w:p>
      <w:pPr>
        <w:pStyle w:val="Normal"/>
        <w:numPr>
          <w:ilvl w:val="0"/>
          <w:numId w:val="2"/>
        </w:numPr>
        <w:jc w:val="both"/>
        <w:rPr/>
      </w:pPr>
      <w:r>
        <w:rPr>
          <w:b/>
          <w:bCs/>
        </w:rPr>
        <w:t>Štatutárny orgán spoločnosti</w:t>
      </w:r>
      <w:r>
        <w:rPr/>
        <w:t xml:space="preserve"> – konateľ</w:t>
      </w:r>
    </w:p>
    <w:p>
      <w:pPr>
        <w:pStyle w:val="Normal"/>
        <w:ind w:left="72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  <w:t>Mgr. Milan Gerbery – Poprad</w:t>
      </w:r>
    </w:p>
    <w:p>
      <w:pPr>
        <w:pStyle w:val="Normal"/>
        <w:jc w:val="both"/>
        <w:rPr/>
      </w:pPr>
      <w:r>
        <w:rPr/>
        <w:t xml:space="preserve">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108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adpis6"/>
        <w:numPr>
          <w:ilvl w:val="0"/>
          <w:numId w:val="0"/>
        </w:numPr>
        <w:ind w:left="0" w:hanging="0"/>
        <w:rPr>
          <w:b w:val="false"/>
          <w:b w:val="false"/>
          <w:bCs w:val="false"/>
          <w:sz w:val="24"/>
        </w:rPr>
      </w:pPr>
      <w:r>
        <w:rPr>
          <w:b w:val="false"/>
          <w:bCs w:val="false"/>
          <w:sz w:val="24"/>
        </w:rPr>
      </w:r>
    </w:p>
    <w:p>
      <w:pPr>
        <w:pStyle w:val="Normal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rPr/>
      </w:pPr>
      <w:r>
        <w:rPr/>
        <w:t>––––––––––––––––––––––––––––––––––––––––––––––––––––––––––––––––––––––––––</w:t>
      </w:r>
      <w:r>
        <w:rPr/>
        <w:t>-</w:t>
      </w:r>
    </w:p>
    <w:p>
      <w:pPr>
        <w:pStyle w:val="Nadpis6"/>
        <w:numPr>
          <w:ilvl w:val="0"/>
          <w:numId w:val="0"/>
        </w:numPr>
        <w:ind w:left="0" w:hanging="0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360"/>
        <w:rPr>
          <w:b w:val="false"/>
          <w:b w:val="false"/>
          <w:bCs w:val="false"/>
          <w:sz w:val="36"/>
        </w:rPr>
      </w:pPr>
      <w:r>
        <w:rPr/>
        <w:t xml:space="preserve"> </w:t>
      </w:r>
      <w:r>
        <w:rPr/>
        <w:t xml:space="preserve">B)  Genéza a predpoklad budúceho vývoja činnosti spoločnosti                                                     </w:t>
      </w:r>
    </w:p>
    <w:p>
      <w:pPr>
        <w:pStyle w:val="Normal"/>
        <w:jc w:val="both"/>
        <w:rPr>
          <w:b/>
          <w:b/>
          <w:bCs/>
          <w:sz w:val="36"/>
        </w:rPr>
      </w:pPr>
      <w:r>
        <w:rPr>
          <w:b/>
          <w:bCs/>
          <w:sz w:val="36"/>
        </w:rPr>
      </w:r>
    </w:p>
    <w:p>
      <w:pPr>
        <w:pStyle w:val="Normal"/>
        <w:jc w:val="both"/>
        <w:rPr/>
      </w:pPr>
      <w:r>
        <w:rPr/>
        <w:t xml:space="preserve">     </w:t>
      </w:r>
      <w:r>
        <w:rPr/>
        <w:t>Základné imanie spoločnosti sa v roku 2021 nemenilo. K 31.12.2021 činí  100 000,- EUR .</w:t>
      </w:r>
    </w:p>
    <w:p>
      <w:pPr>
        <w:pStyle w:val="Normal"/>
        <w:jc w:val="both"/>
        <w:rPr/>
      </w:pPr>
      <w:r>
        <w:rPr/>
        <w:t xml:space="preserve">     </w:t>
      </w:r>
    </w:p>
    <w:p>
      <w:pPr>
        <w:pStyle w:val="Normal"/>
        <w:jc w:val="both"/>
        <w:rPr/>
      </w:pPr>
      <w:r>
        <w:rPr/>
        <w:t>Spoločníci a ich podiel na základnom imaní:</w:t>
      </w:r>
    </w:p>
    <w:p>
      <w:pPr>
        <w:pStyle w:val="Normal"/>
        <w:jc w:val="both"/>
        <w:rPr/>
      </w:pPr>
      <w:r>
        <w:rPr/>
        <w:t>PRO.MED.CS Praha a.s.                                                                                  100 000,- EUR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</w:t>
      </w:r>
      <w:r>
        <w:rPr/>
        <w:t xml:space="preserve">Počiatočný stav pracovníkov spoločnosti pri založení bol 3 a k 31.12.2021 v pracovnom pomere bolo 17 pracovníkov, z toho 0 na skrátený úväzok a 0 na materskej dovolenke a 3 na rodičovskom príspevku. Na zabezpečenie jednorazových a krátkodobých úloh spoločnosť uzatvárala dohody s externými pracovníkmi.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</w:t>
      </w:r>
      <w:r>
        <w:rPr/>
        <w:t xml:space="preserve">Rozhodujúcim obchodným partnerom spoločnosti je PRO.MED.CS Praha a.s..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spacing w:lineRule="auto" w:line="276" w:before="280" w:after="280"/>
        <w:jc w:val="both"/>
        <w:rPr>
          <w:b/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  <w:u w:val="single"/>
        </w:rPr>
        <w:t>Bilancia roku 2021:</w:t>
      </w:r>
    </w:p>
    <w:p>
      <w:pPr>
        <w:pStyle w:val="Normal"/>
        <w:spacing w:lineRule="auto" w:line="276" w:before="280" w:after="280"/>
        <w:ind w:firstLine="708"/>
        <w:jc w:val="both"/>
        <w:rPr>
          <w:color w:val="000000"/>
        </w:rPr>
      </w:pPr>
      <w:r>
        <w:rPr>
          <w:color w:val="000000"/>
        </w:rPr>
        <w:t xml:space="preserve">V roku 2021 bol obrat  spoločnosti PRO.MEDIC.SK spol. s r.o., na úrovni nákupu lekárenským segmentom a v celkovom rebríčku farmaceutických firiem bola  spoločnosť na 48. mieste. </w:t>
      </w:r>
    </w:p>
    <w:p>
      <w:pPr>
        <w:pStyle w:val="Normal"/>
        <w:spacing w:lineRule="auto" w:line="276" w:before="280" w:after="280"/>
        <w:jc w:val="both"/>
        <w:rPr>
          <w:color w:val="000000"/>
        </w:rPr>
      </w:pPr>
      <w:r>
        <w:rPr>
          <w:color w:val="000000"/>
        </w:rPr>
        <w:t>V roku 2021 boli pre spoločnosť dôležité hlavne 3 kľúčové aspekty:</w:t>
      </w:r>
    </w:p>
    <w:p>
      <w:pPr>
        <w:pStyle w:val="Odsekzoznamu"/>
        <w:numPr>
          <w:ilvl w:val="0"/>
          <w:numId w:val="7"/>
        </w:numPr>
        <w:spacing w:lineRule="auto" w:line="276" w:before="0" w:after="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Reorganizácia štruktúry spoločnosti za účelom vytvorenia jednotnej medicínskej skupiny  reprezentantov, ktorej primárna úloha bola cielená edukatívna promócia našich produktov v hlavných cieľových skupinách.</w:t>
      </w:r>
    </w:p>
    <w:p>
      <w:pPr>
        <w:pStyle w:val="Odsekzoznamu"/>
        <w:numPr>
          <w:ilvl w:val="0"/>
          <w:numId w:val="5"/>
        </w:numPr>
        <w:spacing w:lineRule="auto" w:line="276" w:before="0" w:after="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Zefektívnenie komunikácie a kooperácie s regulačnými a kontrolnými autoritami MZ SR a ŠÚKL.</w:t>
      </w:r>
    </w:p>
    <w:p>
      <w:pPr>
        <w:pStyle w:val="Odsekzoznamu"/>
        <w:numPr>
          <w:ilvl w:val="0"/>
          <w:numId w:val="5"/>
        </w:numPr>
        <w:spacing w:lineRule="auto" w:line="276" w:before="0" w:after="28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Spoločnosť flexibilne odpovedala na dopyt trhu a zvýšila dovoz  produktov, ktoré svojím zložením reflektovali na stále aktuálnu pandemickú situáciu, a to hlavne v prvom a druhom kvartáli roku 2021.</w:t>
      </w:r>
    </w:p>
    <w:p>
      <w:pPr>
        <w:pStyle w:val="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6"/>
        <w:numPr>
          <w:ilvl w:val="0"/>
          <w:numId w:val="6"/>
        </w:numPr>
        <w:rPr/>
      </w:pPr>
      <w:r>
        <w:rPr/>
        <w:t>Ukazovatele práce a miezd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</w:r>
    </w:p>
    <w:tbl>
      <w:tblPr>
        <w:tblW w:w="4459" w:type="dxa"/>
        <w:jc w:val="left"/>
        <w:tblInd w:w="-5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87"/>
        <w:gridCol w:w="1413"/>
        <w:gridCol w:w="1359"/>
      </w:tblGrid>
      <w:tr>
        <w:trPr/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Ukazovateľ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31.12.2021</w:t>
            </w:r>
          </w:p>
        </w:tc>
      </w:tr>
      <w:tr>
        <w:trPr/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both"/>
              <w:rPr/>
            </w:pPr>
            <w:r>
              <w:rPr/>
              <w:t>Priemerný počet zamestnancov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18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15</w:t>
            </w:r>
          </w:p>
        </w:tc>
      </w:tr>
      <w:tr>
        <w:trPr/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both"/>
              <w:rPr/>
            </w:pPr>
            <w:r>
              <w:rPr/>
              <w:t>Mzdové náklady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442 749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421 635</w:t>
            </w:r>
          </w:p>
        </w:tc>
      </w:tr>
      <w:tr>
        <w:trPr/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both"/>
              <w:rPr/>
            </w:pPr>
            <w:r>
              <w:rPr/>
              <w:t>Zákonné sociálne</w:t>
            </w:r>
          </w:p>
          <w:p>
            <w:pPr>
              <w:pStyle w:val="Normal"/>
              <w:jc w:val="both"/>
              <w:rPr/>
            </w:pPr>
            <w:r>
              <w:rPr/>
              <w:t>zabezpečenie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157 040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  <w:t>160 736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adpis6"/>
        <w:numPr>
          <w:ilvl w:val="0"/>
          <w:numId w:val="6"/>
        </w:numPr>
        <w:rPr/>
      </w:pPr>
      <w:r>
        <w:rPr/>
        <w:t xml:space="preserve">Významní dodávatelia a odberatelia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>
          <w:b/>
          <w:b/>
          <w:bCs/>
        </w:rPr>
      </w:pPr>
      <w:r>
        <w:rPr>
          <w:b/>
          <w:bCs/>
        </w:rPr>
        <w:t>Dodávatelia</w:t>
      </w:r>
    </w:p>
    <w:p>
      <w:pPr>
        <w:pStyle w:val="Normal"/>
        <w:ind w:left="108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720" w:hanging="0"/>
        <w:jc w:val="both"/>
        <w:rPr/>
      </w:pPr>
      <w:r>
        <w:rPr/>
        <w:t xml:space="preserve">           </w:t>
      </w:r>
      <w:r>
        <w:rPr/>
        <w:t xml:space="preserve">Spoločnosť zastupuje firmu PRO.MED.CS Praha a.s.  Na zabezpečenie tejto </w:t>
      </w:r>
    </w:p>
    <w:p>
      <w:pPr>
        <w:pStyle w:val="Normal"/>
        <w:ind w:left="720" w:hanging="0"/>
        <w:jc w:val="both"/>
        <w:rPr/>
      </w:pPr>
      <w:r>
        <w:rPr/>
        <w:t xml:space="preserve">           </w:t>
      </w:r>
      <w:r>
        <w:rPr/>
        <w:t>činnosti  sú uzatvorené:</w:t>
      </w:r>
    </w:p>
    <w:p>
      <w:pPr>
        <w:pStyle w:val="Normal"/>
        <w:ind w:left="720" w:hanging="0"/>
        <w:jc w:val="both"/>
        <w:rPr/>
      </w:pPr>
      <w:r>
        <w:rPr/>
        <w:t xml:space="preserve">           </w:t>
      </w:r>
      <w:r>
        <w:rPr/>
        <w:t>zmluvy s dodávateľmi podľa Obchodného zákonníka</w:t>
      </w:r>
    </w:p>
    <w:p>
      <w:pPr>
        <w:pStyle w:val="Normal"/>
        <w:ind w:left="720" w:hanging="0"/>
        <w:jc w:val="both"/>
        <w:rPr/>
      </w:pPr>
      <w:r>
        <w:rPr/>
        <w:t xml:space="preserve">            </w:t>
      </w:r>
      <w:r>
        <w:rPr/>
        <w:t>jednorazové objednávky – lekárne, lekári</w:t>
      </w:r>
    </w:p>
    <w:p>
      <w:pPr>
        <w:pStyle w:val="Normal"/>
        <w:ind w:left="720" w:hanging="0"/>
        <w:jc w:val="both"/>
        <w:rPr/>
      </w:pPr>
      <w:r>
        <w:rPr/>
        <w:t xml:space="preserve">           </w:t>
      </w:r>
      <w:r>
        <w:rPr/>
        <w:t xml:space="preserve">zmluvy o spolupráci podľa Občianského zákonníka - lekári </w:t>
      </w:r>
    </w:p>
    <w:p>
      <w:pPr>
        <w:pStyle w:val="Normal"/>
        <w:ind w:left="720" w:hanging="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>
          <w:b/>
          <w:b/>
          <w:bCs/>
        </w:rPr>
      </w:pPr>
      <w:r>
        <w:rPr>
          <w:b/>
          <w:bCs/>
        </w:rPr>
        <w:t>Odberatelia</w:t>
      </w:r>
    </w:p>
    <w:p>
      <w:pPr>
        <w:pStyle w:val="Normal"/>
        <w:ind w:left="144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1440" w:hanging="0"/>
        <w:jc w:val="both"/>
        <w:rPr>
          <w:bCs/>
        </w:rPr>
      </w:pPr>
      <w:r>
        <w:rPr>
          <w:bCs/>
        </w:rPr>
        <w:t>Spoločnosť v roku 2021 nezásobovala distribučné spoločnosti. Distribúciu liekov a liečivých prípravkov zabezpečoval PRO.MED.CS Praha a.s.</w:t>
      </w:r>
    </w:p>
    <w:p>
      <w:pPr>
        <w:pStyle w:val="Normal"/>
        <w:ind w:left="108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1440" w:hanging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left="360" w:hanging="0"/>
        <w:rPr/>
      </w:pPr>
      <w:r>
        <w:rPr/>
        <w:t xml:space="preserve">                                                   </w:t>
      </w:r>
    </w:p>
    <w:p>
      <w:pPr>
        <w:pStyle w:val="Normal"/>
        <w:ind w:left="360" w:hanging="0"/>
        <w:jc w:val="both"/>
        <w:rPr/>
      </w:pPr>
      <w:r>
        <w:rPr/>
        <w:t xml:space="preserve">                   </w:t>
      </w:r>
    </w:p>
    <w:p>
      <w:pPr>
        <w:pStyle w:val="Normal"/>
        <w:ind w:left="360" w:hanging="0"/>
        <w:jc w:val="both"/>
        <w:rPr/>
      </w:pPr>
      <w:r>
        <w:rPr/>
        <w:t xml:space="preserve">                  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pBdr>
          <w:bottom w:val="single" w:sz="6" w:space="1" w:color="000000"/>
        </w:pBdr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ind w:left="360" w:hanging="0"/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ind w:left="360" w:hanging="0"/>
        <w:jc w:val="both"/>
        <w:rPr/>
      </w:pPr>
      <w:r>
        <w:rPr/>
      </w:r>
    </w:p>
    <w:p>
      <w:pPr>
        <w:pStyle w:val="Nadpis6"/>
        <w:numPr>
          <w:ilvl w:val="0"/>
          <w:numId w:val="4"/>
        </w:numPr>
        <w:rPr/>
      </w:pPr>
      <w:r>
        <w:rPr/>
        <w:t>Iné dôležité informácie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Konsolidovaná účtovná závierka je zostavovaná na úrovni materskej spoločnosti PRO.MED.CS Praha a.s., teda na úrovni CALIDORA Holding SE.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Neexistujú podniky, v ktorých je spoločnosť neobmedzene ručiacim spoločníkom.</w:t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Spoločnosť nemá zriadenú organizačnú zložku v zahraničí.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Spoločnosť neúčtovala o výdavkoch na vedu a výskum.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Spoločnosť neobchodovala s finančnými derivátmi a nenadobúdala vlastné imanie.</w:t>
      </w:r>
    </w:p>
    <w:p>
      <w:pPr>
        <w:pStyle w:val="Normal"/>
        <w:ind w:left="1440" w:hanging="0"/>
        <w:jc w:val="both"/>
        <w:rPr/>
      </w:pPr>
      <w:r>
        <w:rPr/>
      </w:r>
    </w:p>
    <w:p>
      <w:pPr>
        <w:pStyle w:val="Nadpis6"/>
        <w:numPr>
          <w:ilvl w:val="0"/>
          <w:numId w:val="0"/>
        </w:numPr>
        <w:ind w:left="720" w:hanging="0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V období od 31.12.2021 do dňa vypracovania výročnej správy nevznikli žiadne významné obchodné riziká a nenastali udalosti osobitného významu. V Slovenskej republike  rozšírená pandémia vírusu COVID19 nemala na našu spoločnosť  negatívny vplyv.</w:t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V súvislosti s vojnovým konfliktom na Ukrajine vedenie Spoločnosti urobilo analýzu možných účinkov a následkov na Spoločnosť a dospelo k názoru, že v súčasnosti nemajú významné nepriaznivé dopady na Spoločnosť  (okrem rastúcich cien vstupov, najmä pohonných hmôt, energií, materiálov, tovarov a služieb). Vedenie Spoločnosti nepredpokladá významné ohrozenie predpokladu nepretržitého pokračovania v činnosti v blízkej budúcnosti (t.j. počas nasledujúcich 12 mesiacov od dátumu zostavenia UZ).</w:t>
      </w:r>
    </w:p>
    <w:p>
      <w:pPr>
        <w:pStyle w:val="Odsekzoznamu"/>
        <w:rPr/>
      </w:pPr>
      <w:r>
        <w:rPr/>
      </w:r>
    </w:p>
    <w:p>
      <w:pPr>
        <w:pStyle w:val="Normal"/>
        <w:numPr>
          <w:ilvl w:val="1"/>
          <w:numId w:val="4"/>
        </w:numPr>
        <w:jc w:val="both"/>
        <w:rPr/>
      </w:pPr>
      <w:r>
        <w:rPr/>
        <w:t>Spoločnosť PROM.MEDIC.SK spol. s r.o. zmenila 10.3.2022 sídlo spoločnosti. Nové sídlo je Galvaniho 15/B, Bratislava – mestká časť Ružinov 821 04. Zároveň k tomuto termínu ustanovila druhého konateľa, ktorým sa stal MUDr. Pavel Martinec.</w:t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ind w:left="108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6" w:space="1" w:color="000000"/>
        </w:pBdr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ormal"/>
        <w:pBdr>
          <w:top w:val="single" w:sz="4" w:space="1" w:color="000000"/>
        </w:pBdr>
        <w:jc w:val="both"/>
        <w:rPr/>
      </w:pPr>
      <w:r>
        <w:rPr/>
      </w:r>
    </w:p>
    <w:p>
      <w:pPr>
        <w:pStyle w:val="Nadpis6"/>
        <w:numPr>
          <w:ilvl w:val="0"/>
          <w:numId w:val="4"/>
        </w:numPr>
        <w:rPr/>
      </w:pPr>
      <w:r>
        <w:rPr/>
        <w:t xml:space="preserve"> </w:t>
      </w:r>
      <w:r>
        <w:rPr/>
        <w:t>Návrh na rozdelenie zisku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20" w:hanging="0"/>
        <w:rPr/>
      </w:pPr>
      <w:r>
        <w:rPr/>
        <w:t>V roku 2021   spoločnosť dosiahla zisk vo výške  19 803,76 EUR.</w:t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ind w:left="720" w:hanging="0"/>
        <w:rPr/>
      </w:pPr>
      <w:r>
        <w:rPr/>
        <w:t xml:space="preserve">- výsledok hospodárenia pred zdanením </w:t>
        <w:tab/>
        <w:tab/>
        <w:tab/>
        <w:t xml:space="preserve">      42 422,52 EUR</w:t>
      </w:r>
    </w:p>
    <w:p>
      <w:pPr>
        <w:pStyle w:val="Normal"/>
        <w:ind w:left="720" w:hanging="0"/>
        <w:rPr/>
      </w:pPr>
      <w:r>
        <w:rPr/>
        <w:t xml:space="preserve">   </w:t>
      </w:r>
      <w:r>
        <w:rPr/>
        <w:t>položky zvyšujúce výsledok hospodárenia                             21 340,59 EUR</w:t>
      </w:r>
    </w:p>
    <w:p>
      <w:pPr>
        <w:pStyle w:val="Normal"/>
        <w:ind w:left="720" w:hanging="0"/>
        <w:rPr/>
      </w:pPr>
      <w:r>
        <w:rPr/>
        <w:t xml:space="preserve">   </w:t>
      </w:r>
      <w:r>
        <w:rPr/>
        <w:t>položky znižujúce výsledok hospodárenia                            115 884,69 EUR</w:t>
        <w:tab/>
      </w:r>
    </w:p>
    <w:p>
      <w:pPr>
        <w:pStyle w:val="Normal"/>
        <w:ind w:left="720" w:hanging="0"/>
        <w:rPr/>
      </w:pPr>
      <w:r>
        <w:rPr/>
        <w:t xml:space="preserve">   </w:t>
      </w:r>
      <w:r>
        <w:rPr/>
        <w:t xml:space="preserve">základ dane                                                                             -52 121,82 EUR  </w:t>
      </w:r>
    </w:p>
    <w:p>
      <w:pPr>
        <w:pStyle w:val="Normal"/>
        <w:ind w:left="720" w:hanging="0"/>
        <w:rPr/>
      </w:pPr>
      <w:r>
        <w:rPr/>
        <w:t>- sadzba dane</w:t>
        <w:tab/>
        <w:tab/>
        <w:tab/>
        <w:tab/>
        <w:tab/>
        <w:tab/>
        <w:tab/>
        <w:tab/>
        <w:t>21%</w:t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ind w:left="720" w:hanging="0"/>
        <w:rPr/>
      </w:pPr>
      <w:r>
        <w:rPr/>
        <w:t xml:space="preserve">- daň z príjmov právnických osôb - splatná               </w:t>
        <w:tab/>
        <w:t xml:space="preserve">               0,00 EUR</w:t>
      </w:r>
    </w:p>
    <w:p>
      <w:pPr>
        <w:pStyle w:val="Normal"/>
        <w:ind w:left="720" w:hanging="0"/>
        <w:rPr/>
      </w:pPr>
      <w:r>
        <w:rPr/>
        <w:tab/>
        <w:tab/>
        <w:tab/>
        <w:tab/>
        <w:t xml:space="preserve">        - odložená                          - 22 618,76 EUR </w:t>
      </w:r>
    </w:p>
    <w:p>
      <w:pPr>
        <w:pStyle w:val="Normal"/>
        <w:ind w:left="720" w:hanging="0"/>
        <w:rPr/>
      </w:pPr>
      <w:r>
        <w:rPr/>
        <w:t xml:space="preserve">                                                       </w:t>
      </w:r>
      <w:r>
        <w:rPr/>
        <w:t xml:space="preserve">- daň vybraná zrážkou                   0,-   EUR               </w:t>
      </w:r>
    </w:p>
    <w:p>
      <w:pPr>
        <w:pStyle w:val="Normal"/>
        <w:ind w:left="720" w:hanging="0"/>
        <w:rPr/>
      </w:pPr>
      <w:r>
        <w:rPr/>
        <w:t xml:space="preserve">                                                       </w:t>
      </w:r>
    </w:p>
    <w:p>
      <w:pPr>
        <w:pStyle w:val="Normal"/>
        <w:rPr/>
      </w:pPr>
      <w:r>
        <w:rPr/>
        <w:t xml:space="preserve">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360" w:hanging="0"/>
        <w:rPr/>
      </w:pPr>
      <w:r>
        <w:rPr/>
        <w:t xml:space="preserve">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pBdr>
          <w:bottom w:val="single" w:sz="6" w:space="1" w:color="000000"/>
        </w:pBdr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6"/>
        <w:numPr>
          <w:ilvl w:val="0"/>
          <w:numId w:val="4"/>
        </w:numPr>
        <w:rPr/>
      </w:pPr>
      <w:r>
        <w:rPr/>
        <w:t>Správa audítora o overení  účtovnej závierky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6" w:space="1" w:color="000000"/>
        </w:pBdr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6" w:space="1" w:color="000000"/>
        </w:pBdr>
        <w:jc w:val="both"/>
        <w:rPr/>
      </w:pPr>
      <w:r>
        <w:rPr/>
        <w:t xml:space="preserve"> </w:t>
      </w:r>
    </w:p>
    <w:p>
      <w:pPr>
        <w:pStyle w:val="Normal"/>
        <w:pBdr>
          <w:bottom w:val="single" w:sz="6" w:space="1" w:color="000000"/>
        </w:pBdr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adpis5"/>
        <w:rPr/>
      </w:pPr>
      <w:r>
        <w:rPr/>
        <w:t>I</w:t>
      </w:r>
      <w:r>
        <w:rPr>
          <w:rFonts w:eastAsia="Symbol" w:cs="Symbol" w:ascii="Symbol" w:hAnsi="Symbol"/>
        </w:rPr>
        <w:t></w:t>
      </w:r>
      <w:r>
        <w:rPr/>
        <w:t xml:space="preserve"> Účtovná závierka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</w:t>
      </w:r>
      <w:r>
        <w:rPr/>
        <w:t xml:space="preserve">Účtovnú závierku za rok 2021 overoval audítor Ing. František Rovný, ktorý v spoločnosti vykonával počas celého roka priebežný audit. V správe nezávislého audítora za rok 2021 na základe výsledkov overenia účtovnej závierky sa konštatuje, že účtovná závierka vyjadruje vo všetkých významných súvislostiach verný obraz o majetku, záväzkoch, finančnej situácii spoločnosti a výsledkoch hospodárenia za rok 2021.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Prílohou tejto správy je účtovná závierka za rok 2021 a poznámky k účtovnej závierke.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ab/>
        <w:tab/>
        <w:tab/>
        <w:tab/>
        <w:tab/>
        <w:tab/>
        <w:t xml:space="preserve">                      Mgr. Milan Gerbery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</w:t>
      </w:r>
      <w:r>
        <w:rPr/>
        <w:t>konateľ spoločnosti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 Poprade, 20.03.2022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Zverejnené na valnom zhromaždení.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ormal"/>
        <w:pBdr>
          <w:bottom w:val="single" w:sz="4" w:space="1" w:color="000000"/>
        </w:pBdr>
        <w:jc w:val="both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adpis6"/>
        <w:numPr>
          <w:ilvl w:val="0"/>
          <w:numId w:val="0"/>
        </w:numPr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94" w:right="1389" w:header="709" w:top="851" w:footer="709" w:bottom="85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Cambria">
    <w:charset w:val="ee"/>
    <w:family w:val="roman"/>
    <w:pitch w:val="variable"/>
  </w:font>
  <w:font w:name="Liberation Sans">
    <w:altName w:val="Arial"/>
    <w:charset w:val="01"/>
    <w:family w:val="swiss"/>
    <w:pitch w:val="variable"/>
  </w:font>
  <w:font w:name="Accius Buc Rou DEE">
    <w:altName w:val="Times New Roman"/>
    <w:charset w:val="00"/>
    <w:family w:val="auto"/>
    <w:pitch w:val="default"/>
  </w:font>
  <w:font w:name="Calibri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11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  <w:bCs/>
      </w:rPr>
    </w:lvl>
  </w:abstractNum>
  <w:abstractNum w:abstractNumId="3">
    <w:lvl w:ilvl="0">
      <w:start w:val="1"/>
      <w:numFmt w:val="upperLetter"/>
      <w:lvlText w:val="%1)"/>
      <w:lvlJc w:val="left"/>
      <w:pPr>
        <w:tabs>
          <w:tab w:val="num" w:pos="927"/>
        </w:tabs>
        <w:ind w:left="927" w:hanging="360"/>
      </w:pPr>
      <w:rPr>
        <w:sz w:val="24"/>
      </w:rPr>
    </w:lvl>
  </w:abstractNum>
  <w:abstractNum w:abstractNumId="4"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6"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5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bidi="ar-SA" w:eastAsia="zh-CN"/>
    </w:rPr>
  </w:style>
  <w:style w:type="paragraph" w:styleId="Nadpis1">
    <w:name w:val="Heading 1"/>
    <w:basedOn w:val="Normal"/>
    <w:next w:val="Normal"/>
    <w:qFormat/>
    <w:pPr>
      <w:keepNext w:val="true"/>
      <w:jc w:val="both"/>
      <w:outlineLvl w:val="0"/>
    </w:pPr>
    <w:rPr>
      <w:b/>
      <w:bCs/>
      <w:sz w:val="32"/>
      <w:u w:val="single"/>
    </w:rPr>
  </w:style>
  <w:style w:type="paragraph" w:styleId="Nadpis2">
    <w:name w:val="Heading 2"/>
    <w:basedOn w:val="Normal"/>
    <w:next w:val="Normal"/>
    <w:qFormat/>
    <w:pPr>
      <w:keepNext w:val="true"/>
      <w:jc w:val="center"/>
      <w:outlineLvl w:val="1"/>
    </w:pPr>
    <w:rPr>
      <w:b/>
      <w:bCs/>
      <w:sz w:val="32"/>
    </w:rPr>
  </w:style>
  <w:style w:type="paragraph" w:styleId="Nadpis3">
    <w:name w:val="Heading 3"/>
    <w:basedOn w:val="Normal"/>
    <w:next w:val="Normal"/>
    <w:qFormat/>
    <w:pPr>
      <w:keepNext w:val="true"/>
      <w:jc w:val="center"/>
      <w:outlineLvl w:val="2"/>
    </w:pPr>
    <w:rPr>
      <w:b/>
      <w:bCs/>
      <w:sz w:val="28"/>
    </w:rPr>
  </w:style>
  <w:style w:type="paragraph" w:styleId="Nadpis4">
    <w:name w:val="Heading 4"/>
    <w:basedOn w:val="Normal"/>
    <w:next w:val="Normal"/>
    <w:qFormat/>
    <w:pPr>
      <w:keepNext w:val="true"/>
      <w:ind w:left="360" w:hanging="0"/>
      <w:outlineLvl w:val="3"/>
    </w:pPr>
    <w:rPr>
      <w:b/>
      <w:bCs/>
      <w:sz w:val="28"/>
    </w:rPr>
  </w:style>
  <w:style w:type="paragraph" w:styleId="Nadpis5">
    <w:name w:val="Heading 5"/>
    <w:basedOn w:val="Normal"/>
    <w:next w:val="Normal"/>
    <w:qFormat/>
    <w:pPr>
      <w:keepNext w:val="true"/>
      <w:jc w:val="both"/>
      <w:outlineLvl w:val="4"/>
    </w:pPr>
    <w:rPr>
      <w:b/>
      <w:bCs/>
      <w:sz w:val="28"/>
    </w:rPr>
  </w:style>
  <w:style w:type="paragraph" w:styleId="Nadpis6">
    <w:name w:val="Heading 6"/>
    <w:basedOn w:val="Normal"/>
    <w:next w:val="Normal"/>
    <w:qFormat/>
    <w:pPr>
      <w:keepNext w:val="true"/>
      <w:numPr>
        <w:ilvl w:val="0"/>
        <w:numId w:val="4"/>
      </w:numPr>
      <w:jc w:val="both"/>
      <w:outlineLvl w:val="5"/>
    </w:pPr>
    <w:rPr>
      <w:b/>
      <w:bCs/>
      <w:sz w:val="28"/>
    </w:rPr>
  </w:style>
  <w:style w:type="paragraph" w:styleId="Nadpis7">
    <w:name w:val="Heading 7"/>
    <w:basedOn w:val="Normal"/>
    <w:next w:val="Normal"/>
    <w:qFormat/>
    <w:pPr>
      <w:keepNext w:val="true"/>
      <w:outlineLvl w:val="6"/>
    </w:pPr>
    <w:rPr>
      <w:b/>
      <w:bCs/>
      <w:sz w:val="28"/>
    </w:rPr>
  </w:style>
  <w:style w:type="character" w:styleId="WW8Num1z0">
    <w:name w:val="WW8Num1z0"/>
    <w:qFormat/>
    <w:rPr>
      <w:b/>
      <w:bCs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sz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b w:val="false"/>
    </w:rPr>
  </w:style>
  <w:style w:type="character" w:styleId="WW8Num7z1">
    <w:name w:val="WW8Num7z1"/>
    <w:qFormat/>
    <w:rPr>
      <w:b/>
    </w:rPr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b w:val="false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cs="Times New Roman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3z0">
    <w:name w:val="WW8Num13z0"/>
    <w:qFormat/>
    <w:rPr>
      <w:rFonts w:ascii="Cambria" w:hAnsi="Cambria" w:eastAsia="Calibri" w:cs="Calibri"/>
    </w:rPr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Predvolenpsmoodseku">
    <w:name w:val="Predvolené písmo odseku"/>
    <w:qFormat/>
    <w:rPr/>
  </w:style>
  <w:style w:type="character" w:styleId="Slostrany">
    <w:name w:val="Číslo strany"/>
    <w:basedOn w:val="Predvolenpsmoodseku"/>
    <w:rPr/>
  </w:style>
  <w:style w:type="character" w:styleId="Nadpis6Char">
    <w:name w:val="Nadpis 6 Char"/>
    <w:qFormat/>
    <w:rPr>
      <w:b/>
      <w:bCs/>
      <w:sz w:val="28"/>
      <w:szCs w:val="24"/>
    </w:rPr>
  </w:style>
  <w:style w:type="character" w:styleId="HlavikaChar">
    <w:name w:val="Hlavička Char"/>
    <w:qFormat/>
    <w:rPr>
      <w:sz w:val="24"/>
      <w:szCs w:val="24"/>
    </w:rPr>
  </w:style>
  <w:style w:type="character" w:styleId="PtaChar">
    <w:name w:val="Päta Char"/>
    <w:qFormat/>
    <w:rPr>
      <w:sz w:val="24"/>
      <w:szCs w:val="24"/>
    </w:rPr>
  </w:style>
  <w:style w:type="character" w:styleId="Internetovodkaz">
    <w:name w:val="Internetový odkaz"/>
    <w:rPr>
      <w:color w:val="0000FF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jc w:val="center"/>
    </w:pPr>
    <w:rPr>
      <w:b/>
      <w:bCs/>
      <w:sz w:val="40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Odsadenietelatextu">
    <w:name w:val="Body Text Indent"/>
    <w:basedOn w:val="Normal"/>
    <w:pPr>
      <w:ind w:left="360" w:hanging="0"/>
    </w:pPr>
    <w:rPr>
      <w:b/>
      <w:bCs/>
      <w:sz w:val="28"/>
    </w:rPr>
  </w:style>
  <w:style w:type="paragraph" w:styleId="Default">
    <w:name w:val="Default"/>
    <w:qFormat/>
    <w:pPr>
      <w:widowControl/>
      <w:autoSpaceDE w:val="false"/>
      <w:bidi w:val="0"/>
    </w:pPr>
    <w:rPr>
      <w:rFonts w:ascii="Accius Buc Rou DEE;Times New Roman" w:hAnsi="Accius Buc Rou DEE;Times New Roman" w:eastAsia="Times New Roman" w:cs="Accius Buc Rou DEE;Times New Roman"/>
      <w:color w:val="000000"/>
      <w:sz w:val="24"/>
      <w:szCs w:val="24"/>
      <w:lang w:val="cs-CZ" w:bidi="ar-SA" w:eastAsia="zh-CN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Zarkazkladnhotextu2">
    <w:name w:val="Zarážka základného textu 2"/>
    <w:basedOn w:val="Normal"/>
    <w:qFormat/>
    <w:pPr>
      <w:ind w:firstLine="708"/>
    </w:pPr>
    <w:rPr/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Hlavika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Odsekzoznamu">
    <w:name w:val="Odsek zoznamu"/>
    <w:basedOn w:val="Normal"/>
    <w:qFormat/>
    <w:pPr>
      <w:spacing w:before="0" w:after="0"/>
      <w:ind w:left="720" w:hanging="0"/>
      <w:contextualSpacing/>
    </w:pPr>
    <w:rPr>
      <w:rFonts w:ascii="Calibri" w:hAnsi="Calibri" w:eastAsia="Calibri" w:cs="Calibri"/>
      <w:sz w:val="22"/>
      <w:szCs w:val="22"/>
      <w:lang w:val="cs-CZ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2056</TotalTime>
  <Application>LibreOffice/6.4.7.2$Linux_X86_64 LibreOffice_project/40$Build-2</Application>
  <Pages>11</Pages>
  <Words>837</Words>
  <Characters>5111</Characters>
  <CharactersWithSpaces>6954</CharactersWithSpaces>
  <Paragraphs>114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2008-05-21T15:41:00Z</dcterms:created>
  <dc:creator>PROM.MEDIC.SK spol s r.o.</dc:creator>
  <dc:description/>
  <cp:keywords/>
  <dc:language>sk-SK</dc:language>
  <cp:lastModifiedBy>Durankova Anna</cp:lastModifiedBy>
  <cp:lastPrinted>2022-03-21T10:51:00Z</cp:lastPrinted>
  <dcterms:modified xsi:type="dcterms:W3CDTF">2022-04-25T09:25:00Z</dcterms:modified>
  <cp:revision>149</cp:revision>
  <dc:subject/>
  <dc:title>Výročná správa spoločnosti PROM</dc:title>
</cp:coreProperties>
</file>