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Mar>
          <w:left w:w="70" w:type="dxa"/>
          <w:right w:w="70" w:type="dxa"/>
        </w:tblCellMar>
        <w:tblLook w:val="00A0"/>
      </w:tblPr>
      <w:tblGrid>
        <w:gridCol w:w="316"/>
        <w:gridCol w:w="307"/>
        <w:gridCol w:w="344"/>
        <w:gridCol w:w="243"/>
        <w:gridCol w:w="283"/>
        <w:gridCol w:w="249"/>
        <w:gridCol w:w="254"/>
        <w:gridCol w:w="251"/>
        <w:gridCol w:w="256"/>
        <w:gridCol w:w="285"/>
        <w:gridCol w:w="287"/>
        <w:gridCol w:w="254"/>
        <w:gridCol w:w="251"/>
        <w:gridCol w:w="268"/>
        <w:gridCol w:w="237"/>
        <w:gridCol w:w="304"/>
        <w:gridCol w:w="235"/>
        <w:gridCol w:w="220"/>
        <w:gridCol w:w="25"/>
        <w:gridCol w:w="245"/>
        <w:gridCol w:w="357"/>
        <w:gridCol w:w="218"/>
        <w:gridCol w:w="285"/>
        <w:gridCol w:w="292"/>
        <w:gridCol w:w="226"/>
        <w:gridCol w:w="218"/>
        <w:gridCol w:w="167"/>
        <w:gridCol w:w="76"/>
        <w:gridCol w:w="197"/>
        <w:gridCol w:w="70"/>
        <w:gridCol w:w="300"/>
        <w:gridCol w:w="264"/>
        <w:gridCol w:w="268"/>
        <w:gridCol w:w="70"/>
        <w:gridCol w:w="186"/>
        <w:gridCol w:w="76"/>
        <w:gridCol w:w="182"/>
        <w:gridCol w:w="76"/>
        <w:gridCol w:w="188"/>
        <w:gridCol w:w="72"/>
        <w:gridCol w:w="173"/>
        <w:gridCol w:w="260"/>
        <w:gridCol w:w="159"/>
      </w:tblGrid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  <w:bookmarkStart w:id="0" w:name="_GoBack" w:colFirst="1" w:colLast="22"/>
          </w:p>
        </w:tc>
        <w:tc>
          <w:tcPr>
            <w:tcW w:w="4834" w:type="pct"/>
            <w:gridSpan w:val="42"/>
            <w:noWrap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Príloha č. 3a k opatreniu č. MF/23378/2014-74</w:t>
            </w: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182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POZNÁMKY</w:t>
            </w:r>
          </w:p>
        </w:tc>
        <w:tc>
          <w:tcPr>
            <w:tcW w:w="15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  <w:hideMark/>
          </w:tcPr>
          <w:p w:rsidR="0011195B" w:rsidRDefault="0011195B" w:rsidP="00F0769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zostavenej k </w:t>
            </w:r>
            <w:r w:rsidR="00E94F8E">
              <w:rPr>
                <w:rFonts w:ascii="Arial Narrow" w:hAnsi="Arial Narrow" w:cs="Arial"/>
              </w:rPr>
              <w:fldChar w:fldCharType="begin"/>
            </w:r>
            <w:r>
              <w:rPr>
                <w:rFonts w:ascii="Arial Narrow" w:hAnsi="Arial Narrow" w:cs="Arial"/>
              </w:rPr>
              <w:instrText xml:space="preserve"> MERGEFIELD aDEF_DTDO </w:instrText>
            </w:r>
            <w:r w:rsidR="00E94F8E">
              <w:rPr>
                <w:rFonts w:ascii="Arial Narrow" w:hAnsi="Arial Narrow" w:cs="Arial"/>
              </w:rPr>
              <w:fldChar w:fldCharType="separate"/>
            </w:r>
            <w:r>
              <w:rPr>
                <w:rFonts w:ascii="Arial Narrow" w:hAnsi="Arial Narrow" w:cs="Arial"/>
                <w:noProof/>
              </w:rPr>
              <w:t>31.12.20</w:t>
            </w:r>
            <w:r w:rsidR="00E94F8E">
              <w:rPr>
                <w:rFonts w:ascii="Arial Narrow" w:hAnsi="Arial Narrow" w:cs="Arial"/>
              </w:rPr>
              <w:fldChar w:fldCharType="end"/>
            </w:r>
            <w:r>
              <w:rPr>
                <w:rFonts w:ascii="Arial Narrow" w:hAnsi="Arial Narrow" w:cs="Arial"/>
              </w:rPr>
              <w:t>2</w:t>
            </w:r>
            <w:r w:rsidR="00F07694">
              <w:rPr>
                <w:rFonts w:ascii="Arial Narrow" w:hAnsi="Arial Narrow" w:cs="Arial"/>
              </w:rPr>
              <w:t>1</w:t>
            </w:r>
          </w:p>
        </w:tc>
        <w:tc>
          <w:tcPr>
            <w:tcW w:w="11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968" w:type="pct"/>
            <w:gridSpan w:val="8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03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celých eurách *)</w:t>
            </w: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408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446" w:type="pct"/>
            <w:gridSpan w:val="4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4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427" w:type="pct"/>
            <w:gridSpan w:val="5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455" w:type="pct"/>
            <w:gridSpan w:val="5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451" w:type="pct"/>
            <w:gridSpan w:val="5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11195B" w:rsidRDefault="00E94F8E">
            <w:pPr>
              <w:ind w:left="-44" w:hanging="27"/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42" type="#_x0000_t202" style="position:absolute;left:0;text-align:left;margin-left:350.45pt;margin-top:11.5pt;width:38pt;height:18.75pt;z-index:2516464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 style="mso-next-textbox:#Text Box 2">
                    <w:txbxContent>
                      <w:p w:rsidR="00957BB5" w:rsidRDefault="00957BB5" w:rsidP="0011195B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E94F8E">
              <w:rPr>
                <w:lang w:eastAsia="en-US"/>
              </w:rPr>
              <w:pict>
                <v:shape id="_x0000_s1031" type="#_x0000_t202" style="position:absolute;left:0;text-align:left;margin-left:414.95pt;margin-top:11.5pt;width:38.8pt;height:18.75pt;z-index:2516474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 style="mso-next-textbox:#_x0000_s1031">
                    <w:txbxContent>
                      <w:p w:rsidR="00957BB5" w:rsidRPr="00502A25" w:rsidRDefault="00957BB5" w:rsidP="00502A25">
                        <w:r>
                          <w:t>2021</w:t>
                        </w:r>
                      </w:p>
                    </w:txbxContent>
                  </v:textbox>
                </v:shape>
              </w:pict>
            </w:r>
            <w:r w:rsidRPr="00E94F8E">
              <w:rPr>
                <w:lang w:eastAsia="en-US"/>
              </w:rPr>
              <w:pict>
                <v:shape id="_x0000_s1043" type="#_x0000_t202" style="position:absolute;left:0;text-align:left;margin-left:276.25pt;margin-top:11.5pt;width:39.7pt;height:18.75pt;z-index:2516485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 style="mso-next-textbox:#_x0000_s1043"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957BB5">
                            <w:t>2021</w:t>
                          </w:r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8</w:t>
                          </w:r>
                        </w:fldSimple>
                      </w:p>
                    </w:txbxContent>
                  </v:textbox>
                </v:shape>
              </w:pict>
            </w:r>
            <w:r w:rsidRPr="00E94F8E">
              <w:rPr>
                <w:lang w:eastAsia="en-US"/>
              </w:rPr>
              <w:pict>
                <v:shape id="_x0000_s1044" type="#_x0000_t202" style="position:absolute;left:0;text-align:left;margin-left:223.2pt;margin-top:11.5pt;width:38pt;height:18.75pt;z-index:2516495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 style="mso-next-textbox:#_x0000_s1044">
                    <w:txbxContent>
                      <w:p w:rsidR="00957BB5" w:rsidRPr="00502A25" w:rsidRDefault="00957BB5" w:rsidP="00502A25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</w:rPr>
              <w:t xml:space="preserve">                                                                                          mesiac                  rok                   mesiac                   rok</w:t>
            </w:r>
          </w:p>
        </w:tc>
      </w:tr>
      <w:tr w:rsidR="0011195B" w:rsidTr="0011195B">
        <w:trPr>
          <w:trHeight w:val="416"/>
          <w:jc w:val="center"/>
        </w:trPr>
        <w:tc>
          <w:tcPr>
            <w:tcW w:w="5000" w:type="pct"/>
            <w:gridSpan w:val="43"/>
            <w:noWrap/>
            <w:hideMark/>
          </w:tcPr>
          <w:p w:rsidR="0011195B" w:rsidRDefault="0011195B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Za obdobie od</w:t>
            </w:r>
            <w:r>
              <w:rPr>
                <w:rFonts w:ascii="Arial Narrow" w:hAnsi="Arial Narrow" w:cs="Arial"/>
              </w:rPr>
              <w:tab/>
              <w:t>do</w:t>
            </w:r>
          </w:p>
          <w:p w:rsidR="0011195B" w:rsidRDefault="0011195B">
            <w:pPr>
              <w:pStyle w:val="ICO"/>
              <w:rPr>
                <w:rFonts w:cs="Arial"/>
                <w:color w:val="FFFFFF" w:themeColor="background1"/>
              </w:rPr>
            </w:pPr>
            <w:r>
              <w:rPr>
                <w:rFonts w:cs="Arial"/>
                <w:color w:val="FFFFFF" w:themeColor="background1"/>
              </w:rPr>
              <w:t> </w:t>
            </w:r>
            <w:fldSimple w:instr=" MERGEFIELD  aSUB_ICO  \* MERGEFORMAT ">
              <w:r>
                <w:rPr>
                  <w:rFonts w:cs="Arial"/>
                  <w:color w:val="FFFFFF" w:themeColor="background1"/>
                </w:rPr>
                <w:t>36437263</w:t>
              </w:r>
            </w:fldSimple>
          </w:p>
          <w:p w:rsidR="0011195B" w:rsidRDefault="00E94F8E">
            <w:pPr>
              <w:pStyle w:val="DIC"/>
              <w:rPr>
                <w:rFonts w:cs="Arial"/>
              </w:rPr>
            </w:pPr>
            <w:fldSimple w:instr=" MERGEFIELD  aSUB_DIC  \* MERGEFORMAT ">
              <w:r w:rsidR="0011195B">
                <w:rPr>
                  <w:rFonts w:cs="Arial"/>
                  <w:color w:val="FFFFFF" w:themeColor="background1"/>
                </w:rPr>
                <w:t>2022100454</w:t>
              </w:r>
            </w:fldSimple>
            <w:r w:rsidRPr="00E94F8E">
              <w:rPr>
                <w:rFonts w:cs="Times New Roman"/>
              </w:rPr>
              <w:pict>
                <v:shape id="_x0000_s1046" type="#_x0000_t202" style="position:absolute;margin-left:277.95pt;margin-top:6.65pt;width:38pt;height:18.75pt;z-index:2516505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957BB5" w:rsidRDefault="00957BB5" w:rsidP="0011195B">
                        <w:r>
                          <w:t>202000</w:t>
                        </w:r>
                      </w:p>
                    </w:txbxContent>
                  </v:textbox>
                </v:shape>
              </w:pict>
            </w:r>
            <w:r w:rsidRPr="00E94F8E">
              <w:rPr>
                <w:rFonts w:cs="Times New Roman"/>
              </w:rPr>
              <w:pict>
                <v:shape id="_x0000_s1048" type="#_x0000_t202" style="position:absolute;margin-left:414.95pt;margin-top:6.65pt;width:38pt;height:18.75pt;z-index:2516515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957BB5" w:rsidRPr="00502A25" w:rsidRDefault="00957BB5" w:rsidP="00502A25">
                        <w:r>
                          <w:t>2020</w:t>
                        </w:r>
                      </w:p>
                    </w:txbxContent>
                  </v:textbox>
                </v:shape>
              </w:pict>
            </w:r>
            <w:r w:rsidRPr="00E94F8E">
              <w:rPr>
                <w:rFonts w:cs="Times New Roman"/>
              </w:rPr>
              <w:pict>
                <v:shape id="_x0000_s1047" type="#_x0000_t202" style="position:absolute;margin-left:350.45pt;margin-top:6.65pt;width:38pt;height:18.75pt;z-index:2516526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957BB5" w:rsidRDefault="00957BB5" w:rsidP="0011195B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E94F8E">
              <w:rPr>
                <w:rFonts w:cs="Times New Roman"/>
              </w:rPr>
              <w:pict>
                <v:shape id="_x0000_s1045" type="#_x0000_t202" style="position:absolute;margin-left:223.2pt;margin-top:6.65pt;width:38pt;height:18.75pt;z-index:2516536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957BB5" w:rsidRDefault="00957BB5" w:rsidP="0011195B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11195B" w:rsidRDefault="0011195B">
            <w:pPr>
              <w:tabs>
                <w:tab w:val="left" w:pos="6600"/>
                <w:tab w:val="left" w:pos="6660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Bezprostredne predchádzajúce obdobie od</w:t>
            </w:r>
            <w:r>
              <w:rPr>
                <w:rFonts w:ascii="Arial Narrow" w:hAnsi="Arial Narrow" w:cs="Arial"/>
              </w:rPr>
              <w:tab/>
              <w:t>do</w:t>
            </w:r>
            <w:r>
              <w:rPr>
                <w:rFonts w:ascii="Arial Narrow" w:hAnsi="Arial Narrow" w:cs="Arial"/>
              </w:rPr>
              <w:tab/>
            </w:r>
          </w:p>
        </w:tc>
      </w:tr>
      <w:tr w:rsidR="0011195B" w:rsidTr="0011195B">
        <w:trPr>
          <w:trHeight w:val="416"/>
          <w:jc w:val="center"/>
        </w:trPr>
        <w:tc>
          <w:tcPr>
            <w:tcW w:w="5000" w:type="pct"/>
            <w:gridSpan w:val="43"/>
            <w:noWrap/>
          </w:tcPr>
          <w:p w:rsidR="0011195B" w:rsidRDefault="0011195B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2025" w:type="pct"/>
            <w:gridSpan w:val="14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10" w:type="pct"/>
            <w:gridSpan w:val="10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976" w:type="pct"/>
            <w:gridSpan w:val="11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lang w:eastAsia="en-US"/>
              </w:rPr>
              <w:pict>
                <v:shape id="_x0000_s1027" type="#_x0000_t202" style="position:absolute;margin-left:5.65pt;margin-top:1.05pt;width:124.7pt;height:18pt;z-index:2516546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1. 1. 2006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28" w:type="pct"/>
            <w:gridSpan w:val="7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81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296" w:type="pct"/>
            <w:gridSpan w:val="2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riadna</w:t>
            </w:r>
          </w:p>
        </w:tc>
        <w:tc>
          <w:tcPr>
            <w:tcW w:w="181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690" w:type="pct"/>
            <w:gridSpan w:val="8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mimoriadna</w:t>
            </w:r>
          </w:p>
        </w:tc>
        <w:tc>
          <w:tcPr>
            <w:tcW w:w="181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  priebežná</w:t>
            </w:r>
          </w:p>
        </w:tc>
        <w:tc>
          <w:tcPr>
            <w:tcW w:w="181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gridSpan w:val="3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327" w:type="pct"/>
            <w:gridSpan w:val="2"/>
            <w:noWrap/>
            <w:hideMark/>
          </w:tcPr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lang w:eastAsia="en-US"/>
              </w:rPr>
              <w:pict>
                <v:shape id="_x0000_s1029" type="#_x0000_t202" style="position:absolute;margin-left:-1.9pt;margin-top:11.15pt;width:96.6pt;height:18.75pt;z-index:2516556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36437263</w:t>
                          </w:r>
                        </w:fldSimple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  <w:b/>
                <w:bCs/>
              </w:rPr>
              <w:t>IČO</w:t>
            </w: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lang w:eastAsia="en-US"/>
              </w:rPr>
              <w:pict>
                <v:shape id="_x0000_s1028" type="#_x0000_t202" style="position:absolute;margin-left:.3pt;margin-top:11.15pt;width:100.05pt;height:19.35pt;z-index:251656704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2022100454</w:t>
                          </w:r>
                        </w:fldSimple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  <w:b/>
                <w:bCs/>
              </w:rPr>
              <w:t>DIČ</w:t>
            </w: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07" w:type="pct"/>
            <w:gridSpan w:val="8"/>
            <w:noWrap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Kód SK NACE </w:t>
            </w: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9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4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gridSpan w:val="2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noWrap/>
            <w:hideMark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30" type="#_x0000_t202" style="position:absolute;margin-left:4.25pt;margin-top:0;width:35.85pt;height:18.75pt;z-index:2516577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957BB5" w:rsidRDefault="00957BB5" w:rsidP="0011195B">
                        <w:r>
                          <w:t>68</w:t>
                        </w:r>
                        <w:r w:rsidR="00E94F8E">
                          <w:fldChar w:fldCharType="begin"/>
                        </w:r>
                        <w:r>
                          <w:instrText xml:space="preserve"> MERGEFIELD  aSUB_SKNACE12  \* MERGEFORMAT </w:instrText>
                        </w:r>
                        <w:r w:rsidR="00E94F8E"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  <w:hideMark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32" type="#_x0000_t202" style="position:absolute;margin-left:-3.55pt;margin-top:.05pt;width:32.25pt;height:18.75pt;z-index:2516587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957BB5" w:rsidRDefault="00E94F8E" w:rsidP="0011195B">
                        <w:r>
                          <w:fldChar w:fldCharType="begin"/>
                        </w:r>
                        <w:r w:rsidR="00957BB5"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  <w:r w:rsidR="00957BB5">
                          <w:t>32</w:t>
                        </w:r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  <w:hideMark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33" type="#_x0000_t202" style="position:absolute;margin-left:-.7pt;margin-top:0;width:32.25pt;height:18.75pt;z-index:2516597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957BB5" w:rsidRDefault="00957BB5" w:rsidP="0011195B">
                        <w:r>
                          <w:t>0</w:t>
                        </w:r>
                        <w:r w:rsidR="00E94F8E"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 w:rsidR="00E94F8E"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</w:rPr>
              <w:t> </w:t>
            </w: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2879" w:type="pct"/>
            <w:gridSpan w:val="21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502A25" w:rsidRDefault="00502A25">
            <w:pPr>
              <w:rPr>
                <w:rFonts w:ascii="Arial Narrow" w:hAnsi="Arial Narrow" w:cs="Arial"/>
                <w:b/>
                <w:bCs/>
              </w:rPr>
            </w:pPr>
          </w:p>
          <w:p w:rsidR="00502A25" w:rsidRDefault="00502A25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lang w:eastAsia="en-US"/>
              </w:rPr>
              <w:lastRenderedPageBreak/>
              <w:pict>
                <v:shape id="_x0000_s1034" type="#_x0000_t202" style="position:absolute;margin-left:-1.9pt;margin-top:4.95pt;width:460.35pt;height:18.75pt;z-index:2516608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BYP, s.r.o.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Sídlo účtovnej jednotky</w:t>
            </w:r>
          </w:p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pict>
                <v:shape id="_x0000_s1036" type="#_x0000_t202" style="position:absolute;margin-left:383.6pt;margin-top:10.7pt;width:74.85pt;height:18.75pt;z-index:2516618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957BB5" w:rsidRDefault="00E94F8E" w:rsidP="0011195B">
                        <w:fldSimple w:instr=" MERGEFIELD  aSUB_ULICA_CISLO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141</w:t>
                          </w:r>
                        </w:fldSimple>
                      </w:p>
                    </w:txbxContent>
                  </v:textbox>
                </v:shape>
              </w:pict>
            </w:r>
            <w:r w:rsidRPr="00E94F8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pict>
                <v:shape id="_x0000_s1035" type="#_x0000_t202" style="position:absolute;margin-left:-1.9pt;margin-top:10.7pt;width:352.35pt;height:18.75pt;z-index:2516628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Hviezdoslavova</w:t>
                          </w:r>
                        </w:fldSimple>
                      </w:p>
                    </w:txbxContent>
                  </v:textbox>
                </v:shape>
              </w:pict>
            </w:r>
            <w:r w:rsidR="0011195B">
              <w:rPr>
                <w:rFonts w:ascii="Arial Narrow" w:hAnsi="Arial Narrow" w:cs="Arial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195B" w:rsidTr="0011195B">
        <w:trPr>
          <w:trHeight w:val="57"/>
          <w:jc w:val="center"/>
        </w:trPr>
        <w:tc>
          <w:tcPr>
            <w:tcW w:w="2433" w:type="pct"/>
            <w:gridSpan w:val="17"/>
            <w:noWrap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PSČ                              Názov obce</w:t>
            </w: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38" type="#_x0000_t202" style="position:absolute;margin-left:94.7pt;margin-top:.7pt;width:363.75pt;height:18.75pt;z-index:2516638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Liptovský Hrádok</w:t>
                          </w:r>
                        </w:fldSimple>
                      </w:p>
                    </w:txbxContent>
                  </v:textbox>
                </v:shape>
              </w:pict>
            </w:r>
            <w:r w:rsidRPr="00E94F8E">
              <w:rPr>
                <w:lang w:eastAsia="en-US"/>
              </w:rPr>
              <w:pict>
                <v:shape id="_x0000_s1037" type="#_x0000_t202" style="position:absolute;margin-left:-1.9pt;margin-top:.7pt;width:89.1pt;height:18.75pt;z-index:2516648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03301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Číslo telefónu                                                     Číslo faxu</w:t>
            </w:r>
          </w:p>
        </w:tc>
      </w:tr>
      <w:tr w:rsidR="0011195B" w:rsidTr="0011195B">
        <w:trPr>
          <w:trHeight w:val="57"/>
          <w:jc w:val="center"/>
        </w:trPr>
        <w:tc>
          <w:tcPr>
            <w:tcW w:w="1050" w:type="pct"/>
            <w:gridSpan w:val="7"/>
            <w:noWrap/>
          </w:tcPr>
          <w:p w:rsidR="0011195B" w:rsidRDefault="00E94F8E">
            <w:pPr>
              <w:rPr>
                <w:rFonts w:ascii="Arial Narrow" w:hAnsi="Arial Narrow" w:cs="Arial"/>
                <w:b/>
                <w:bCs/>
              </w:rPr>
            </w:pPr>
            <w:r w:rsidRPr="00E94F8E">
              <w:rPr>
                <w:lang w:eastAsia="en-US"/>
              </w:rPr>
              <w:pict>
                <v:shape id="_x0000_s1039" type="#_x0000_t202" style="position:absolute;margin-left:-1.9pt;margin-top:.45pt;width:191.85pt;height:18.75pt;z-index:2516659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044/5222244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</w:p>
          <w:p w:rsidR="0011195B" w:rsidRDefault="0011195B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E-mailová adresa</w:t>
            </w: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  <w:hideMark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40" type="#_x0000_t202" style="position:absolute;margin-left:7.4pt;margin-top:.45pt;width:263.85pt;height:18.75pt;z-index:2516669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FAX  \* MERGEFORMAT ">
                          <w:r w:rsidR="00957BB5">
                            <w:rPr>
                              <w:rFonts w:ascii="Arial" w:hAnsi="Arial" w:cs="Arial"/>
                              <w:noProof/>
                            </w:rPr>
                            <w:t>044/5222683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57"/>
          <w:jc w:val="center"/>
        </w:trPr>
        <w:tc>
          <w:tcPr>
            <w:tcW w:w="166" w:type="pct"/>
            <w:noWrap/>
          </w:tcPr>
          <w:p w:rsidR="0011195B" w:rsidRDefault="00E94F8E">
            <w:pPr>
              <w:rPr>
                <w:rFonts w:ascii="Arial Narrow" w:hAnsi="Arial Narrow" w:cs="Arial"/>
              </w:rPr>
            </w:pPr>
            <w:r w:rsidRPr="00E94F8E">
              <w:rPr>
                <w:lang w:eastAsia="en-US"/>
              </w:rPr>
              <w:pict>
                <v:shape id="_x0000_s1041" type="#_x0000_t202" style="position:absolute;margin-left:-1.9pt;margin-top:-.8pt;width:460.35pt;height:18.75pt;z-index:2516679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957BB5" w:rsidRDefault="00E94F8E" w:rsidP="0011195B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957BB5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  <w:tr w:rsidR="0011195B" w:rsidTr="0011195B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11195B" w:rsidRDefault="0011195B" w:rsidP="001C5F1E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Zostavené dňa: </w:t>
            </w:r>
            <w:r w:rsidR="00502A25">
              <w:rPr>
                <w:rFonts w:ascii="Arial Narrow" w:hAnsi="Arial Narrow" w:cs="Arial"/>
              </w:rPr>
              <w:t>1</w:t>
            </w:r>
            <w:r w:rsidR="001C5F1E">
              <w:rPr>
                <w:rFonts w:ascii="Arial Narrow" w:hAnsi="Arial Narrow" w:cs="Arial"/>
              </w:rPr>
              <w:t>1</w:t>
            </w:r>
            <w:r>
              <w:rPr>
                <w:rFonts w:ascii="Arial Narrow" w:hAnsi="Arial Narrow" w:cs="Arial"/>
              </w:rPr>
              <w:t>.0</w:t>
            </w:r>
            <w:r w:rsidR="00502A25">
              <w:rPr>
                <w:rFonts w:ascii="Arial Narrow" w:hAnsi="Arial Narrow" w:cs="Arial"/>
              </w:rPr>
              <w:t>5</w:t>
            </w:r>
            <w:r>
              <w:rPr>
                <w:rFonts w:ascii="Arial Narrow" w:hAnsi="Arial Narrow" w:cs="Arial"/>
              </w:rPr>
              <w:t>.202</w:t>
            </w:r>
            <w:r w:rsidR="00502A25">
              <w:rPr>
                <w:rFonts w:ascii="Arial Narrow" w:hAnsi="Arial Narrow" w:cs="Arial"/>
              </w:rPr>
              <w:t>2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 člena štatutárneho orgánu účtovnej jednotky alebo fyzickej osoby, ktorá je účtovnou jednotkou:</w:t>
            </w:r>
          </w:p>
        </w:tc>
      </w:tr>
      <w:tr w:rsidR="0011195B" w:rsidTr="0011195B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</w:rPr>
            </w:pPr>
          </w:p>
        </w:tc>
      </w:tr>
    </w:tbl>
    <w:bookmarkEnd w:id="0"/>
    <w:p w:rsidR="0011195B" w:rsidRDefault="00E94F8E" w:rsidP="0011195B">
      <w:pPr>
        <w:jc w:val="both"/>
        <w:rPr>
          <w:rFonts w:ascii="Arial Narrow" w:hAnsi="Arial Narrow" w:cs="Arial"/>
          <w:b/>
          <w:bCs/>
          <w:lang w:eastAsia="en-US"/>
        </w:rPr>
      </w:pPr>
      <w:r w:rsidRPr="00E94F8E">
        <w:rPr>
          <w:sz w:val="20"/>
          <w:szCs w:val="20"/>
          <w:lang w:eastAsia="en-US"/>
        </w:rPr>
        <w:pict>
          <v:shape id="Text Box 6" o:spid="_x0000_s1026" type="#_x0000_t202" style="position:absolute;left:0;text-align:left;margin-left:68.2pt;margin-top:.1pt;width:11.9pt;height:11.9pt;z-index:2516689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957BB5" w:rsidRDefault="00957BB5" w:rsidP="0011195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11195B">
        <w:rPr>
          <w:rFonts w:ascii="Arial Narrow" w:hAnsi="Arial Narrow" w:cs="Arial"/>
        </w:rPr>
        <w:t xml:space="preserve">*) Vyznačuje sa    </w:t>
      </w: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A.</w:t>
      </w:r>
      <w:r>
        <w:rPr>
          <w:rFonts w:ascii="Arial Narrow" w:hAnsi="Arial Narrow" w:cs="Arial"/>
          <w:sz w:val="28"/>
          <w:szCs w:val="28"/>
        </w:rPr>
        <w:tab/>
        <w:t xml:space="preserve"> Informácie o účtovnej jednotke</w:t>
      </w: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Obchodné meno a sídlo</w:t>
      </w:r>
    </w:p>
    <w:p w:rsidR="0011195B" w:rsidRDefault="0011195B" w:rsidP="0011195B">
      <w:pPr>
        <w:rPr>
          <w:rFonts w:ascii="Arial Narrow" w:hAnsi="Arial Narrow" w:cs="Arial"/>
          <w:sz w:val="20"/>
          <w:szCs w:val="20"/>
        </w:rPr>
      </w:pPr>
    </w:p>
    <w:p w:rsidR="0011195B" w:rsidRDefault="0011195B" w:rsidP="0011195B">
      <w:pPr>
        <w:pStyle w:val="odstavec"/>
        <w:rPr>
          <w:b/>
        </w:rPr>
      </w:pPr>
      <w:r>
        <w:t xml:space="preserve">Názov spoločnosti :  </w:t>
      </w:r>
      <w:r>
        <w:rPr>
          <w:b/>
        </w:rPr>
        <w:t>BYP, s. r. o.</w:t>
      </w:r>
    </w:p>
    <w:p w:rsidR="0011195B" w:rsidRDefault="0011195B" w:rsidP="0011195B">
      <w:pPr>
        <w:pStyle w:val="odstavec"/>
      </w:pPr>
      <w:r>
        <w:t>Adresa spoločnosti : Hviezdoslavova 141, 033 01 Liptovský Hrádok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 xml:space="preserve">Spoločnosť BYP, s. r. o. (ďalej len „Spoločnosť“) bola založená 01.01.2006 a do Obchodného registra bola zapísaná 01.01.2006 (Obchodný register Okresného súdu ŽILINA v odd. </w:t>
      </w:r>
      <w:proofErr w:type="spellStart"/>
      <w:r>
        <w:t>Sro</w:t>
      </w:r>
      <w:proofErr w:type="spellEnd"/>
      <w:r>
        <w:t>,  vložka číslo 16908/L).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Hlavné činnosti Spoločnosti podľa výpisu z Obchodného registra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Výroba, rozvod a predaj tepla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Správa bytového a nebytového fondu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Drobné údržbárske práce v rozsahu voľných živností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Poradenská a konzultačná činnosť v oblasti údržby, opráv a prevádzkovania energetických    zariadení na výrobu, rozvod a dodávku tepla                                                                                                                           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Cestná nákladná doprava s celkovou hmotnosťou do 3,5 tony vrátane prípojného vozidla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Prenájom nehnuteľností a hnuteľných vecí v rozsahu voľných živností.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Obchod s tovarom všetkého druhu v rozsahu voľných živností.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Vedenie účtovníctva.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Administratívne práce.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Manipulácia s nákladom.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Skladovanie a uskladňovanie.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Automatizované spracovanie údajov.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Obstarávateľská činnosť spojená so správou bytového a nebytového fondu.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Reklamná, propagačná a inzertná činnosť.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Sprostredkovateľská činnosť  v rozsahu voľných živností.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Poskytovanie software – predaj hotových programov na základe zmluvy s  autorom.      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Poskytovanie dátových služieb – internetová čitáreň.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 a tvorba webových stránok.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Prieskum trhu.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Návrh, projektovanie a realizácia počítačových sietí a projektov využitia výpočtovej techniky a internetu.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Zálohovanie nosičov záznamu dát, zvuku a obrazu.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Sprostredkovanie údržby bytového fondu.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 xml:space="preserve">Prevádzkovanie telovýchovných zariadení a zariadení slúžiacich na regeneráciu a rekondíciu. 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Prevádzkovanie sauny, solária a bazénov.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 a propagačná činnosť a výroba reklamy v rozsahu voľných živností.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Upratovacie a čistiace práce.                                                              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Organizovanie spoločenských, kultúrnych a športových podujatí.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Osobná cestná doprava s obsaditeľnosťou do 9 osôb vrátane vodiča s výnimkou taxislužby.</w:t>
      </w: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Neobmedzené ručenie</w:t>
      </w:r>
    </w:p>
    <w:p w:rsidR="0011195B" w:rsidRDefault="0011195B" w:rsidP="0011195B">
      <w:pPr>
        <w:pStyle w:val="Nadpis2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/>
          <w:b w:val="0"/>
          <w:i w:val="0"/>
          <w:sz w:val="22"/>
          <w:szCs w:val="22"/>
        </w:rPr>
        <w:t>Spoločnosť nie je neobmedzene ručiacim spoločníkom v iných účtovných jednotkách.</w:t>
      </w:r>
    </w:p>
    <w:p w:rsidR="0011195B" w:rsidRDefault="0011195B" w:rsidP="0011195B">
      <w:pPr>
        <w:rPr>
          <w:rFonts w:ascii="Arial Narrow" w:hAnsi="Arial Narrow" w:cs="Arial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11195B" w:rsidTr="0011195B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11195B" w:rsidTr="0011195B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1195B" w:rsidRDefault="0011195B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14,</w:t>
            </w:r>
            <w:r w:rsidR="00502A25">
              <w:rPr>
                <w:rFonts w:ascii="Arial Narrow" w:hAnsi="Arial Narrow" w:cs="Arial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1195B" w:rsidRDefault="00502A25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14,5</w:t>
            </w:r>
          </w:p>
        </w:tc>
      </w:tr>
      <w:tr w:rsidR="0011195B" w:rsidTr="0011195B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1195B" w:rsidRDefault="0011195B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14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1195B" w:rsidRDefault="0011195B" w:rsidP="00502A25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</w:t>
            </w:r>
            <w:r w:rsidR="00502A25">
              <w:rPr>
                <w:rFonts w:ascii="Arial Narrow" w:hAnsi="Arial Narrow" w:cs="Arial"/>
              </w:rPr>
              <w:t>4</w:t>
            </w:r>
          </w:p>
        </w:tc>
      </w:tr>
      <w:tr w:rsidR="0011195B" w:rsidTr="0011195B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11195B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11195B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</w:tr>
    </w:tbl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:rsidR="0011195B" w:rsidRDefault="0011195B" w:rsidP="0011195B">
      <w:pPr>
        <w:pStyle w:val="odstavec"/>
      </w:pPr>
      <w:r>
        <w:t>Účtovná závierka Spoločnosti k 31. decembru 202</w:t>
      </w:r>
      <w:r w:rsidR="00502A25">
        <w:t>1</w:t>
      </w:r>
      <w:r>
        <w:t xml:space="preserve"> je zostavená ako riadna účtovná závierka podľa § 17 ods. 6 zákona NR SR č. 431/2002 Z. z. o účtovníctve v znení neskorších predpisov (ďalej len „zákon o účtovníctve“) za účtovné obdobie od 1. januára 202</w:t>
      </w:r>
      <w:r w:rsidR="00502A25">
        <w:t>1</w:t>
      </w:r>
      <w:r>
        <w:t xml:space="preserve"> do 31. decembra 202</w:t>
      </w:r>
      <w:r w:rsidR="00502A25">
        <w:t>1</w:t>
      </w:r>
      <w:r>
        <w:t>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Dátum schválenia účtovnej závierky za predchádzajúce účtovné obdobie</w:t>
      </w:r>
    </w:p>
    <w:p w:rsidR="0011195B" w:rsidRDefault="0011195B" w:rsidP="0011195B">
      <w:pPr>
        <w:pStyle w:val="odstavec"/>
      </w:pPr>
      <w:r>
        <w:t>Valné zhromaždenie schválilo dňa 1</w:t>
      </w:r>
      <w:r w:rsidR="00502A25">
        <w:t>6</w:t>
      </w:r>
      <w:r>
        <w:t>. 06. 202</w:t>
      </w:r>
      <w:r w:rsidR="00502A25">
        <w:t>1</w:t>
      </w:r>
      <w:r>
        <w:t xml:space="preserve"> účtovnú závierku Spoločnosti za predchádzajúce účtovné obdobie.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Zverejnenie účtovnej závierky za predchádzajúce účtovné obdobie </w:t>
      </w:r>
    </w:p>
    <w:p w:rsidR="0011195B" w:rsidRDefault="0011195B" w:rsidP="0011195B">
      <w:pPr>
        <w:pStyle w:val="odstavec"/>
      </w:pPr>
      <w:r>
        <w:t>Účtovná závierka Spoločnosti k 31. decembru 20</w:t>
      </w:r>
      <w:r w:rsidR="00C829F3">
        <w:t>20</w:t>
      </w:r>
      <w:r>
        <w:t xml:space="preserve"> bola uložená do zbierky listín obchodného registra dňa </w:t>
      </w:r>
      <w:r w:rsidR="006012EA">
        <w:t>22.04.2021</w:t>
      </w:r>
      <w:r>
        <w:t>.</w:t>
      </w:r>
    </w:p>
    <w:p w:rsidR="0011195B" w:rsidRDefault="0011195B" w:rsidP="0011195B">
      <w:pPr>
        <w:pStyle w:val="Nadpis1"/>
        <w:keepNext w:val="0"/>
        <w:suppressAutoHyphens/>
        <w:rPr>
          <w:rFonts w:ascii="Arial Narrow" w:hAnsi="Arial Narrow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>B. Orgány Spoločnosti</w:t>
      </w:r>
    </w:p>
    <w:p w:rsidR="0011195B" w:rsidRDefault="0011195B" w:rsidP="0011195B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1.  Orgány Spoločnosti </w:t>
      </w:r>
    </w:p>
    <w:tbl>
      <w:tblPr>
        <w:tblW w:w="963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253"/>
        <w:gridCol w:w="2411"/>
        <w:gridCol w:w="2972"/>
      </w:tblGrid>
      <w:tr w:rsidR="0011195B" w:rsidTr="0011195B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 w:rsidP="00A52C88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A52C88">
              <w:rPr>
                <w:rFonts w:ascii="Arial Narrow" w:hAnsi="Arial Narrow" w:cs="Arial"/>
                <w:b/>
                <w:iCs/>
                <w:color w:val="000000"/>
              </w:rPr>
              <w:t>1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 w:rsidP="00A52C88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</w:t>
            </w:r>
            <w:r w:rsidR="00A52C88">
              <w:rPr>
                <w:rFonts w:ascii="Arial Narrow" w:hAnsi="Arial Narrow" w:cs="Arial"/>
                <w:b/>
                <w:iCs/>
                <w:color w:val="000000"/>
              </w:rPr>
              <w:t>20</w:t>
            </w:r>
          </w:p>
        </w:tc>
      </w:tr>
      <w:tr w:rsidR="0011195B" w:rsidTr="0011195B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pStyle w:val="odstavec"/>
            </w:pPr>
            <w:r>
              <w:t xml:space="preserve">Konateľ: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</w:tr>
    </w:tbl>
    <w:p w:rsidR="0011195B" w:rsidRDefault="0011195B" w:rsidP="0011195B">
      <w:pPr>
        <w:pStyle w:val="odstavec"/>
      </w:pPr>
    </w:p>
    <w:p w:rsidR="00A52C88" w:rsidRDefault="00A52C88" w:rsidP="0011195B">
      <w:pPr>
        <w:pStyle w:val="odstavec"/>
      </w:pPr>
    </w:p>
    <w:p w:rsidR="00A52C88" w:rsidRDefault="00A52C88" w:rsidP="0011195B">
      <w:pPr>
        <w:pStyle w:val="odstavec"/>
      </w:pPr>
    </w:p>
    <w:p w:rsidR="00A52C88" w:rsidRDefault="00A52C88" w:rsidP="0011195B">
      <w:pPr>
        <w:pStyle w:val="odstavec"/>
      </w:pPr>
    </w:p>
    <w:p w:rsidR="0011195B" w:rsidRDefault="0011195B" w:rsidP="0011195B">
      <w:pPr>
        <w:pStyle w:val="Nadpis2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2.  Spoločníci Spoločnosti</w:t>
      </w:r>
    </w:p>
    <w:p w:rsidR="0011195B" w:rsidRDefault="0011195B" w:rsidP="0011195B">
      <w:pPr>
        <w:pStyle w:val="odstavec"/>
      </w:pPr>
      <w:r>
        <w:t>Štruktúra spoločníkov Spoločnosti k 31. decembru 202</w:t>
      </w:r>
      <w:r w:rsidR="00A52C88">
        <w:t>1</w:t>
      </w:r>
      <w:r>
        <w:t>:</w:t>
      </w:r>
    </w:p>
    <w:p w:rsidR="0011195B" w:rsidRDefault="0011195B" w:rsidP="0011195B">
      <w:pPr>
        <w:pStyle w:val="odstavec"/>
      </w:pPr>
      <w: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35"/>
        <w:gridCol w:w="1660"/>
        <w:gridCol w:w="1660"/>
        <w:gridCol w:w="1660"/>
        <w:gridCol w:w="1660"/>
      </w:tblGrid>
      <w:tr w:rsidR="0011195B" w:rsidTr="0011195B">
        <w:trPr>
          <w:trHeight w:val="240"/>
        </w:trPr>
        <w:tc>
          <w:tcPr>
            <w:tcW w:w="30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Iný podiel na ostatných položkách VI ako na ZI v %</w:t>
            </w:r>
          </w:p>
        </w:tc>
      </w:tr>
      <w:tr w:rsidR="0011195B" w:rsidTr="0011195B">
        <w:trPr>
          <w:trHeight w:val="679"/>
        </w:trPr>
        <w:tc>
          <w:tcPr>
            <w:tcW w:w="30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  <w:tr w:rsidR="0011195B" w:rsidTr="0011195B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</w:tr>
      <w:tr w:rsidR="0011195B" w:rsidTr="0011195B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113" w:right="57"/>
              <w:jc w:val="center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Mesto, Liptovský Hrádok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195B" w:rsidRDefault="0011195B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11195B" w:rsidTr="0011195B">
        <w:trPr>
          <w:trHeight w:val="255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</w:tbl>
    <w:p w:rsidR="0011195B" w:rsidRDefault="0011195B" w:rsidP="0011195B">
      <w:pPr>
        <w:pStyle w:val="odstavec"/>
      </w:pPr>
      <w:r>
        <w:t xml:space="preserve">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C. Informácie o konsolidovanom celku</w:t>
      </w:r>
    </w:p>
    <w:p w:rsidR="0011195B" w:rsidRDefault="0011195B" w:rsidP="0011195B">
      <w:pPr>
        <w:jc w:val="both"/>
        <w:rPr>
          <w:rFonts w:ascii="Arial Narrow" w:hAnsi="Arial Narrow" w:cs="Arial"/>
          <w:b/>
        </w:rPr>
      </w:pPr>
    </w:p>
    <w:p w:rsidR="0011195B" w:rsidRDefault="0011195B" w:rsidP="0011195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sa zaraďuje do konsolidovaného celku, t. j. do konsolidovanej účtovnej závierky verejnej správy materskej účtovnej jednotky MESTO Liptovský Hrádok.</w:t>
      </w:r>
      <w:r w:rsidR="00E94F8E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p06 \* MERGEFORMAT </w:instrText>
      </w:r>
      <w:r w:rsidR="00E94F8E">
        <w:rPr>
          <w:rFonts w:ascii="Arial Narrow" w:hAnsi="Arial Narrow" w:cs="Arial"/>
        </w:rPr>
        <w:fldChar w:fldCharType="end"/>
      </w:r>
    </w:p>
    <w:p w:rsidR="00A52C88" w:rsidRDefault="00A52C88" w:rsidP="0011195B">
      <w:pPr>
        <w:jc w:val="both"/>
        <w:rPr>
          <w:rFonts w:ascii="Arial Narrow" w:hAnsi="Arial Narrow" w:cs="Arial"/>
          <w:b/>
          <w:sz w:val="28"/>
          <w:szCs w:val="28"/>
        </w:rPr>
      </w:pPr>
    </w:p>
    <w:p w:rsidR="0011195B" w:rsidRDefault="0011195B" w:rsidP="0011195B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D. Informácie o použitých účtovných zásadách a účtovných metódach</w:t>
      </w:r>
    </w:p>
    <w:p w:rsidR="0011195B" w:rsidRDefault="0011195B" w:rsidP="0011195B">
      <w:pPr>
        <w:pStyle w:val="Odsekzoznamu"/>
        <w:numPr>
          <w:ilvl w:val="0"/>
          <w:numId w:val="2"/>
        </w:numPr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Východiská pre zostavenie účtovnej závierky</w:t>
      </w:r>
    </w:p>
    <w:p w:rsidR="0011195B" w:rsidRDefault="0011195B" w:rsidP="0011195B">
      <w:pPr>
        <w:ind w:left="360"/>
        <w:jc w:val="both"/>
        <w:rPr>
          <w:rFonts w:ascii="Arial Narrow" w:hAnsi="Arial Narrow" w:cs="Arial"/>
          <w:b/>
        </w:rPr>
      </w:pPr>
    </w:p>
    <w:p w:rsidR="0011195B" w:rsidRDefault="0011195B" w:rsidP="0011195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závierka Spoločnosti </w:t>
      </w:r>
      <w:r w:rsidR="00E94F8E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p07 </w:instrText>
      </w:r>
      <w:r w:rsidR="00E94F8E">
        <w:rPr>
          <w:rFonts w:ascii="Arial Narrow" w:hAnsi="Arial Narrow" w:cs="Arial"/>
        </w:rPr>
        <w:fldChar w:fldCharType="end"/>
      </w:r>
      <w:r>
        <w:rPr>
          <w:rFonts w:ascii="Arial Narrow" w:hAnsi="Arial Narrow" w:cs="Arial"/>
        </w:rPr>
        <w:t>bola zostavená za predpokladu nepretržitého trvania jej činnosti v súlade so zákonom o účtovníctve platným v Slovenskej republike a nadväzujúcimi postupmi účtovania.</w:t>
      </w:r>
    </w:p>
    <w:p w:rsidR="0011195B" w:rsidRDefault="0011195B" w:rsidP="0011195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11195B" w:rsidRDefault="0011195B" w:rsidP="0011195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Účtovné metódy a všeobecné účtovné zásady spoločnosť aplikovala konzistentne s predchádzajúcim účtovným obdobím.</w:t>
      </w:r>
    </w:p>
    <w:p w:rsidR="0011195B" w:rsidRDefault="0011195B" w:rsidP="0011195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Peňažné údaje v účtovnej závierke sú vedené v celých EUR, pokiaľ nie je určené inak.</w:t>
      </w:r>
    </w:p>
    <w:p w:rsidR="0011195B" w:rsidRDefault="0011195B" w:rsidP="0011195B">
      <w:pPr>
        <w:pStyle w:val="Odsekzoznamu"/>
        <w:numPr>
          <w:ilvl w:val="0"/>
          <w:numId w:val="2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Dlhodobý nehmotný a dlhodobý hmotný majetok</w:t>
      </w:r>
    </w:p>
    <w:p w:rsidR="0011195B" w:rsidRDefault="0011195B" w:rsidP="0011195B">
      <w:pPr>
        <w:rPr>
          <w:rFonts w:ascii="Arial Narrow" w:hAnsi="Arial Narrow" w:cs="Arial"/>
          <w:b/>
        </w:rPr>
      </w:pPr>
    </w:p>
    <w:p w:rsidR="0011195B" w:rsidRDefault="0011195B" w:rsidP="0011195B"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Nehmotný majetok, ktorého obstarávacia cena (resp. vlastné náklady) neprevýši 2 400,- EUR, sa zaraďuje na účty dlhodobého majetku a odpisuje sa jednorazovo pri uvedení do používania.</w:t>
      </w:r>
    </w:p>
    <w:p w:rsidR="0011195B" w:rsidRDefault="0011195B" w:rsidP="0011195B">
      <w:pPr>
        <w:pStyle w:val="odstavec"/>
      </w:pPr>
    </w:p>
    <w:p w:rsidR="00A52C88" w:rsidRDefault="00A52C88" w:rsidP="0011195B">
      <w:pPr>
        <w:pStyle w:val="odstavec"/>
      </w:pPr>
    </w:p>
    <w:p w:rsidR="00A52C88" w:rsidRDefault="00A52C88" w:rsidP="0011195B">
      <w:pPr>
        <w:pStyle w:val="odstavec"/>
      </w:pPr>
    </w:p>
    <w:p w:rsidR="0011195B" w:rsidRDefault="0011195B" w:rsidP="0011195B">
      <w:pPr>
        <w:pStyle w:val="odstavec"/>
      </w:pPr>
      <w:r>
        <w:lastRenderedPageBreak/>
        <w:t>Predpokladaná doba používania, metóda odpisovania a odpisová sadzba sú uvedené v nasledujúcej tabuľke:</w:t>
      </w:r>
    </w:p>
    <w:p w:rsidR="0011195B" w:rsidRDefault="0011195B" w:rsidP="0011195B">
      <w:pPr>
        <w:pStyle w:val="odstavec"/>
      </w:pPr>
    </w:p>
    <w:tbl>
      <w:tblPr>
        <w:tblW w:w="9696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756"/>
        <w:gridCol w:w="2395"/>
        <w:gridCol w:w="1772"/>
        <w:gridCol w:w="1773"/>
      </w:tblGrid>
      <w:tr w:rsidR="0011195B" w:rsidTr="0011195B">
        <w:trPr>
          <w:cantSplit/>
          <w:trHeight w:val="170"/>
        </w:trPr>
        <w:tc>
          <w:tcPr>
            <w:tcW w:w="37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39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Ročná odpisová</w:t>
            </w:r>
          </w:p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sadzba </w:t>
            </w:r>
          </w:p>
        </w:tc>
      </w:tr>
      <w:tr w:rsidR="0011195B" w:rsidTr="0011195B">
        <w:trPr>
          <w:cantSplit/>
          <w:trHeight w:val="308"/>
        </w:trPr>
        <w:tc>
          <w:tcPr>
            <w:tcW w:w="375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239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1/4</w:t>
            </w:r>
          </w:p>
        </w:tc>
      </w:tr>
      <w:tr w:rsidR="0011195B" w:rsidTr="0011195B">
        <w:trPr>
          <w:cantSplit/>
          <w:trHeight w:val="457"/>
        </w:trPr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</w:tbl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rPr>
          <w:b/>
        </w:rPr>
        <w:t>Dlhodobý hmotný majetok sa odpisuje podľa odpisového plánu, ktorý bol zostavený na základe predpokladanej doby</w:t>
      </w:r>
      <w:r>
        <w:t xml:space="preserve"> jeho používania zodpovedajúcej spotrebe budúcich ekonomických úžitkov z majetku. Odpisovať sa začína prvým dňom mesiaca nasledujúceho po uvedení majetku do používania. Hmotný majetok, ktorého obstarávacia cena (resp. vlastné náklady) neprevýši 1 700,- EUR, sa zaraďuje na účty dlhodobého majetku a odpisuje sa jednorazovo pri uvedení do používania.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Predpokladaná doba používania, metóda odpisovania a odpisová sadzba sú uvedené v nasledujúcej tabuľke:</w:t>
      </w:r>
    </w:p>
    <w:p w:rsidR="0011195B" w:rsidRDefault="0011195B" w:rsidP="0011195B">
      <w:pPr>
        <w:pStyle w:val="odstavec"/>
      </w:pPr>
    </w:p>
    <w:tbl>
      <w:tblPr>
        <w:tblW w:w="9624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467"/>
        <w:gridCol w:w="2482"/>
        <w:gridCol w:w="1837"/>
        <w:gridCol w:w="1838"/>
      </w:tblGrid>
      <w:tr w:rsidR="0011195B" w:rsidTr="0011195B">
        <w:trPr>
          <w:cantSplit/>
          <w:trHeight w:val="420"/>
        </w:trPr>
        <w:tc>
          <w:tcPr>
            <w:tcW w:w="34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11195B" w:rsidRDefault="0011195B">
            <w:pPr>
              <w:suppressAutoHyphens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Odpisová skupina</w:t>
            </w:r>
          </w:p>
        </w:tc>
        <w:tc>
          <w:tcPr>
            <w:tcW w:w="24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Predpokladaná doba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používania v rokoch</w:t>
            </w:r>
          </w:p>
        </w:tc>
        <w:tc>
          <w:tcPr>
            <w:tcW w:w="18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odpisovania</w:t>
            </w:r>
          </w:p>
        </w:tc>
        <w:tc>
          <w:tcPr>
            <w:tcW w:w="18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Ročná odpisová</w:t>
            </w:r>
          </w:p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sadzba </w:t>
            </w:r>
          </w:p>
        </w:tc>
      </w:tr>
      <w:tr w:rsidR="0011195B" w:rsidTr="0011195B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6 - Bytové domy, budovy  a stavby - administratívne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40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1/40</w:t>
            </w:r>
          </w:p>
        </w:tc>
      </w:tr>
      <w:tr w:rsidR="0011195B" w:rsidTr="0011195B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5 - Budovy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1/20</w:t>
            </w:r>
          </w:p>
        </w:tc>
      </w:tr>
      <w:tr w:rsidR="0011195B" w:rsidTr="0011195B">
        <w:trPr>
          <w:cantSplit/>
          <w:trHeight w:val="20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4 - stroje, prístroje a zariadenia,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12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1/12</w:t>
            </w:r>
          </w:p>
        </w:tc>
      </w:tr>
      <w:tr w:rsidR="0011195B" w:rsidTr="0011195B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3 – výrobné technológie - kotly a horáky, ... 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8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1/8</w:t>
            </w:r>
          </w:p>
        </w:tc>
      </w:tr>
      <w:tr w:rsidR="0011195B" w:rsidTr="0011195B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2 – nábytok, hydraulika, regulácia, čerpadlá,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1/6</w:t>
            </w:r>
          </w:p>
        </w:tc>
      </w:tr>
      <w:tr w:rsidR="0011195B" w:rsidTr="0011195B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1 – počítače,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komunik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 xml:space="preserve">.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zar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>., dopravné prostriedky,...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</w:t>
            </w:r>
          </w:p>
        </w:tc>
      </w:tr>
      <w:tr w:rsidR="0011195B" w:rsidTr="0011195B">
        <w:trPr>
          <w:cantSplit/>
          <w:trHeight w:val="227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0 - elektromobily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</w:t>
            </w:r>
          </w:p>
        </w:tc>
      </w:tr>
      <w:tr w:rsidR="0011195B" w:rsidTr="0011195B">
        <w:trPr>
          <w:cantSplit/>
          <w:trHeight w:val="420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Hmotný majetok, ktorého obstarávacia cena neprevýši 1 700 EUR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1195B" w:rsidRDefault="0011195B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</w:p>
        </w:tc>
      </w:tr>
    </w:tbl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  <w:rPr>
          <w:b/>
        </w:rPr>
      </w:pPr>
      <w:r>
        <w:rPr>
          <w:b/>
        </w:rPr>
        <w:t xml:space="preserve">Poistenie majetku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Na majetok m</w:t>
      </w:r>
      <w:r w:rsidR="004228D6">
        <w:t>ala</w:t>
      </w:r>
      <w:r>
        <w:t xml:space="preserve"> spoločnosť uzatvorenú poistnú zmluvu č. 511 046 299 – Komplexné poistenie podnikateľov – rámcová zmluva ZBHS </w:t>
      </w:r>
      <w:r w:rsidR="004228D6">
        <w:t xml:space="preserve">do 31.05.2021. Od 01.06.2021 má spoločnosť uzatvorenú novú poistnú zmluvu č. 511124490 </w:t>
      </w:r>
      <w:r w:rsidR="008739EE">
        <w:t xml:space="preserve">– Komplexné poistenie podnikateľov – Rámcová dohoda ZBHS </w:t>
      </w:r>
      <w:r>
        <w:t>vo výške 1</w:t>
      </w:r>
      <w:r w:rsidR="008739EE">
        <w:t> 574,85</w:t>
      </w:r>
      <w:r>
        <w:t xml:space="preserve"> € ročne. Poistné zahŕňa poistenie budov a nebytových priestorov vo vlastníctve alebo v správe na poistnú sumu 1</w:t>
      </w:r>
      <w:r w:rsidR="008739EE">
        <w:t> 732 751,66</w:t>
      </w:r>
      <w:r>
        <w:t xml:space="preserve"> €, </w:t>
      </w:r>
      <w:r w:rsidR="008739EE">
        <w:t>zodpovednosť za škodu, poistenie hnuteľných vecí, poistenie strojov a elektroniky, poistenie nákladu, poistenie zodpovednosti za škodu spôsobenú pri výkone profesie.</w:t>
      </w:r>
    </w:p>
    <w:p w:rsidR="0011195B" w:rsidRDefault="0011195B" w:rsidP="0011195B">
      <w:pPr>
        <w:pStyle w:val="abc"/>
      </w:pPr>
      <w:r>
        <w:lastRenderedPageBreak/>
        <w:t>Cenné papiere a podiely</w:t>
      </w:r>
    </w:p>
    <w:p w:rsidR="0011195B" w:rsidRDefault="0011195B" w:rsidP="0011195B">
      <w:pPr>
        <w:pStyle w:val="abc"/>
      </w:pPr>
      <w:r>
        <w:t>Spoločnosť v roku 202</w:t>
      </w:r>
      <w:r w:rsidR="00805EAD">
        <w:t>1</w:t>
      </w:r>
      <w:r>
        <w:t xml:space="preserve"> neeviduje nákup a predaj cenných papierov alebo podielov.</w:t>
      </w:r>
    </w:p>
    <w:p w:rsidR="0011195B" w:rsidRDefault="0011195B" w:rsidP="0011195B">
      <w:pPr>
        <w:pStyle w:val="abc"/>
      </w:pPr>
    </w:p>
    <w:p w:rsidR="0011195B" w:rsidRDefault="0011195B" w:rsidP="0011195B">
      <w:pPr>
        <w:pStyle w:val="abc"/>
      </w:pPr>
      <w:r>
        <w:t>Zásoby</w:t>
      </w:r>
    </w:p>
    <w:p w:rsidR="0011195B" w:rsidRDefault="0011195B" w:rsidP="0011195B"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Zásoby vytvorené vlastnou činnosťou Spoločnosť nemala.</w:t>
      </w:r>
    </w:p>
    <w:p w:rsidR="0011195B" w:rsidRDefault="0011195B" w:rsidP="0011195B">
      <w:pPr>
        <w:pStyle w:val="odstavec"/>
      </w:pPr>
      <w:r>
        <w:t>Zásoby obstarané iným spôsobom Spoločnosť nemala.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Zákazková výroba</w:t>
      </w:r>
    </w:p>
    <w:p w:rsidR="0011195B" w:rsidRDefault="0011195B" w:rsidP="0011195B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Spoločnosť o zákazkovej výrobe neúčtuje.</w:t>
      </w:r>
    </w:p>
    <w:p w:rsidR="0011195B" w:rsidRDefault="0011195B" w:rsidP="0011195B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</w:p>
    <w:p w:rsidR="0011195B" w:rsidRDefault="0011195B" w:rsidP="0011195B">
      <w:pPr>
        <w:pStyle w:val="abc"/>
      </w:pPr>
      <w:r>
        <w:t>Pohľadávky</w:t>
      </w:r>
    </w:p>
    <w:p w:rsidR="0011195B" w:rsidRDefault="0011195B" w:rsidP="0011195B">
      <w:pPr>
        <w:pStyle w:val="odstavec"/>
      </w:pPr>
      <w:r>
        <w:t>Pohľadávky sa pri ich vzniku oceňujú ich menovitou hodnotou (postúpené pohľadávky a pohľadávky nadobudnuté vkladom do základného imania sa oceňujú obstarávacou cenou, t. j. vrátane nákladov súvisiacich s obstaraním). Opravná položka sa vytvára k pochybným a nedobytným pohľadávkam, kde existuje riziko nevymožiteľnosti pohľadávok.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Finančné účty</w:t>
      </w:r>
    </w:p>
    <w:p w:rsidR="0011195B" w:rsidRDefault="0011195B" w:rsidP="0011195B">
      <w:pPr>
        <w:pStyle w:val="odstavec"/>
      </w:pPr>
      <w:r>
        <w:t>Finančné účty tvorí peňažná hotovosť</w:t>
      </w:r>
      <w:r w:rsidR="0088539A">
        <w:t>,</w:t>
      </w:r>
      <w:r>
        <w:t xml:space="preserve"> zostatky na bankových účtoch a stravné lístky.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Náklady budúcich období a príjmy budúcich období</w:t>
      </w:r>
    </w:p>
    <w:p w:rsidR="0011195B" w:rsidRDefault="0011195B" w:rsidP="0011195B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 xml:space="preserve">Emisné kvóty </w:t>
      </w:r>
    </w:p>
    <w:p w:rsidR="0011195B" w:rsidRDefault="0011195B" w:rsidP="0011195B">
      <w:pPr>
        <w:pStyle w:val="odstavec"/>
      </w:pPr>
      <w:r>
        <w:t>Spoločnos</w:t>
      </w:r>
      <w:r w:rsidR="0088539A">
        <w:t>ť o Emisných kvótach v roku 2021</w:t>
      </w:r>
      <w:r>
        <w:t xml:space="preserve"> neúčtovala.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Opravné položky</w:t>
      </w:r>
    </w:p>
    <w:p w:rsidR="0011195B" w:rsidRDefault="0011195B" w:rsidP="0011195B">
      <w:pPr>
        <w:pStyle w:val="odstavec"/>
      </w:pPr>
      <w:r>
        <w:t xml:space="preserve">Opravné položky sa tvoria na základe zásady opatrnosti, ak je opodstatnené predpokladať, že došlo k zníženiu hodnoty majetku oproti jeho oceneniu v účtovníctve.  Opravná položka sa účtuje v sume opodstatneného predpokladu zníženia hodnoty majetku oproti jeho oceneniu v účtovníctve. Opravné položky boli tvorené z neuhradených pohľadávok za podnájom nebytových priestorov, za služby spojené s podnájmom, za neuhradené energie, za neuhradené preddavky a konečné vyúčtovanie za byt a za dodanie tovaru.     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Rezervy</w:t>
      </w:r>
    </w:p>
    <w:p w:rsidR="0011195B" w:rsidRDefault="0011195B" w:rsidP="0011195B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>Spoločnosť vytvorila rezervy na nevyčerpané dovolenky za rok 202</w:t>
      </w:r>
      <w:r w:rsidR="0088539A">
        <w:t>1</w:t>
      </w:r>
      <w:r>
        <w:t>.</w:t>
      </w:r>
    </w:p>
    <w:p w:rsidR="0011195B" w:rsidRDefault="0011195B" w:rsidP="0011195B">
      <w:pPr>
        <w:pStyle w:val="odstavec"/>
      </w:pPr>
      <w:r>
        <w:t>.</w:t>
      </w:r>
    </w:p>
    <w:p w:rsidR="0011195B" w:rsidRDefault="0011195B" w:rsidP="0011195B">
      <w:pPr>
        <w:pStyle w:val="abc"/>
      </w:pPr>
      <w:r>
        <w:t>Záväzky</w:t>
      </w:r>
    </w:p>
    <w:p w:rsidR="0011195B" w:rsidRDefault="0011195B" w:rsidP="0011195B">
      <w:pPr>
        <w:pStyle w:val="odstavec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 xml:space="preserve">Zamestnanecké pôžitky </w:t>
      </w:r>
    </w:p>
    <w:p w:rsidR="0011195B" w:rsidRDefault="0011195B" w:rsidP="0011195B">
      <w:pPr>
        <w:pStyle w:val="ABC-paragrahinNotes"/>
        <w:suppressAutoHyphens/>
        <w:spacing w:after="0"/>
        <w:rPr>
          <w:rFonts w:ascii="Arial Narrow" w:hAnsi="Arial Narrow"/>
          <w:color w:val="000000"/>
          <w:sz w:val="20"/>
          <w:lang w:val="sk-SK"/>
        </w:rPr>
      </w:pPr>
      <w:r>
        <w:rPr>
          <w:rFonts w:ascii="Arial Narrow" w:hAnsi="Arial Narrow"/>
          <w:color w:val="000000"/>
          <w:sz w:val="20"/>
          <w:lang w:val="sk-SK"/>
        </w:rPr>
        <w:t>Spoločnosť neposkytuje zamestnancom žiadne zamestnanecké pôžitky nad rámec Zákonníka práce.</w:t>
      </w:r>
    </w:p>
    <w:p w:rsidR="0011195B" w:rsidRDefault="0011195B" w:rsidP="0011195B">
      <w:pPr>
        <w:pStyle w:val="ABC-paragrahinNotes"/>
        <w:suppressAutoHyphens/>
        <w:spacing w:after="0"/>
        <w:ind w:left="425"/>
        <w:rPr>
          <w:rFonts w:ascii="Arial Narrow" w:hAnsi="Arial Narrow"/>
          <w:color w:val="000000"/>
          <w:sz w:val="20"/>
          <w:lang w:val="sk-SK"/>
        </w:rPr>
      </w:pPr>
    </w:p>
    <w:p w:rsidR="0011195B" w:rsidRDefault="0011195B" w:rsidP="0011195B">
      <w:pPr>
        <w:pStyle w:val="abc"/>
      </w:pPr>
      <w:r>
        <w:t>Splatná daň z príjmu</w:t>
      </w:r>
    </w:p>
    <w:p w:rsidR="00E67FA4" w:rsidRDefault="0011195B" w:rsidP="0011195B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základu. Spoločnosť vykazuje výslednú daňovú pohľadávku</w:t>
      </w:r>
      <w:r w:rsidR="00E67FA4">
        <w:t xml:space="preserve"> vo výške 41 704,92 € a to 35 266,39 € z nadmerného odpočtu DPH za 12/2021</w:t>
      </w:r>
      <w:r>
        <w:t xml:space="preserve"> </w:t>
      </w:r>
      <w:r w:rsidR="00E67FA4">
        <w:t xml:space="preserve">a 6 438,53 € z uhradených preddavkov na daň z príjmov PO na rok 2021. </w:t>
      </w:r>
    </w:p>
    <w:p w:rsidR="0011195B" w:rsidRDefault="00E67FA4" w:rsidP="0011195B">
      <w:pPr>
        <w:pStyle w:val="odstavec"/>
      </w:pPr>
      <w:r>
        <w:t xml:space="preserve"> </w:t>
      </w:r>
    </w:p>
    <w:p w:rsidR="0011195B" w:rsidRDefault="0011195B" w:rsidP="0011195B">
      <w:pPr>
        <w:pStyle w:val="abc"/>
      </w:pPr>
      <w:r>
        <w:t>Odložená daň z príjmu</w:t>
      </w:r>
    </w:p>
    <w:p w:rsidR="0011195B" w:rsidRDefault="0011195B" w:rsidP="0011195B">
      <w:pPr>
        <w:pStyle w:val="odstavec"/>
      </w:pPr>
      <w:r>
        <w:t xml:space="preserve">Spoločnosť nemala povinnosť účtovať o odloženej dani.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Dotácie zo štátneho rozpočtu</w:t>
      </w:r>
    </w:p>
    <w:p w:rsidR="0011195B" w:rsidRDefault="0011195B" w:rsidP="0011195B">
      <w:pPr>
        <w:pStyle w:val="odstavec"/>
      </w:pPr>
      <w:r>
        <w:t>Spoločnosť v roku 202</w:t>
      </w:r>
      <w:r w:rsidR="00702C4A">
        <w:t>1</w:t>
      </w:r>
      <w:r>
        <w:t xml:space="preserve"> nemala a nežiadala o dotáciu zo štátneho rozpočtu. Spoločnosť mala poskytnutú dotáciu z rozpočtu MESTA Liptovský Hrádok vo výške 7 500,- €.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Výdavky budúcich období a výnosy budúcich období</w:t>
      </w:r>
    </w:p>
    <w:p w:rsidR="0011195B" w:rsidRDefault="0011195B" w:rsidP="0011195B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 xml:space="preserve">Leasing </w:t>
      </w:r>
    </w:p>
    <w:p w:rsidR="0011195B" w:rsidRDefault="0011195B" w:rsidP="0011195B">
      <w:pPr>
        <w:pStyle w:val="abc"/>
      </w:pPr>
      <w:r>
        <w:t>Spoločnosť neúčtuje o leasingu.</w:t>
      </w:r>
    </w:p>
    <w:p w:rsidR="0011195B" w:rsidRDefault="0011195B" w:rsidP="0011195B">
      <w:pPr>
        <w:pStyle w:val="abc"/>
      </w:pPr>
    </w:p>
    <w:p w:rsidR="0011195B" w:rsidRDefault="0011195B" w:rsidP="0011195B">
      <w:pPr>
        <w:pStyle w:val="abc"/>
      </w:pPr>
      <w:r>
        <w:t>Deriváty</w:t>
      </w:r>
    </w:p>
    <w:p w:rsidR="0011195B" w:rsidRDefault="0011195B" w:rsidP="0011195B">
      <w:pPr>
        <w:pStyle w:val="odstavec"/>
      </w:pPr>
      <w:r>
        <w:t>Spoločnosť neúčtuje o derivátoch.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Majetok a záväzky zabezpečené derivátmi</w:t>
      </w:r>
    </w:p>
    <w:p w:rsidR="0011195B" w:rsidRDefault="0011195B" w:rsidP="0011195B">
      <w:pPr>
        <w:pStyle w:val="odstavec"/>
      </w:pPr>
      <w:r>
        <w:t>Spoločnosť neeviduje majetok a záväzky zabezpečený derivátmi.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Cudzia mena</w:t>
      </w:r>
    </w:p>
    <w:p w:rsidR="0011195B" w:rsidRDefault="0011195B" w:rsidP="0011195B">
      <w:pPr>
        <w:pStyle w:val="odstavec"/>
      </w:pPr>
      <w:r>
        <w:t xml:space="preserve">Majetok a záväzky vyjadrené v cudzej mene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:rsidR="0011195B" w:rsidRDefault="0011195B" w:rsidP="0011195B">
      <w:pPr>
        <w:pStyle w:val="odstavec"/>
      </w:pPr>
    </w:p>
    <w:p w:rsidR="00702C4A" w:rsidRDefault="00702C4A" w:rsidP="0011195B">
      <w:pPr>
        <w:pStyle w:val="odstavec"/>
      </w:pPr>
    </w:p>
    <w:p w:rsidR="0011195B" w:rsidRDefault="0011195B" w:rsidP="0011195B">
      <w:pPr>
        <w:pStyle w:val="abc"/>
      </w:pPr>
      <w:r>
        <w:lastRenderedPageBreak/>
        <w:t>Vykazovanie výnosov</w:t>
      </w:r>
    </w:p>
    <w:p w:rsidR="0011195B" w:rsidRDefault="0011195B" w:rsidP="0011195B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 Spoločnosť v roku 202</w:t>
      </w:r>
      <w:r w:rsidR="00702C4A">
        <w:t>1</w:t>
      </w:r>
      <w:r>
        <w:t xml:space="preserve"> nedosiahla výnosy z predaja výrobkov.</w:t>
      </w:r>
    </w:p>
    <w:p w:rsidR="0011195B" w:rsidRDefault="0011195B" w:rsidP="0011195B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 . 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odstavec"/>
        <w:rPr>
          <w:i/>
        </w:rPr>
      </w:pPr>
      <w:r>
        <w:t>Výnosy Spoločnosti tvoria najmä tržby z predaja tepla a správy bytov.</w:t>
      </w:r>
    </w:p>
    <w:p w:rsidR="0011195B" w:rsidRDefault="0011195B" w:rsidP="0011195B">
      <w:pPr>
        <w:pStyle w:val="odstavec"/>
      </w:pPr>
    </w:p>
    <w:p w:rsidR="0011195B" w:rsidRDefault="0011195B" w:rsidP="0011195B">
      <w:pPr>
        <w:pStyle w:val="abc"/>
      </w:pPr>
      <w:r>
        <w:t>Oprava chýb minulých období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nezistila žiadne chyby minulých období.</w:t>
      </w:r>
    </w:p>
    <w:p w:rsidR="0011195B" w:rsidRDefault="0011195B" w:rsidP="0011195B">
      <w:pPr>
        <w:rPr>
          <w:rFonts w:ascii="Arial Narrow" w:hAnsi="Arial Narrow" w:cs="Arial"/>
          <w:b/>
        </w:rPr>
      </w:pPr>
    </w:p>
    <w:p w:rsidR="00164DE0" w:rsidRDefault="00164DE0" w:rsidP="0011195B">
      <w:pPr>
        <w:rPr>
          <w:rFonts w:ascii="Arial Narrow" w:hAnsi="Arial Narrow" w:cs="Arial"/>
          <w:b/>
        </w:rPr>
      </w:pPr>
    </w:p>
    <w:p w:rsidR="0011195B" w:rsidRDefault="0011195B" w:rsidP="0011195B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E. </w:t>
      </w:r>
      <w:r>
        <w:rPr>
          <w:rFonts w:ascii="Arial Narrow" w:hAnsi="Arial Narrow" w:cs="Arial"/>
          <w:b/>
          <w:sz w:val="28"/>
          <w:szCs w:val="28"/>
        </w:rPr>
        <w:tab/>
        <w:t>Informácie o údajoch vykázaných na strane aktív súvahy</w:t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 p08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pStyle w:val="Nzov"/>
        <w:numPr>
          <w:ilvl w:val="0"/>
          <w:numId w:val="4"/>
        </w:numPr>
        <w:jc w:val="left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Dlhodobý finančný majetok</w:t>
      </w:r>
    </w:p>
    <w:p w:rsidR="0011195B" w:rsidRDefault="0011195B" w:rsidP="0011195B">
      <w:pPr>
        <w:pStyle w:val="Nzov"/>
        <w:ind w:left="360"/>
        <w:jc w:val="left"/>
        <w:rPr>
          <w:rFonts w:ascii="Arial Narrow" w:hAnsi="Arial Narrow" w:cs="Arial"/>
          <w:sz w:val="22"/>
          <w:szCs w:val="22"/>
        </w:rPr>
      </w:pP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702C4A">
        <w:rPr>
          <w:rFonts w:ascii="Arial Narrow" w:hAnsi="Arial Narrow" w:cs="Arial"/>
        </w:rPr>
        <w:t>1</w:t>
      </w:r>
      <w:r>
        <w:rPr>
          <w:rFonts w:ascii="Arial Narrow" w:hAnsi="Arial Narrow" w:cs="Arial"/>
        </w:rPr>
        <w:t xml:space="preserve"> o dlhodobom finančnom majetku neúčtovala.</w:t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p27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4"/>
        </w:rPr>
        <w:t>Zásoby</w:t>
      </w:r>
    </w:p>
    <w:tbl>
      <w:tblPr>
        <w:tblStyle w:val="Mriekatabuky"/>
        <w:tblW w:w="0" w:type="auto"/>
        <w:tblLook w:val="04A0"/>
      </w:tblPr>
      <w:tblGrid>
        <w:gridCol w:w="4654"/>
        <w:gridCol w:w="4654"/>
      </w:tblGrid>
      <w:tr w:rsidR="0011195B" w:rsidTr="00164DE0">
        <w:trPr>
          <w:trHeight w:val="539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spacing w:after="6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Prehľad zásob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 w:rsidP="00702C4A">
            <w:pPr>
              <w:pStyle w:val="Nzov"/>
              <w:spacing w:after="60"/>
              <w:jc w:val="lef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Hodnota za bežné účtovné obdobie k 31.12.202</w:t>
            </w:r>
            <w:r w:rsidR="00702C4A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1195B" w:rsidTr="00164DE0">
        <w:trPr>
          <w:trHeight w:val="801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spacing w:after="60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Materiál na sklade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702C4A">
            <w:pPr>
              <w:pStyle w:val="Nzov"/>
              <w:spacing w:after="60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1 983,55</w:t>
            </w:r>
          </w:p>
        </w:tc>
      </w:tr>
    </w:tbl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Opravná položka na zásoby nebola tvorená.</w:t>
      </w:r>
    </w:p>
    <w:p w:rsidR="0011195B" w:rsidRDefault="0011195B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64DE0" w:rsidP="0011195B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164DE0" w:rsidRDefault="0011195B" w:rsidP="0011195B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>Pohľadávky</w:t>
      </w:r>
    </w:p>
    <w:p w:rsidR="0011195B" w:rsidRDefault="00E94F8E" w:rsidP="00164DE0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fldChar w:fldCharType="begin"/>
      </w:r>
      <w:r w:rsidR="0011195B">
        <w:rPr>
          <w:rFonts w:ascii="Arial Narrow" w:hAnsi="Arial Narrow" w:cs="Arial"/>
          <w:sz w:val="22"/>
          <w:szCs w:val="22"/>
        </w:rPr>
        <w:instrText xml:space="preserve"> MERGEFIELD p28 </w:instrText>
      </w:r>
      <w:r>
        <w:rPr>
          <w:rFonts w:ascii="Arial Narrow" w:hAnsi="Arial Narrow" w:cs="Arial"/>
          <w:sz w:val="22"/>
          <w:szCs w:val="22"/>
        </w:rPr>
        <w:fldChar w:fldCharType="end"/>
      </w:r>
    </w:p>
    <w:p w:rsidR="0011195B" w:rsidRDefault="0011195B" w:rsidP="0011195B">
      <w:pPr>
        <w:pStyle w:val="Nzov"/>
        <w:widowControl w:val="0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Veková štruktúra krátkodobých a dlhodobých pohľadávok je uvedená v nasledujúcej tabuľke:</w:t>
      </w:r>
    </w:p>
    <w:tbl>
      <w:tblPr>
        <w:tblW w:w="4944" w:type="pct"/>
        <w:jc w:val="center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7"/>
        <w:gridCol w:w="2102"/>
        <w:gridCol w:w="2102"/>
        <w:gridCol w:w="2102"/>
      </w:tblGrid>
      <w:tr w:rsidR="0011195B" w:rsidTr="0011195B">
        <w:trPr>
          <w:trHeight w:val="455"/>
          <w:jc w:val="center"/>
        </w:trPr>
        <w:tc>
          <w:tcPr>
            <w:tcW w:w="31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V 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Po 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Pohľadávky spolu</w:t>
            </w:r>
          </w:p>
        </w:tc>
      </w:tr>
      <w:tr w:rsidR="0011195B" w:rsidTr="0011195B">
        <w:trPr>
          <w:trHeight w:hRule="exact" w:val="452"/>
          <w:jc w:val="center"/>
        </w:trPr>
        <w:tc>
          <w:tcPr>
            <w:tcW w:w="31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a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b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c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d</w:t>
            </w:r>
          </w:p>
        </w:tc>
      </w:tr>
      <w:tr w:rsidR="0011195B" w:rsidTr="0011195B">
        <w:trPr>
          <w:trHeight w:val="329"/>
          <w:jc w:val="center"/>
        </w:trPr>
        <w:tc>
          <w:tcPr>
            <w:tcW w:w="9462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</w:t>
            </w:r>
          </w:p>
        </w:tc>
      </w:tr>
      <w:tr w:rsidR="0011195B" w:rsidTr="0011195B">
        <w:trPr>
          <w:trHeight w:val="397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311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159 302,81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113,19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159 416,00</w:t>
            </w:r>
          </w:p>
        </w:tc>
      </w:tr>
      <w:tr w:rsidR="0011195B" w:rsidTr="0011195B">
        <w:trPr>
          <w:trHeight w:val="397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378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 w:rsidP="006B29BA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                             4 534,24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4 534,24</w:t>
            </w:r>
          </w:p>
        </w:tc>
      </w:tr>
      <w:tr w:rsidR="0011195B" w:rsidTr="0011195B">
        <w:trPr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voči DUJ a MÚJ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a04232c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a04232bc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</w:tr>
      <w:tr w:rsidR="0011195B" w:rsidTr="0011195B">
        <w:trPr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pohľadávky v rámci konsolidovaného celku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11195B" w:rsidTr="0011195B">
        <w:trPr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voči spoločníkom, členom a združeniu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a04234b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a04234c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a04234bc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</w:tr>
      <w:tr w:rsidR="0011195B" w:rsidTr="0011195B">
        <w:trPr>
          <w:trHeight w:hRule="exact" w:val="329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Sociálne poistenie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a04235b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a04235c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a04235bc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</w:tr>
      <w:tr w:rsidR="0011195B" w:rsidTr="0011195B">
        <w:trPr>
          <w:trHeight w:hRule="exact" w:val="329"/>
          <w:jc w:val="center"/>
        </w:trPr>
        <w:tc>
          <w:tcPr>
            <w:tcW w:w="31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Daňové pohľadávky a dotácie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A12D84" w:rsidP="00A12D84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41 704,92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E94F8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fldChar w:fldCharType="begin"/>
            </w:r>
            <w:r w:rsidR="0011195B">
              <w:rPr>
                <w:rFonts w:ascii="Arial Narrow" w:hAnsi="Arial Narrow" w:cs="Arial"/>
              </w:rPr>
              <w:instrText xml:space="preserve"> MERGEFIELD a04236c </w:instrText>
            </w:r>
            <w:r>
              <w:rPr>
                <w:rFonts w:ascii="Arial Narrow" w:hAnsi="Arial Narrow" w:cs="Arial"/>
              </w:rPr>
              <w:fldChar w:fldCharType="separate"/>
            </w:r>
            <w:r w:rsidR="0011195B">
              <w:rPr>
                <w:rFonts w:ascii="Arial Narrow" w:hAnsi="Arial Narrow" w:cs="Arial"/>
                <w:noProof/>
              </w:rPr>
              <w:t>0,00</w:t>
            </w:r>
            <w:r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A12D84" w:rsidP="00A12D84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41 704,92</w:t>
            </w:r>
          </w:p>
        </w:tc>
      </w:tr>
      <w:tr w:rsidR="0011195B" w:rsidTr="0011195B">
        <w:trPr>
          <w:trHeight w:hRule="exact" w:val="329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pohľadávky 3780001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 w:rsidP="00053455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2 106,90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 w:rsidP="00053455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2 106,90</w:t>
            </w:r>
          </w:p>
        </w:tc>
      </w:tr>
      <w:tr w:rsidR="0011195B" w:rsidTr="0011195B">
        <w:trPr>
          <w:trHeight w:hRule="exact" w:val="329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pohľadávky 3150000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053455" w:rsidP="00053455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11195B" w:rsidTr="0011195B">
        <w:trPr>
          <w:trHeight w:hRule="exact" w:val="329"/>
          <w:jc w:val="center"/>
        </w:trPr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 spolu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6B29BA" w:rsidP="006B29BA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207 648,87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817735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113,19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 w:rsidP="00817735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20</w:t>
            </w:r>
            <w:r w:rsidR="00817735">
              <w:rPr>
                <w:rFonts w:ascii="Arial Narrow" w:hAnsi="Arial Narrow" w:cs="Arial"/>
                <w:b/>
                <w:bCs/>
              </w:rPr>
              <w:t>7 762,06</w:t>
            </w:r>
          </w:p>
        </w:tc>
      </w:tr>
    </w:tbl>
    <w:p w:rsidR="0011195B" w:rsidRDefault="00E94F8E" w:rsidP="0011195B">
      <w:pPr>
        <w:jc w:val="both"/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p29 </w:instrText>
      </w:r>
      <w:r>
        <w:rPr>
          <w:rFonts w:ascii="Arial Narrow" w:hAnsi="Arial Narrow" w:cs="Arial"/>
        </w:rPr>
        <w:fldChar w:fldCharType="end"/>
      </w:r>
    </w:p>
    <w:tbl>
      <w:tblPr>
        <w:tblStyle w:val="Mriekatabuky"/>
        <w:tblW w:w="9706" w:type="dxa"/>
        <w:tblLook w:val="04A0"/>
      </w:tblPr>
      <w:tblGrid>
        <w:gridCol w:w="5589"/>
        <w:gridCol w:w="41"/>
        <w:gridCol w:w="4005"/>
        <w:gridCol w:w="71"/>
      </w:tblGrid>
      <w:tr w:rsidR="0011195B" w:rsidTr="0011195B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Pohľadávky spolu</w:t>
            </w:r>
          </w:p>
        </w:tc>
      </w:tr>
      <w:tr w:rsidR="0011195B" w:rsidTr="0011195B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11195B" w:rsidTr="0011195B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4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395E22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818,11</w:t>
            </w:r>
          </w:p>
        </w:tc>
      </w:tr>
      <w:tr w:rsidR="0011195B" w:rsidTr="0011195B">
        <w:trPr>
          <w:gridAfter w:val="1"/>
          <w:wAfter w:w="71" w:type="dxa"/>
          <w:trHeight w:val="322"/>
        </w:trPr>
        <w:tc>
          <w:tcPr>
            <w:tcW w:w="5589" w:type="dxa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toho : Pohľadávky z obchodného styku účet 311</w:t>
            </w:r>
          </w:p>
        </w:tc>
        <w:tc>
          <w:tcPr>
            <w:tcW w:w="4046" w:type="dxa"/>
            <w:gridSpan w:val="2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0,00</w:t>
            </w:r>
          </w:p>
        </w:tc>
      </w:tr>
      <w:tr w:rsidR="0011195B" w:rsidTr="0011195B">
        <w:trPr>
          <w:gridAfter w:val="1"/>
          <w:wAfter w:w="71" w:type="dxa"/>
          <w:trHeight w:val="27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    Pohľadávky z obchodného styku účet 378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0,00</w:t>
            </w:r>
          </w:p>
        </w:tc>
      </w:tr>
      <w:tr w:rsidR="0011195B" w:rsidTr="0011195B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    Ostatné pohľadávky účet 315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395E22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818,11</w:t>
            </w:r>
          </w:p>
        </w:tc>
      </w:tr>
      <w:tr w:rsidR="0011195B" w:rsidTr="0011195B">
        <w:trPr>
          <w:trHeight w:val="361"/>
        </w:trPr>
        <w:tc>
          <w:tcPr>
            <w:tcW w:w="56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Pohľadávky celkom:</w:t>
            </w:r>
          </w:p>
        </w:tc>
        <w:tc>
          <w:tcPr>
            <w:tcW w:w="4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195B" w:rsidRDefault="0011195B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  <w:p w:rsidR="00A179A3" w:rsidRDefault="00C74E8D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208 580,17</w:t>
            </w:r>
          </w:p>
        </w:tc>
      </w:tr>
    </w:tbl>
    <w:p w:rsidR="0011195B" w:rsidRDefault="0011195B" w:rsidP="0011195B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11195B" w:rsidRDefault="0011195B" w:rsidP="0011195B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Pôžičky poskytnuté spriazneným stranám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084648">
        <w:rPr>
          <w:rFonts w:ascii="Arial Narrow" w:hAnsi="Arial Narrow" w:cs="Arial"/>
        </w:rPr>
        <w:t>1</w:t>
      </w:r>
      <w:r>
        <w:rPr>
          <w:rFonts w:ascii="Arial Narrow" w:hAnsi="Arial Narrow" w:cs="Arial"/>
        </w:rPr>
        <w:t xml:space="preserve"> neposkytla pôžičky spriazneným stranám.</w:t>
      </w:r>
    </w:p>
    <w:p w:rsidR="0011195B" w:rsidRDefault="0011195B" w:rsidP="0011195B">
      <w:pPr>
        <w:rPr>
          <w:rFonts w:ascii="Arial Narrow" w:hAnsi="Arial Narrow" w:cs="Arial"/>
          <w:sz w:val="24"/>
          <w:szCs w:val="24"/>
        </w:rPr>
      </w:pPr>
    </w:p>
    <w:p w:rsidR="0011195B" w:rsidRDefault="0011195B" w:rsidP="0011195B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Pohľadávky z finančného prenájmu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neeviduje pohľadávky z finančného prenájmu.</w:t>
      </w:r>
    </w:p>
    <w:p w:rsidR="0011195B" w:rsidRDefault="0011195B" w:rsidP="0011195B">
      <w:pPr>
        <w:rPr>
          <w:rFonts w:ascii="Arial Narrow" w:hAnsi="Arial Narrow" w:cs="Arial"/>
          <w:sz w:val="24"/>
          <w:szCs w:val="24"/>
        </w:rPr>
      </w:pPr>
    </w:p>
    <w:p w:rsidR="00084648" w:rsidRDefault="00084648" w:rsidP="0011195B">
      <w:pPr>
        <w:rPr>
          <w:rFonts w:ascii="Arial Narrow" w:hAnsi="Arial Narrow" w:cs="Arial"/>
          <w:sz w:val="24"/>
          <w:szCs w:val="24"/>
        </w:rPr>
      </w:pPr>
    </w:p>
    <w:p w:rsidR="00084648" w:rsidRDefault="00084648" w:rsidP="0011195B">
      <w:pPr>
        <w:rPr>
          <w:rFonts w:ascii="Arial Narrow" w:hAnsi="Arial Narrow" w:cs="Arial"/>
          <w:sz w:val="24"/>
          <w:szCs w:val="24"/>
        </w:rPr>
      </w:pPr>
    </w:p>
    <w:p w:rsidR="0011195B" w:rsidRDefault="0011195B" w:rsidP="0011195B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lastRenderedPageBreak/>
        <w:t>F.  Informácie o údajoch vykázaných na strane pasív súvahy</w:t>
      </w:r>
    </w:p>
    <w:p w:rsidR="0011195B" w:rsidRDefault="0011195B" w:rsidP="0011195B">
      <w:pPr>
        <w:rPr>
          <w:rFonts w:ascii="Arial Narrow" w:hAnsi="Arial Narrow" w:cs="Arial"/>
          <w:sz w:val="24"/>
          <w:szCs w:val="24"/>
        </w:rPr>
      </w:pP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priamo zisk/stratu na účty Základného imania.</w:t>
      </w:r>
    </w:p>
    <w:p w:rsidR="0011195B" w:rsidRDefault="0011195B" w:rsidP="0011195B">
      <w:pPr>
        <w:rPr>
          <w:rFonts w:ascii="Arial Narrow" w:hAnsi="Arial Narrow" w:cs="Arial"/>
          <w:sz w:val="24"/>
          <w:szCs w:val="24"/>
        </w:rPr>
      </w:pPr>
    </w:p>
    <w:p w:rsidR="0011195B" w:rsidRDefault="0011195B" w:rsidP="0011195B">
      <w:pPr>
        <w:pStyle w:val="Odsekzoznamu"/>
        <w:numPr>
          <w:ilvl w:val="0"/>
          <w:numId w:val="6"/>
        </w:numPr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Záväzky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Štruktúra záväzkov (okrem bankových úverov) podľa zostatkovej doby splatnosti je uvedená v nasledujúcej tabuľke:</w:t>
      </w:r>
    </w:p>
    <w:p w:rsidR="0011195B" w:rsidRDefault="0011195B" w:rsidP="0011195B">
      <w:pPr>
        <w:rPr>
          <w:rFonts w:ascii="Arial Narrow" w:hAnsi="Arial Narrow" w:cs="Arial"/>
        </w:rPr>
      </w:pPr>
    </w:p>
    <w:tbl>
      <w:tblPr>
        <w:tblStyle w:val="Mriekatabuky"/>
        <w:tblW w:w="11575" w:type="dxa"/>
        <w:tblLook w:val="04A0"/>
      </w:tblPr>
      <w:tblGrid>
        <w:gridCol w:w="3043"/>
        <w:gridCol w:w="2199"/>
        <w:gridCol w:w="2051"/>
        <w:gridCol w:w="2231"/>
        <w:gridCol w:w="2051"/>
      </w:tblGrid>
      <w:tr w:rsidR="0011195B" w:rsidTr="002407CC">
        <w:trPr>
          <w:gridAfter w:val="1"/>
          <w:wAfter w:w="2051" w:type="dxa"/>
          <w:trHeight w:val="41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V lehote splatnosti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Záväzky spolu</w:t>
            </w:r>
          </w:p>
        </w:tc>
      </w:tr>
      <w:tr w:rsidR="0011195B" w:rsidTr="002407CC">
        <w:trPr>
          <w:gridAfter w:val="1"/>
          <w:wAfter w:w="2051" w:type="dxa"/>
          <w:trHeight w:val="20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11195B" w:rsidTr="002407CC">
        <w:trPr>
          <w:gridAfter w:val="1"/>
          <w:wAfter w:w="2051" w:type="dxa"/>
          <w:trHeight w:val="349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11195B" w:rsidTr="002407CC">
        <w:trPr>
          <w:gridAfter w:val="1"/>
          <w:wAfter w:w="2051" w:type="dxa"/>
          <w:trHeight w:val="411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11195B" w:rsidTr="002407CC">
        <w:trPr>
          <w:gridAfter w:val="1"/>
          <w:wAfter w:w="2051" w:type="dxa"/>
          <w:trHeight w:val="76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voči dcérskej účtovnej jednotke a materskej účtovnej jednotke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11195B" w:rsidTr="002407CC">
        <w:trPr>
          <w:gridAfter w:val="1"/>
          <w:wAfter w:w="2051" w:type="dxa"/>
          <w:trHeight w:val="34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Dlhodobé zmenky na úhradu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195B" w:rsidRDefault="0011195B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2407CC" w:rsidTr="002407CC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zo SF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 w:rsidP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1 349,03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1 349,03</w:t>
            </w:r>
          </w:p>
        </w:tc>
        <w:tc>
          <w:tcPr>
            <w:tcW w:w="2051" w:type="dxa"/>
          </w:tcPr>
          <w:p w:rsidR="002407CC" w:rsidRDefault="002407CC" w:rsidP="00957BB5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2407CC" w:rsidTr="002407CC">
        <w:trPr>
          <w:gridAfter w:val="1"/>
          <w:wAfter w:w="2051" w:type="dxa"/>
          <w:trHeight w:val="43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dlhodobé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2407CC" w:rsidTr="002407CC">
        <w:trPr>
          <w:gridAfter w:val="1"/>
          <w:wAfter w:w="2051" w:type="dxa"/>
          <w:trHeight w:val="389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 w:rsidP="002407CC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1 349,03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2407CC" w:rsidRDefault="002407CC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1 349,03</w:t>
            </w:r>
          </w:p>
        </w:tc>
      </w:tr>
      <w:tr w:rsidR="002407CC" w:rsidTr="002407CC">
        <w:trPr>
          <w:gridAfter w:val="1"/>
          <w:wAfter w:w="2051" w:type="dxa"/>
          <w:trHeight w:val="423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Krátkodobé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407CC" w:rsidRDefault="002407C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2407CC" w:rsidTr="002407CC">
        <w:trPr>
          <w:gridAfter w:val="1"/>
          <w:wAfter w:w="2051" w:type="dxa"/>
          <w:trHeight w:val="414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369 449,32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7 800,21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2407CC" w:rsidRDefault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377 249,53</w:t>
            </w:r>
          </w:p>
        </w:tc>
      </w:tr>
      <w:tr w:rsidR="00CC6317" w:rsidTr="00CC6317">
        <w:trPr>
          <w:gridAfter w:val="1"/>
          <w:wAfter w:w="2051" w:type="dxa"/>
          <w:trHeight w:val="47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C6317" w:rsidRDefault="00CC6317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Záväzky – nevyfakturované dodávky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C6317" w:rsidRDefault="00CC631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234,38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C6317" w:rsidRDefault="00CC631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C6317" w:rsidRDefault="00CC631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234,38</w:t>
            </w:r>
          </w:p>
        </w:tc>
      </w:tr>
      <w:tr w:rsidR="002407CC" w:rsidTr="002407CC">
        <w:trPr>
          <w:gridAfter w:val="1"/>
          <w:wAfter w:w="2051" w:type="dxa"/>
          <w:trHeight w:val="726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voči spoločníkom a združeniu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2407CC" w:rsidTr="002407CC">
        <w:trPr>
          <w:gridAfter w:val="1"/>
          <w:wAfter w:w="2051" w:type="dxa"/>
          <w:trHeight w:val="45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voči zamestnancom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20 038,82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20 038,82</w:t>
            </w:r>
          </w:p>
        </w:tc>
      </w:tr>
      <w:tr w:rsidR="002407CC" w:rsidTr="002407CC">
        <w:trPr>
          <w:gridAfter w:val="1"/>
          <w:wAfter w:w="2051" w:type="dxa"/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14 033,43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 w:rsidR="00DC5DBA">
              <w:rPr>
                <w:rFonts w:ascii="Arial Narrow" w:hAnsi="Arial Narrow" w:cs="Arial"/>
                <w:sz w:val="18"/>
                <w:szCs w:val="18"/>
              </w:rPr>
              <w:t>4 033,43</w:t>
            </w:r>
          </w:p>
        </w:tc>
      </w:tr>
      <w:tr w:rsidR="002407CC" w:rsidTr="002407CC">
        <w:trPr>
          <w:gridAfter w:val="1"/>
          <w:wAfter w:w="2051" w:type="dxa"/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Daňové záväzky a dotácie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4 030,96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4 030,96</w:t>
            </w:r>
          </w:p>
        </w:tc>
      </w:tr>
      <w:tr w:rsidR="002407CC" w:rsidTr="002407CC">
        <w:trPr>
          <w:gridAfter w:val="1"/>
          <w:wAfter w:w="2051" w:type="dxa"/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198,79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07CC" w:rsidRDefault="002407C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2407CC" w:rsidP="00DC5DB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 w:rsidR="00DC5DBA">
              <w:rPr>
                <w:rFonts w:ascii="Arial Narrow" w:hAnsi="Arial Narrow" w:cs="Arial"/>
                <w:sz w:val="18"/>
                <w:szCs w:val="18"/>
              </w:rPr>
              <w:t>98,79</w:t>
            </w:r>
          </w:p>
        </w:tc>
      </w:tr>
      <w:tr w:rsidR="002407CC" w:rsidTr="002407CC">
        <w:trPr>
          <w:gridAfter w:val="1"/>
          <w:wAfter w:w="2051" w:type="dxa"/>
          <w:trHeight w:val="42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2407CC" w:rsidRDefault="002407CC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 w:rsidP="00CC6317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407 </w:t>
            </w:r>
            <w:r w:rsidR="00CC6317">
              <w:rPr>
                <w:rFonts w:ascii="Arial Narrow" w:hAnsi="Arial Narrow" w:cs="Arial"/>
                <w:b/>
                <w:sz w:val="18"/>
                <w:szCs w:val="18"/>
              </w:rPr>
              <w:t>985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 w:rsidR="00CC6317">
              <w:rPr>
                <w:rFonts w:ascii="Arial Narrow" w:hAnsi="Arial Narrow" w:cs="Arial"/>
                <w:b/>
                <w:sz w:val="18"/>
                <w:szCs w:val="18"/>
              </w:rPr>
              <w:t>70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07CC" w:rsidRDefault="00DC5DBA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7 800,21</w:t>
            </w: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2407CC" w:rsidRDefault="00DC5DBA" w:rsidP="00CC6317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415</w:t>
            </w:r>
            <w:r w:rsidR="00CC6317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785,91</w:t>
            </w:r>
          </w:p>
        </w:tc>
      </w:tr>
    </w:tbl>
    <w:p w:rsidR="0011195B" w:rsidRDefault="0011195B" w:rsidP="0011195B">
      <w:pPr>
        <w:rPr>
          <w:rFonts w:ascii="Arial Narrow" w:hAnsi="Arial Narrow" w:cs="Arial"/>
          <w:lang w:eastAsia="en-US"/>
        </w:rPr>
      </w:pPr>
    </w:p>
    <w:tbl>
      <w:tblPr>
        <w:tblW w:w="5000" w:type="pct"/>
        <w:jc w:val="center"/>
        <w:tblLook w:val="00A0"/>
      </w:tblPr>
      <w:tblGrid>
        <w:gridCol w:w="3870"/>
        <w:gridCol w:w="3011"/>
        <w:gridCol w:w="2689"/>
      </w:tblGrid>
      <w:tr w:rsidR="0011195B" w:rsidTr="0011195B">
        <w:trPr>
          <w:trHeight w:val="92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11195B" w:rsidTr="0011195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95B" w:rsidRDefault="00616A57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1 349,03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870335" w:rsidP="00870335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446,33</w:t>
            </w:r>
          </w:p>
        </w:tc>
      </w:tr>
      <w:tr w:rsidR="0011195B" w:rsidTr="0011195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Záväzky so zostatkovou dobou splatnosti nad jeden rok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195B" w:rsidRDefault="00616A5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1 349,03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195B" w:rsidRDefault="00870335" w:rsidP="0087033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446,33</w:t>
            </w:r>
          </w:p>
        </w:tc>
      </w:tr>
      <w:tr w:rsidR="00616A57" w:rsidTr="00616A57">
        <w:trPr>
          <w:trHeight w:val="711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A57" w:rsidRDefault="00616A57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16A57" w:rsidRDefault="00616A57" w:rsidP="00616A5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616A57" w:rsidRDefault="00616A57" w:rsidP="00616A5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415 785,91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A57" w:rsidRDefault="00616A57" w:rsidP="00616A5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174 420,65</w:t>
            </w:r>
          </w:p>
        </w:tc>
      </w:tr>
      <w:tr w:rsidR="00616A57" w:rsidTr="00957BB5">
        <w:trPr>
          <w:trHeight w:val="566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16A57" w:rsidRDefault="00616A5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616A57" w:rsidRDefault="00616A57" w:rsidP="00616A5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616A57" w:rsidRDefault="00616A57" w:rsidP="00616A5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415 785,91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A57" w:rsidRDefault="00616A57" w:rsidP="00616A57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174 420,65</w:t>
            </w:r>
          </w:p>
        </w:tc>
      </w:tr>
    </w:tbl>
    <w:p w:rsidR="0011195B" w:rsidRDefault="00E94F8E" w:rsidP="0011195B">
      <w:pPr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p44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rPr>
          <w:rFonts w:ascii="Arial Narrow" w:hAnsi="Arial Narrow" w:cs="Arial"/>
        </w:rPr>
      </w:pPr>
    </w:p>
    <w:p w:rsidR="0011195B" w:rsidRDefault="0011195B" w:rsidP="0011195B">
      <w:pPr>
        <w:pStyle w:val="Nzov"/>
        <w:widowControl w:val="0"/>
        <w:numPr>
          <w:ilvl w:val="0"/>
          <w:numId w:val="6"/>
        </w:numPr>
        <w:spacing w:after="6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Odložený daňový záväzok / Odložená daňová pohľadávka</w:t>
      </w:r>
    </w:p>
    <w:p w:rsidR="0011195B" w:rsidRDefault="0011195B" w:rsidP="0011195B">
      <w:pPr>
        <w:pStyle w:val="Nzov"/>
        <w:widowControl w:val="0"/>
        <w:spacing w:after="60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odloženom daňovom záväzku / pohľadávke nemala povinnosť účtovať.</w:t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p45 </w:instrText>
      </w:r>
      <w:r>
        <w:rPr>
          <w:rFonts w:ascii="Arial Narrow" w:hAnsi="Arial Narrow" w:cs="Arial"/>
        </w:rPr>
        <w:fldChar w:fldCharType="end"/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p47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pStyle w:val="Nzov"/>
        <w:widowControl w:val="0"/>
        <w:numPr>
          <w:ilvl w:val="0"/>
          <w:numId w:val="6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Bankové úvery a vydané dlhopisy</w:t>
      </w:r>
    </w:p>
    <w:p w:rsidR="0011195B" w:rsidRDefault="0011195B" w:rsidP="0011195B">
      <w:pPr>
        <w:pStyle w:val="Nzov"/>
        <w:widowControl w:val="0"/>
        <w:jc w:val="both"/>
        <w:rPr>
          <w:rFonts w:ascii="Arial Narrow" w:hAnsi="Arial Narrow" w:cs="Arial"/>
          <w:sz w:val="22"/>
          <w:szCs w:val="22"/>
        </w:rPr>
      </w:pPr>
    </w:p>
    <w:p w:rsidR="0011195B" w:rsidRDefault="00BB43AA" w:rsidP="0011195B">
      <w:pPr>
        <w:pStyle w:val="odstavec"/>
      </w:pPr>
      <w:r>
        <w:t>Spoločnosť neúčtovala o úvere v roku 2021.</w:t>
      </w: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nevydala a ani neúčtovala o vydaných dlhopisoch v roku 202</w:t>
      </w:r>
      <w:r w:rsidR="00BB43AA">
        <w:rPr>
          <w:rFonts w:ascii="Arial Narrow" w:hAnsi="Arial Narrow" w:cs="Arial"/>
          <w:b w:val="0"/>
          <w:sz w:val="22"/>
          <w:szCs w:val="22"/>
        </w:rPr>
        <w:t>1</w:t>
      </w:r>
      <w:r>
        <w:rPr>
          <w:rFonts w:ascii="Arial Narrow" w:hAnsi="Arial Narrow" w:cs="Arial"/>
          <w:b w:val="0"/>
          <w:sz w:val="22"/>
          <w:szCs w:val="22"/>
        </w:rPr>
        <w:t>.</w:t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p48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  Pôžičky prijaté od spriaznených strán</w:t>
      </w:r>
    </w:p>
    <w:p w:rsidR="0011195B" w:rsidRDefault="00E94F8E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11195B">
        <w:rPr>
          <w:rFonts w:ascii="Arial Narrow" w:hAnsi="Arial Narrow" w:cs="Arial"/>
        </w:rPr>
        <w:instrText xml:space="preserve"> MERGEFIELD p49 </w:instrText>
      </w:r>
      <w:r>
        <w:rPr>
          <w:rFonts w:ascii="Arial Narrow" w:hAnsi="Arial Narrow" w:cs="Arial"/>
        </w:rPr>
        <w:fldChar w:fldCharType="end"/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neúčtuje o pôžičkách prijatých od spriaznených strán.</w:t>
      </w:r>
    </w:p>
    <w:p w:rsidR="0011195B" w:rsidRDefault="0011195B" w:rsidP="0011195B">
      <w:pPr>
        <w:rPr>
          <w:rFonts w:ascii="Arial Narrow" w:hAnsi="Arial Narrow" w:cs="Arial"/>
        </w:rPr>
      </w:pPr>
    </w:p>
    <w:p w:rsidR="0011195B" w:rsidRDefault="0011195B" w:rsidP="0011195B">
      <w:pPr>
        <w:pStyle w:val="Odsekzoznamu"/>
        <w:numPr>
          <w:ilvl w:val="0"/>
          <w:numId w:val="8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Časové rozlíšenie</w:t>
      </w:r>
    </w:p>
    <w:p w:rsidR="0011195B" w:rsidRDefault="0011195B" w:rsidP="0011195B">
      <w:pPr>
        <w:pStyle w:val="Odsekzoznamu"/>
        <w:ind w:left="360"/>
        <w:rPr>
          <w:rFonts w:ascii="Arial Narrow" w:hAnsi="Arial Narrow" w:cs="Arial"/>
          <w:b/>
          <w:sz w:val="24"/>
          <w:szCs w:val="24"/>
        </w:rPr>
      </w:pPr>
    </w:p>
    <w:p w:rsidR="0011195B" w:rsidRDefault="0011195B" w:rsidP="0011195B">
      <w:pPr>
        <w:pStyle w:val="odstavec"/>
      </w:pPr>
      <w:r>
        <w:t xml:space="preserve">Štruktúra časového rozlíšenia je uvedená v nasledujúcej tabuľke: </w:t>
      </w:r>
    </w:p>
    <w:p w:rsidR="0011195B" w:rsidRDefault="0011195B" w:rsidP="0011195B">
      <w:pPr>
        <w:pStyle w:val="odstavec"/>
      </w:pPr>
    </w:p>
    <w:tbl>
      <w:tblPr>
        <w:tblW w:w="9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66"/>
        <w:gridCol w:w="2661"/>
        <w:gridCol w:w="2665"/>
      </w:tblGrid>
      <w:tr w:rsidR="0011195B" w:rsidTr="002D3EDF">
        <w:trPr>
          <w:trHeight w:val="483"/>
        </w:trPr>
        <w:tc>
          <w:tcPr>
            <w:tcW w:w="416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Názov položky</w:t>
            </w:r>
          </w:p>
        </w:tc>
        <w:tc>
          <w:tcPr>
            <w:tcW w:w="266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6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11195B" w:rsidRDefault="0011195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2D3EDF" w:rsidTr="002D3EDF">
        <w:trPr>
          <w:trHeight w:val="35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Výdavky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0D73EA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44 069,37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 w:rsidP="00957BB5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41 478,18</w:t>
            </w:r>
          </w:p>
        </w:tc>
      </w:tr>
      <w:tr w:rsidR="002D3EDF" w:rsidTr="002D3EDF">
        <w:trPr>
          <w:trHeight w:val="420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tepla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0D73EA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44 069,37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 w:rsidP="00957BB5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41 478,18</w:t>
            </w:r>
          </w:p>
        </w:tc>
      </w:tr>
      <w:tr w:rsidR="002D3EDF" w:rsidTr="002D3EDF">
        <w:trPr>
          <w:trHeight w:val="41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Výnosy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0,00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 w:rsidP="00957BB5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0,00</w:t>
            </w:r>
          </w:p>
        </w:tc>
      </w:tr>
      <w:tr w:rsidR="002D3EDF" w:rsidTr="002D3EDF">
        <w:trPr>
          <w:trHeight w:val="405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Výkon správy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3EDF" w:rsidRDefault="002D3EDF" w:rsidP="00957BB5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</w:tr>
    </w:tbl>
    <w:p w:rsidR="0011195B" w:rsidRDefault="0011195B" w:rsidP="0011195B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11195B" w:rsidRDefault="0011195B" w:rsidP="0011195B">
      <w:pPr>
        <w:rPr>
          <w:rFonts w:ascii="Arial Narrow" w:hAnsi="Arial Narrow" w:cs="Arial"/>
          <w:b/>
        </w:rPr>
      </w:pPr>
    </w:p>
    <w:p w:rsidR="0011195B" w:rsidRDefault="0011195B" w:rsidP="0011195B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6.    Záväzky príp. pohľadávky z derivátových obchodov</w:t>
      </w: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o derivátoch. Spoločnosť nemá záväzky a majetok zabezpečené derivátmi.</w:t>
      </w:r>
    </w:p>
    <w:p w:rsidR="0011195B" w:rsidRDefault="0011195B" w:rsidP="0011195B">
      <w:pPr>
        <w:rPr>
          <w:rFonts w:ascii="Arial Narrow" w:hAnsi="Arial Narrow" w:cs="Arial"/>
          <w:b/>
        </w:rPr>
      </w:pPr>
    </w:p>
    <w:p w:rsidR="0011195B" w:rsidRDefault="0011195B" w:rsidP="0011195B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lastRenderedPageBreak/>
        <w:t>7.   Záväzky z finančného prenájmu (u nájomcu)</w:t>
      </w:r>
    </w:p>
    <w:p w:rsidR="0011195B" w:rsidRDefault="00FF287D" w:rsidP="00FF287D">
      <w:pPr>
        <w:ind w:right="-2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2021</w:t>
      </w:r>
      <w:r w:rsidR="0011195B">
        <w:rPr>
          <w:rFonts w:ascii="Arial Narrow" w:hAnsi="Arial Narrow" w:cs="Arial"/>
        </w:rPr>
        <w:t xml:space="preserve"> neúčtovala o záväzkoch z finančného prenájmu.</w:t>
      </w:r>
    </w:p>
    <w:p w:rsidR="0011195B" w:rsidRDefault="0011195B" w:rsidP="0011195B">
      <w:pPr>
        <w:rPr>
          <w:rFonts w:ascii="Arial Narrow" w:hAnsi="Arial Narrow" w:cs="Arial"/>
        </w:rPr>
      </w:pPr>
    </w:p>
    <w:p w:rsidR="0011195B" w:rsidRDefault="0011195B" w:rsidP="0011195B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G. VÝNOSY</w:t>
      </w:r>
    </w:p>
    <w:p w:rsidR="0011195B" w:rsidRDefault="0011195B" w:rsidP="0011195B">
      <w:pPr>
        <w:rPr>
          <w:rFonts w:ascii="Arial Narrow" w:hAnsi="Arial Narrow" w:cs="Arial"/>
          <w:b/>
          <w:sz w:val="28"/>
          <w:szCs w:val="2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6628"/>
        <w:gridCol w:w="1560"/>
        <w:gridCol w:w="1382"/>
      </w:tblGrid>
      <w:tr w:rsidR="0011195B" w:rsidTr="00FF287D">
        <w:trPr>
          <w:trHeight w:val="916"/>
          <w:jc w:val="center"/>
        </w:trPr>
        <w:tc>
          <w:tcPr>
            <w:tcW w:w="3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72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 teplo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1 067 102,40</w:t>
            </w:r>
          </w:p>
        </w:tc>
        <w:tc>
          <w:tcPr>
            <w:tcW w:w="72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1 120 622,33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 výkon správy + správa a údržba cudzích kotolní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171 248,42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146 900,57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 prenájmu nebytových priestorov a príležitostný prenájom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58264E" w:rsidP="00182E4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36</w:t>
            </w:r>
            <w:r w:rsidR="00F52880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914,54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40 957,36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 w:rsidP="004A2CF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ostatné služby (</w:t>
            </w:r>
            <w:r w:rsidR="004A2CF7">
              <w:rPr>
                <w:rFonts w:ascii="Arial Narrow" w:hAnsi="Arial Narrow" w:cs="Arial"/>
              </w:rPr>
              <w:t>poplatky za odovzdanie</w:t>
            </w:r>
            <w:r>
              <w:rPr>
                <w:rFonts w:ascii="Arial Narrow" w:hAnsi="Arial Narrow" w:cs="Arial"/>
              </w:rPr>
              <w:t xml:space="preserve"> a preberanie bytu)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4A2CF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1 067,06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22 308,07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 predaja služieb (poplatok za pohotovosť, práce v BD a nebytových priestoroch</w:t>
            </w:r>
            <w:r w:rsidR="0058264E">
              <w:rPr>
                <w:rFonts w:ascii="Arial Narrow" w:hAnsi="Arial Narrow" w:cs="Arial"/>
              </w:rPr>
              <w:t>, predaj materiálu</w:t>
            </w:r>
            <w:r>
              <w:rPr>
                <w:rFonts w:ascii="Arial Narrow" w:hAnsi="Arial Narrow" w:cs="Arial"/>
              </w:rPr>
              <w:t xml:space="preserve">) 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F52880" w:rsidP="004A2CF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</w:t>
            </w:r>
            <w:r w:rsidR="004A2CF7">
              <w:rPr>
                <w:rFonts w:ascii="Arial Narrow" w:hAnsi="Arial Narrow" w:cs="Arial"/>
                <w:sz w:val="18"/>
                <w:szCs w:val="18"/>
                <w:lang w:eastAsia="en-US"/>
              </w:rPr>
              <w:t>5 174,77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43 859,48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výnosy (zmluvné pokuty a penále, úroky z omeškania, manipulačný poplatok, dotácia od MESTA, ostatné poplatky</w:t>
            </w:r>
            <w:r w:rsidR="004A2CF7">
              <w:rPr>
                <w:rFonts w:ascii="Arial Narrow" w:hAnsi="Arial Narrow" w:cs="Arial"/>
              </w:rPr>
              <w:t xml:space="preserve">, </w:t>
            </w:r>
            <w:proofErr w:type="spellStart"/>
            <w:r w:rsidR="004A2CF7">
              <w:rPr>
                <w:rFonts w:ascii="Arial Narrow" w:hAnsi="Arial Narrow" w:cs="Arial"/>
              </w:rPr>
              <w:t>refakturácia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4A2CF7" w:rsidP="004A2CF7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29 850,77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30 798,83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Finančné výnosy (trovy konania, zostatok na BÚ</w:t>
            </w:r>
            <w:r w:rsidR="002C52F2">
              <w:rPr>
                <w:rFonts w:ascii="Arial Narrow" w:hAnsi="Arial Narrow" w:cs="Arial"/>
              </w:rPr>
              <w:t>, poplatky z úveru</w:t>
            </w:r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2C52F2" w:rsidP="002C52F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1 025,25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814,17</w:t>
            </w:r>
          </w:p>
        </w:tc>
      </w:tr>
      <w:tr w:rsidR="008A52E7" w:rsidTr="00FF287D">
        <w:trPr>
          <w:trHeight w:val="330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Aktivácia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957BB5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2 279,99</w:t>
            </w:r>
          </w:p>
        </w:tc>
        <w:tc>
          <w:tcPr>
            <w:tcW w:w="72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3 192,14</w:t>
            </w:r>
          </w:p>
        </w:tc>
      </w:tr>
      <w:tr w:rsidR="008A52E7" w:rsidTr="00FF287D">
        <w:trPr>
          <w:trHeight w:val="345"/>
          <w:jc w:val="center"/>
        </w:trPr>
        <w:tc>
          <w:tcPr>
            <w:tcW w:w="3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Výnosy celkom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182E48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1 354 663,20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1 409 452,95</w:t>
            </w:r>
          </w:p>
        </w:tc>
      </w:tr>
      <w:tr w:rsidR="008A52E7" w:rsidTr="00FF287D">
        <w:trPr>
          <w:trHeight w:val="345"/>
          <w:jc w:val="center"/>
        </w:trPr>
        <w:tc>
          <w:tcPr>
            <w:tcW w:w="34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8A52E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výnosy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2E7" w:rsidRDefault="00182E4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10191,04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52E7" w:rsidRDefault="008A52E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14 722,96</w:t>
            </w:r>
          </w:p>
        </w:tc>
      </w:tr>
    </w:tbl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9E5FA7" w:rsidRDefault="009E5FA7" w:rsidP="0011195B">
      <w:pPr>
        <w:rPr>
          <w:rFonts w:ascii="Arial Narrow" w:hAnsi="Arial Narrow" w:cs="Arial"/>
        </w:rPr>
      </w:pPr>
    </w:p>
    <w:p w:rsidR="0011195B" w:rsidRDefault="0011195B" w:rsidP="0011195B">
      <w:pPr>
        <w:pStyle w:val="Nzov"/>
        <w:keepNext/>
        <w:jc w:val="left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H. NÁKLADY</w:t>
      </w:r>
    </w:p>
    <w:p w:rsidR="0011195B" w:rsidRDefault="0011195B" w:rsidP="0011195B">
      <w:pPr>
        <w:pStyle w:val="Nzov"/>
        <w:keepNext/>
        <w:ind w:firstLine="708"/>
        <w:jc w:val="left"/>
        <w:outlineLvl w:val="0"/>
        <w:rPr>
          <w:rFonts w:ascii="Arial Narrow" w:hAnsi="Arial Narrow" w:cs="Arial"/>
          <w:sz w:val="28"/>
          <w:szCs w:val="28"/>
        </w:rPr>
      </w:pPr>
    </w:p>
    <w:tbl>
      <w:tblPr>
        <w:tblW w:w="5000" w:type="pct"/>
        <w:jc w:val="center"/>
        <w:tblLook w:val="04A0"/>
      </w:tblPr>
      <w:tblGrid>
        <w:gridCol w:w="5661"/>
        <w:gridCol w:w="1901"/>
        <w:gridCol w:w="2008"/>
      </w:tblGrid>
      <w:tr w:rsidR="0011195B" w:rsidTr="0011195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195B" w:rsidRDefault="0011195B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Spotreba materiálu a energií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937 560,68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819 407,49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Údržba, služby a 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100 239,20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100 773,71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Osobné a 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272 942,92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261 555,79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Zákonné sociálne poistenie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96 189,56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89 436,11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DDP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5 070,00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5 250,00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Sociálny fond, stravné lístky, náhrada príjmu pri DPN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13 793,76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13 664,75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2 428,52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1 485,44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náklady na hospodársku činnosť (zmluvné pokuty, penále,</w:t>
            </w:r>
          </w:p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úroky z omeškania, trovy </w:t>
            </w:r>
            <w:proofErr w:type="spellStart"/>
            <w:r>
              <w:rPr>
                <w:rFonts w:ascii="Arial Narrow" w:hAnsi="Arial Narrow" w:cs="Arial"/>
              </w:rPr>
              <w:t>exe</w:t>
            </w:r>
            <w:proofErr w:type="spellEnd"/>
            <w:r>
              <w:rPr>
                <w:rFonts w:ascii="Arial Narrow" w:hAnsi="Arial Narrow" w:cs="Arial"/>
              </w:rPr>
              <w:t xml:space="preserve">, cestovné, </w:t>
            </w:r>
            <w:proofErr w:type="spellStart"/>
            <w:r>
              <w:rPr>
                <w:rFonts w:ascii="Arial Narrow" w:hAnsi="Arial Narrow" w:cs="Arial"/>
              </w:rPr>
              <w:t>repre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251,06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3 602,85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91 807,26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81 453,76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finančné náklady (úroky, poistenie, bankové poplatky)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4 789,41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5 655,04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 z príjmu (daňová licencia), zrážková daň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8 584,71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Náklady celkom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9B5FDD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1525072,37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1 390 869,65</w:t>
            </w:r>
          </w:p>
        </w:tc>
      </w:tr>
      <w:tr w:rsidR="00461CD7" w:rsidTr="001119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AA0B8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10 191,04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1CD7" w:rsidRDefault="00461CD7" w:rsidP="00957B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14 722,96</w:t>
            </w:r>
          </w:p>
        </w:tc>
      </w:tr>
    </w:tbl>
    <w:p w:rsidR="009E5FA7" w:rsidRDefault="009E5FA7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AE71F5" w:rsidRDefault="00AE71F5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AE71F5" w:rsidRDefault="00AE71F5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I.   Údaje o podsúvahových účtoch</w:t>
      </w:r>
    </w:p>
    <w:p w:rsidR="0011195B" w:rsidRDefault="0011195B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na podsúvahových účtoch eviduje nasledovný majetok:</w:t>
      </w:r>
    </w:p>
    <w:p w:rsidR="0011195B" w:rsidRDefault="0011195B" w:rsidP="0011195B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1195B" w:rsidTr="0011195B">
        <w:trPr>
          <w:trHeight w:val="45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Názov podsúvahového účtu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 w:rsidP="00AE71F5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Konečný zostatok k 31. 12. 202</w:t>
            </w:r>
            <w:r w:rsidR="00AE71F5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1195B" w:rsidTr="00AE71F5">
        <w:trPr>
          <w:trHeight w:val="461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DOMUS – bankové účty, pohľadávky, záväzky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0,00</w:t>
            </w:r>
          </w:p>
        </w:tc>
      </w:tr>
      <w:tr w:rsidR="0011195B" w:rsidTr="00AE71F5">
        <w:trPr>
          <w:trHeight w:val="39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DrHM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 w:rsidP="00AE71F5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31</w:t>
            </w:r>
            <w:r w:rsidR="00AE71F5">
              <w:rPr>
                <w:rFonts w:ascii="Arial Narrow" w:hAnsi="Arial Narrow" w:cs="Arial"/>
                <w:b w:val="0"/>
                <w:sz w:val="22"/>
                <w:szCs w:val="22"/>
              </w:rPr>
              <w:t> 864,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,</w:t>
            </w:r>
            <w:r w:rsidR="00AE71F5">
              <w:rPr>
                <w:rFonts w:ascii="Arial Narrow" w:hAnsi="Arial Narrow" w:cs="Arial"/>
                <w:b w:val="0"/>
                <w:sz w:val="22"/>
                <w:szCs w:val="22"/>
              </w:rPr>
              <w:t>9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3</w:t>
            </w:r>
          </w:p>
        </w:tc>
      </w:tr>
      <w:tr w:rsidR="0011195B" w:rsidTr="00AE71F5">
        <w:trPr>
          <w:trHeight w:val="41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DrNM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2 106,24</w:t>
            </w:r>
          </w:p>
        </w:tc>
      </w:tr>
      <w:tr w:rsidR="0011195B" w:rsidTr="00AE71F5">
        <w:trPr>
          <w:trHeight w:val="423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Majetok v nájme od MESTO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 w:rsidP="00417EA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1 5</w:t>
            </w:r>
            <w:r w:rsidR="00417EAB">
              <w:rPr>
                <w:rFonts w:ascii="Arial Narrow" w:hAnsi="Arial Narrow" w:cs="Arial"/>
                <w:b w:val="0"/>
                <w:sz w:val="22"/>
                <w:szCs w:val="22"/>
              </w:rPr>
              <w:t>28 646,25</w:t>
            </w:r>
          </w:p>
        </w:tc>
      </w:tr>
      <w:tr w:rsidR="0011195B" w:rsidTr="00AE71F5">
        <w:trPr>
          <w:trHeight w:val="41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primátor MESTA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93 707,88</w:t>
            </w:r>
          </w:p>
        </w:tc>
      </w:tr>
      <w:tr w:rsidR="0011195B" w:rsidTr="00AE71F5">
        <w:trPr>
          <w:trHeight w:val="40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konateľ BYP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17 160,76</w:t>
            </w:r>
          </w:p>
        </w:tc>
      </w:tr>
      <w:tr w:rsidR="0011195B" w:rsidTr="00AE71F5">
        <w:trPr>
          <w:trHeight w:val="42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súd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195B" w:rsidRDefault="0011195B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58 768,88</w:t>
            </w:r>
          </w:p>
        </w:tc>
      </w:tr>
    </w:tbl>
    <w:p w:rsidR="0011195B" w:rsidRDefault="0011195B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J.  Iné AKTÍVA a</w:t>
      </w:r>
      <w:r w:rsidR="00135750">
        <w:rPr>
          <w:rFonts w:ascii="Arial Narrow" w:hAnsi="Arial Narrow" w:cs="Arial"/>
          <w:sz w:val="28"/>
          <w:szCs w:val="28"/>
        </w:rPr>
        <w:t> </w:t>
      </w:r>
      <w:r>
        <w:rPr>
          <w:rFonts w:ascii="Arial Narrow" w:hAnsi="Arial Narrow" w:cs="Arial"/>
          <w:sz w:val="28"/>
          <w:szCs w:val="28"/>
        </w:rPr>
        <w:t>PASÍVA</w:t>
      </w:r>
    </w:p>
    <w:p w:rsidR="00135750" w:rsidRDefault="00135750" w:rsidP="0011195B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11195B" w:rsidRDefault="0011195B" w:rsidP="0011195B">
      <w:pPr>
        <w:pStyle w:val="Nzov"/>
        <w:rPr>
          <w:rFonts w:ascii="Arial Narrow" w:hAnsi="Arial Narrow" w:cs="Arial"/>
          <w:sz w:val="22"/>
          <w:szCs w:val="22"/>
        </w:rPr>
      </w:pPr>
    </w:p>
    <w:p w:rsidR="0011195B" w:rsidRDefault="0011195B" w:rsidP="0011195B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podmienenom majetku, podmienených záväzkoch</w:t>
      </w:r>
    </w:p>
    <w:p w:rsidR="0011195B" w:rsidRDefault="0011195B" w:rsidP="0011195B">
      <w:pPr>
        <w:pStyle w:val="Nzov"/>
        <w:jc w:val="both"/>
        <w:rPr>
          <w:rFonts w:ascii="Arial Narrow" w:hAnsi="Arial Narrow" w:cs="Arial"/>
          <w:sz w:val="22"/>
          <w:szCs w:val="22"/>
        </w:rPr>
      </w:pP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podmienenom majetku ani o podmienených záväzkoch neúčtuje.</w:t>
      </w:r>
    </w:p>
    <w:p w:rsidR="00135750" w:rsidRDefault="00135750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11195B" w:rsidRDefault="0011195B" w:rsidP="0011195B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Ostatné finančné pohľadávky a záväzky</w:t>
      </w: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4"/>
        </w:rPr>
      </w:pP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neeviduje iné finančné pohľadávky ani záväzky.</w:t>
      </w:r>
    </w:p>
    <w:p w:rsidR="00135750" w:rsidRDefault="00135750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135750" w:rsidRDefault="00135750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11195B" w:rsidRDefault="0011195B" w:rsidP="0011195B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11195B" w:rsidRDefault="0011195B" w:rsidP="0011195B">
      <w:pPr>
        <w:pStyle w:val="Nzov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K. Skutočnosti, ktoré nastali po dni, ku ktorému sa zostavuje účtovná závierka, do dňa jej  zostavenia</w:t>
      </w:r>
    </w:p>
    <w:p w:rsidR="0011195B" w:rsidRDefault="0011195B" w:rsidP="0011195B">
      <w:pPr>
        <w:pStyle w:val="Nzov"/>
        <w:jc w:val="both"/>
        <w:rPr>
          <w:rFonts w:ascii="Arial Narrow" w:hAnsi="Arial Narrow" w:cs="Arial"/>
          <w:sz w:val="24"/>
        </w:rPr>
      </w:pPr>
    </w:p>
    <w:p w:rsidR="0011195B" w:rsidRDefault="0011195B" w:rsidP="0011195B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 31. decembri 202</w:t>
      </w:r>
      <w:r w:rsidR="00135750">
        <w:rPr>
          <w:rFonts w:ascii="Arial Narrow" w:hAnsi="Arial Narrow" w:cs="Arial"/>
        </w:rPr>
        <w:t>1</w:t>
      </w:r>
      <w:r>
        <w:rPr>
          <w:rFonts w:ascii="Arial Narrow" w:hAnsi="Arial Narrow" w:cs="Arial"/>
        </w:rPr>
        <w:t xml:space="preserve"> nenastali také udalosti, ktoré by si vyžadovali zverejnenie, alebo vykázanie v účtovnej závierke za rok 202</w:t>
      </w:r>
      <w:r w:rsidR="00135750">
        <w:rPr>
          <w:rFonts w:ascii="Arial Narrow" w:hAnsi="Arial Narrow" w:cs="Arial"/>
        </w:rPr>
        <w:t>1</w:t>
      </w:r>
      <w:r>
        <w:rPr>
          <w:rFonts w:ascii="Arial Narrow" w:hAnsi="Arial Narrow" w:cs="Arial"/>
        </w:rPr>
        <w:t xml:space="preserve">. </w:t>
      </w:r>
    </w:p>
    <w:p w:rsidR="00214F0F" w:rsidRDefault="00214F0F"/>
    <w:sectPr w:rsidR="00214F0F" w:rsidSect="00502A25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4038A"/>
    <w:multiLevelType w:val="hybridMultilevel"/>
    <w:tmpl w:val="6E7C2A80"/>
    <w:lvl w:ilvl="0" w:tplc="041B000F">
      <w:start w:val="5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0D33BA"/>
    <w:multiLevelType w:val="hybridMultilevel"/>
    <w:tmpl w:val="BA607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500F0"/>
    <w:multiLevelType w:val="hybridMultilevel"/>
    <w:tmpl w:val="24C63B58"/>
    <w:lvl w:ilvl="0" w:tplc="1D4C45D0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B52091"/>
    <w:multiLevelType w:val="hybridMultilevel"/>
    <w:tmpl w:val="1406843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8B74BD3"/>
    <w:multiLevelType w:val="hybridMultilevel"/>
    <w:tmpl w:val="D02EEE9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1195B"/>
    <w:rsid w:val="00053455"/>
    <w:rsid w:val="00084648"/>
    <w:rsid w:val="000D73EA"/>
    <w:rsid w:val="0011195B"/>
    <w:rsid w:val="00135750"/>
    <w:rsid w:val="00164DE0"/>
    <w:rsid w:val="00182E48"/>
    <w:rsid w:val="001C5F1E"/>
    <w:rsid w:val="00214F0F"/>
    <w:rsid w:val="002407CC"/>
    <w:rsid w:val="002C52F2"/>
    <w:rsid w:val="002D3EDF"/>
    <w:rsid w:val="00311DCA"/>
    <w:rsid w:val="00395E22"/>
    <w:rsid w:val="003C27EB"/>
    <w:rsid w:val="00417EAB"/>
    <w:rsid w:val="004228D6"/>
    <w:rsid w:val="00461CD7"/>
    <w:rsid w:val="004713D7"/>
    <w:rsid w:val="004A2CF7"/>
    <w:rsid w:val="00502A25"/>
    <w:rsid w:val="0058264E"/>
    <w:rsid w:val="005E1314"/>
    <w:rsid w:val="006012EA"/>
    <w:rsid w:val="00616A57"/>
    <w:rsid w:val="006B29BA"/>
    <w:rsid w:val="00702C4A"/>
    <w:rsid w:val="00805EAD"/>
    <w:rsid w:val="00817735"/>
    <w:rsid w:val="00857711"/>
    <w:rsid w:val="00870335"/>
    <w:rsid w:val="008739EE"/>
    <w:rsid w:val="0088539A"/>
    <w:rsid w:val="008A52E7"/>
    <w:rsid w:val="008B1A36"/>
    <w:rsid w:val="00951534"/>
    <w:rsid w:val="00957BB5"/>
    <w:rsid w:val="0099083A"/>
    <w:rsid w:val="009B5FDD"/>
    <w:rsid w:val="009E5FA7"/>
    <w:rsid w:val="00A12D84"/>
    <w:rsid w:val="00A179A3"/>
    <w:rsid w:val="00A52C88"/>
    <w:rsid w:val="00AA0B85"/>
    <w:rsid w:val="00AE71F5"/>
    <w:rsid w:val="00BB43AA"/>
    <w:rsid w:val="00BD742B"/>
    <w:rsid w:val="00C74325"/>
    <w:rsid w:val="00C74E8D"/>
    <w:rsid w:val="00C829F3"/>
    <w:rsid w:val="00CC6317"/>
    <w:rsid w:val="00DC5DBA"/>
    <w:rsid w:val="00DE1479"/>
    <w:rsid w:val="00E67FA4"/>
    <w:rsid w:val="00E77A7B"/>
    <w:rsid w:val="00E94F8E"/>
    <w:rsid w:val="00F07694"/>
    <w:rsid w:val="00F52880"/>
    <w:rsid w:val="00F83FD8"/>
    <w:rsid w:val="00FF2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7EB"/>
  </w:style>
  <w:style w:type="paragraph" w:styleId="Nadpis1">
    <w:name w:val="heading 1"/>
    <w:basedOn w:val="Normlny"/>
    <w:next w:val="Normlny"/>
    <w:link w:val="Nadpis1Char"/>
    <w:uiPriority w:val="99"/>
    <w:qFormat/>
    <w:rsid w:val="0011195B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11195B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195B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195B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195B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195B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195B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195B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195B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195B"/>
    <w:rPr>
      <w:rFonts w:ascii="Arial" w:eastAsia="Times New Roman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semiHidden/>
    <w:rsid w:val="0011195B"/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195B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195B"/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195B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195B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195B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195B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195B"/>
    <w:rPr>
      <w:rFonts w:ascii="Cambria" w:eastAsia="Times New Roman" w:hAnsi="Cambria" w:cs="Cambria"/>
      <w:lang w:eastAsia="en-US"/>
    </w:rPr>
  </w:style>
  <w:style w:type="character" w:styleId="Zvraznenie">
    <w:name w:val="Emphasis"/>
    <w:uiPriority w:val="99"/>
    <w:qFormat/>
    <w:rsid w:val="0011195B"/>
    <w:rPr>
      <w:rFonts w:ascii="Calibri" w:hAnsi="Calibri" w:cs="Calibri" w:hint="default"/>
      <w:b/>
      <w:bCs/>
      <w:i/>
      <w:iCs/>
    </w:rPr>
  </w:style>
  <w:style w:type="paragraph" w:styleId="Normlnywebov">
    <w:name w:val="Normal (Web)"/>
    <w:basedOn w:val="Normlny"/>
    <w:semiHidden/>
    <w:unhideWhenUsed/>
    <w:rsid w:val="0011195B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4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195B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195B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195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Courier New"/>
      <w:sz w:val="24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195B"/>
    <w:rPr>
      <w:rFonts w:ascii="Arial" w:eastAsia="Times New Roman" w:hAnsi="Arial" w:cs="Courier New"/>
      <w:sz w:val="24"/>
      <w:szCs w:val="20"/>
    </w:rPr>
  </w:style>
  <w:style w:type="paragraph" w:styleId="Pta">
    <w:name w:val="footer"/>
    <w:basedOn w:val="Normlny"/>
    <w:link w:val="PtaChar"/>
    <w:uiPriority w:val="99"/>
    <w:semiHidden/>
    <w:unhideWhenUsed/>
    <w:rsid w:val="0011195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noProof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195B"/>
    <w:rPr>
      <w:rFonts w:ascii="Arial" w:eastAsia="Times New Roman" w:hAnsi="Arial" w:cs="Times New Roman"/>
      <w:noProof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11195B"/>
    <w:pPr>
      <w:spacing w:after="0" w:line="240" w:lineRule="auto"/>
      <w:jc w:val="center"/>
    </w:pPr>
    <w:rPr>
      <w:rFonts w:ascii="Tahoma" w:eastAsia="Times New Roman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11195B"/>
    <w:rPr>
      <w:rFonts w:ascii="Tahoma" w:eastAsia="Times New Roman" w:hAnsi="Tahoma" w:cs="Tahoma"/>
      <w:b/>
      <w:bCs/>
      <w:sz w:val="32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195B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195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1195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1195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195B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11195B"/>
    <w:rPr>
      <w:rFonts w:ascii="Cambria" w:eastAsia="Times New Roman" w:hAnsi="Cambria" w:cs="Cambria"/>
      <w:lang w:eastAsia="en-US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195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195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195B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195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195B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195B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11195B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11195B"/>
    <w:rPr>
      <w:rFonts w:ascii="Tahoma" w:eastAsia="Times New Roman" w:hAnsi="Tahoma" w:cs="Tahoma"/>
      <w:sz w:val="20"/>
      <w:szCs w:val="20"/>
      <w:shd w:val="clear" w:color="auto" w:fill="00008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195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195B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11195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NormalTahoma">
    <w:name w:val="Normal + Tahoma"/>
    <w:aliases w:val="7.5 pt"/>
    <w:basedOn w:val="Normlny"/>
    <w:rsid w:val="0011195B"/>
    <w:pPr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paragraph" w:customStyle="1" w:styleId="TopHeader">
    <w:name w:val="Top Header"/>
    <w:basedOn w:val="Normlny"/>
    <w:qFormat/>
    <w:rsid w:val="0011195B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character" w:customStyle="1" w:styleId="ICOChar">
    <w:name w:val="ICO Char"/>
    <w:basedOn w:val="Predvolenpsmoodseku"/>
    <w:link w:val="ICO"/>
    <w:locked/>
    <w:rsid w:val="0011195B"/>
    <w:rPr>
      <w:rFonts w:ascii="Arial Narrow" w:hAnsi="Arial Narrow"/>
      <w:noProof/>
    </w:rPr>
  </w:style>
  <w:style w:type="paragraph" w:customStyle="1" w:styleId="ICO">
    <w:name w:val="ICO"/>
    <w:basedOn w:val="Normlny"/>
    <w:link w:val="ICOChar"/>
    <w:qFormat/>
    <w:rsid w:val="0011195B"/>
    <w:pPr>
      <w:spacing w:after="0" w:line="240" w:lineRule="auto"/>
    </w:pPr>
    <w:rPr>
      <w:rFonts w:ascii="Arial Narrow" w:hAnsi="Arial Narrow"/>
      <w:noProof/>
    </w:rPr>
  </w:style>
  <w:style w:type="character" w:customStyle="1" w:styleId="DICChar">
    <w:name w:val="DIC Char"/>
    <w:basedOn w:val="ICOChar"/>
    <w:link w:val="DIC"/>
    <w:locked/>
    <w:rsid w:val="0011195B"/>
  </w:style>
  <w:style w:type="paragraph" w:customStyle="1" w:styleId="DIC">
    <w:name w:val="DIC"/>
    <w:basedOn w:val="ICO"/>
    <w:link w:val="DICChar"/>
    <w:qFormat/>
    <w:rsid w:val="0011195B"/>
  </w:style>
  <w:style w:type="character" w:customStyle="1" w:styleId="odstavecChar">
    <w:name w:val="odstavec Char"/>
    <w:basedOn w:val="Predvolenpsmoodseku"/>
    <w:link w:val="odstavec"/>
    <w:locked/>
    <w:rsid w:val="0011195B"/>
    <w:rPr>
      <w:rFonts w:ascii="Arial Narrow" w:hAnsi="Arial Narrow" w:cs="Arial"/>
      <w:bCs/>
      <w:iCs/>
    </w:rPr>
  </w:style>
  <w:style w:type="paragraph" w:customStyle="1" w:styleId="odstavec">
    <w:name w:val="odstavec"/>
    <w:basedOn w:val="Normlny"/>
    <w:link w:val="odstavecChar"/>
    <w:autoRedefine/>
    <w:rsid w:val="0011195B"/>
    <w:pPr>
      <w:tabs>
        <w:tab w:val="left" w:pos="426"/>
        <w:tab w:val="left" w:pos="709"/>
      </w:tabs>
      <w:suppressAutoHyphens/>
      <w:spacing w:after="0" w:line="240" w:lineRule="auto"/>
      <w:ind w:right="-79"/>
      <w:jc w:val="both"/>
    </w:pPr>
    <w:rPr>
      <w:rFonts w:ascii="Arial Narrow" w:hAnsi="Arial Narrow" w:cs="Arial"/>
      <w:bCs/>
      <w:iCs/>
    </w:rPr>
  </w:style>
  <w:style w:type="paragraph" w:customStyle="1" w:styleId="abc">
    <w:name w:val="abc"/>
    <w:basedOn w:val="Normlny"/>
    <w:autoRedefine/>
    <w:rsid w:val="0011195B"/>
    <w:pPr>
      <w:suppressAutoHyphens/>
      <w:spacing w:before="60" w:after="120" w:line="240" w:lineRule="auto"/>
      <w:jc w:val="both"/>
    </w:pPr>
    <w:rPr>
      <w:rFonts w:ascii="Arial Narrow" w:eastAsia="Times New Roman" w:hAnsi="Arial Narrow" w:cs="Arial"/>
      <w:b/>
      <w:sz w:val="20"/>
      <w:szCs w:val="20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11195B"/>
    <w:rPr>
      <w:rFonts w:ascii="Arial" w:hAnsi="Arial" w:cs="Arial"/>
      <w:sz w:val="18"/>
      <w:lang w:val="en-GB" w:eastAsia="en-US"/>
    </w:rPr>
  </w:style>
  <w:style w:type="paragraph" w:customStyle="1" w:styleId="ABC-paragrahinNotes">
    <w:name w:val="ABC - paragrah in Notes"/>
    <w:link w:val="ABC-paragrahinNotesChar"/>
    <w:rsid w:val="0011195B"/>
    <w:pPr>
      <w:spacing w:after="240" w:line="240" w:lineRule="auto"/>
      <w:jc w:val="both"/>
    </w:pPr>
    <w:rPr>
      <w:rFonts w:ascii="Arial" w:hAnsi="Arial" w:cs="Arial"/>
      <w:sz w:val="18"/>
      <w:lang w:val="en-GB" w:eastAsia="en-US"/>
    </w:rPr>
  </w:style>
  <w:style w:type="character" w:styleId="Odkaznapoznmkupodiarou">
    <w:name w:val="footnote reference"/>
    <w:uiPriority w:val="99"/>
    <w:semiHidden/>
    <w:unhideWhenUsed/>
    <w:rsid w:val="0011195B"/>
    <w:rPr>
      <w:rFonts w:ascii="Times New Roman" w:hAnsi="Times New Roman" w:cs="Times New Roman" w:hint="default"/>
      <w:vertAlign w:val="superscript"/>
    </w:rPr>
  </w:style>
  <w:style w:type="character" w:customStyle="1" w:styleId="ra">
    <w:name w:val="ra"/>
    <w:basedOn w:val="Predvolenpsmoodseku"/>
    <w:rsid w:val="0011195B"/>
  </w:style>
  <w:style w:type="character" w:customStyle="1" w:styleId="TitleChar1">
    <w:name w:val="Title Char1"/>
    <w:basedOn w:val="Predvolenpsmoodseku"/>
    <w:uiPriority w:val="99"/>
    <w:locked/>
    <w:rsid w:val="0011195B"/>
    <w:rPr>
      <w:rFonts w:ascii="Times New Roman" w:eastAsia="Times New Roman" w:hAnsi="Times New Roman" w:cs="Times New Roman" w:hint="default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99"/>
    <w:rsid w:val="001119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8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15</Pages>
  <Words>3328</Words>
  <Characters>18971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50</cp:revision>
  <cp:lastPrinted>2022-05-11T11:54:00Z</cp:lastPrinted>
  <dcterms:created xsi:type="dcterms:W3CDTF">2022-04-20T08:11:00Z</dcterms:created>
  <dcterms:modified xsi:type="dcterms:W3CDTF">2022-05-11T11:56:00Z</dcterms:modified>
</cp:coreProperties>
</file>