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_rels/chart1.xml.rels" ContentType="application/vnd.openxmlformats-package.relationships+xml"/>
  <Override PartName="/word/charts/_rels/chart2.xml.rels" ContentType="application/vnd.openxmlformats-package.relationships+xml"/>
  <Override PartName="/word/charts/_rels/chart3.xml.rels" ContentType="application/vnd.openxmlformats-package.relationships+xml"/>
  <Override PartName="/word/charts/_rels/chart4.xml.rels" ContentType="application/vnd.openxmlformats-package.relationship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embeddings/Microsoft_Excel_Worksheet.xlsx" ContentType="application/vnd.openxmlformats-officedocument.spreadsheetml.sheet"/>
  <Override PartName="/word/embeddings/Microsoft_Excel_Worksheet3.xlsx" ContentType="application/vnd.openxmlformats-officedocument.spreadsheetml.sheet"/>
  <Override PartName="/word/embeddings/Microsoft_Excel_Worksheet2.xlsx" ContentType="application/vnd.openxmlformats-officedocument.spreadsheetml.sheet"/>
  <Override PartName="/word/embeddings/Microsoft_Excel_Worksheet1.xlsx" ContentType="application/vnd.openxmlformats-officedocument.spreadsheetml.sheet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20"/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TES MI s.r.o.  </w:t>
      </w:r>
    </w:p>
    <w:p>
      <w:pPr>
        <w:pStyle w:val="Normal"/>
        <w:tabs>
          <w:tab w:val="clear" w:pos="720"/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</w:r>
    </w:p>
    <w:p>
      <w:pPr>
        <w:pStyle w:val="Normal"/>
        <w:tabs>
          <w:tab w:val="clear" w:pos="720"/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jc w:val="center"/>
        <w:rPr>
          <w:rFonts w:ascii="Times New Roman" w:hAnsi="Times New Roman"/>
          <w:b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 </w:t>
      </w:r>
      <w:r>
        <w:rPr>
          <w:rFonts w:ascii="Times New Roman" w:hAnsi="Times New Roman"/>
          <w:b/>
          <w:sz w:val="40"/>
          <w:szCs w:val="40"/>
        </w:rPr>
        <w:t>V Ý R O Č N Á    S P R Á V A</w:t>
      </w:r>
    </w:p>
    <w:p>
      <w:pPr>
        <w:pStyle w:val="Normal"/>
        <w:tabs>
          <w:tab w:val="clear" w:pos="720"/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jc w:val="center"/>
        <w:rPr>
          <w:rFonts w:ascii="Times New Roman" w:hAnsi="Times New Roman"/>
          <w:b/>
          <w:b/>
          <w:sz w:val="56"/>
          <w:szCs w:val="56"/>
        </w:rPr>
      </w:pPr>
      <w:r>
        <w:rPr>
          <w:rFonts w:ascii="Times New Roman" w:hAnsi="Times New Roman"/>
          <w:b/>
          <w:sz w:val="40"/>
          <w:szCs w:val="40"/>
        </w:rPr>
        <w:t xml:space="preserve">Z A  R O K  2 0 2 1  </w:t>
      </w:r>
    </w:p>
    <w:p>
      <w:pPr>
        <w:pStyle w:val="Normal"/>
        <w:tabs>
          <w:tab w:val="clear" w:pos="720"/>
          <w:tab w:val="left" w:pos="1872" w:leader="none"/>
          <w:tab w:val="left" w:pos="2160" w:leader="none"/>
          <w:tab w:val="left" w:pos="4752" w:leader="none"/>
        </w:tabs>
        <w:spacing w:lineRule="atLeast" w:line="480" w:before="0" w:after="1440"/>
        <w:ind w:right="-12" w:hanging="0"/>
        <w:jc w:val="center"/>
        <w:rPr>
          <w:rFonts w:ascii="Times New Roman" w:hAnsi="Times New Roman"/>
          <w:b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Adresa:</w:t>
        <w:tab/>
        <w:t xml:space="preserve">TES MI s.r.o., Továrenská 2, 071 01 Michalovce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IČO:</w:t>
        <w:tab/>
        <w:tab/>
        <w:t>36 190 217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Telefón:</w:t>
        <w:tab/>
        <w:t>056/6884741</w:t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clear" w:pos="720"/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</w:tabs>
        <w:ind w:right="15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O B S A H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PREHĽAD FINANČNÝCH ÚDAJOV ZA ROKY 2019 - 2021</w:t>
        <w:tab/>
        <w:t xml:space="preserve"> 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 xml:space="preserve">SPRÁVA KONATEĽA O PODNIKATEĽSKEJ </w:t>
        <w:tab/>
        <w:t xml:space="preserve">  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ČINNOSTI V ROKU 2021: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a) Informácie o vývoji účtovnej jednotky, o stave v ktorom sa nachádza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>
        <w:rPr>
          <w:rFonts w:ascii="Times New Roman" w:hAnsi="Times New Roman"/>
          <w:sz w:val="22"/>
          <w:szCs w:val="22"/>
        </w:rPr>
        <w:t>a o významných rizikách a neistotách, ktorým je účtovná jednotka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>
        <w:rPr>
          <w:rFonts w:ascii="Times New Roman" w:hAnsi="Times New Roman"/>
          <w:sz w:val="22"/>
          <w:szCs w:val="22"/>
        </w:rPr>
        <w:t>vystavená.</w:t>
      </w:r>
    </w:p>
    <w:p>
      <w:pPr>
        <w:pStyle w:val="Normal"/>
        <w:tabs>
          <w:tab w:val="clear" w:pos="720"/>
          <w:tab w:val="left" w:pos="993" w:leader="none"/>
          <w:tab w:val="left" w:pos="1418" w:leader="none"/>
          <w:tab w:val="left" w:pos="2977" w:leader="none"/>
          <w:tab w:val="left" w:pos="7938" w:leader="none"/>
        </w:tabs>
        <w:ind w:left="993" w:right="152" w:hanging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b) Informácie o udalostiach osobitného významu, ktoré nastali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>
        <w:rPr>
          <w:rFonts w:ascii="Times New Roman" w:hAnsi="Times New Roman"/>
          <w:sz w:val="22"/>
          <w:szCs w:val="22"/>
        </w:rPr>
        <w:t>po skončení účtovného obdobia, za ktoré sa vyhotovuje výročná správa.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c) Informácie o predpokladanom budúcom vývoji činnosti účtovnej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>
        <w:rPr>
          <w:rFonts w:ascii="Times New Roman" w:hAnsi="Times New Roman"/>
          <w:sz w:val="22"/>
          <w:szCs w:val="22"/>
        </w:rPr>
        <w:t>jednotky.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d) Informácia o nákladoch na činnosť v oblasti výskumu a vývoja.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e) Informácia o nadobúdaní vlastných obchodných podielov.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f) Návrh na schválenie účtovnej závierky a na rozdelenie zisku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>
        <w:rPr>
          <w:rFonts w:ascii="Times New Roman" w:hAnsi="Times New Roman"/>
          <w:sz w:val="22"/>
          <w:szCs w:val="22"/>
        </w:rPr>
        <w:t>alebo vyrovnanie straty.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g) Informácie o údajoch požadovaných podľa osobitných predpisov.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h) Informácie o tom, či účtovná jednotka má organizačnú zložku v zahraničí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ÚČTOVNÁ ZÁVIERKA ZA ROK 2021</w:t>
        <w:tab/>
        <w:tab/>
        <w:t xml:space="preserve">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- Bilancia (súvaha)</w:t>
        <w:tab/>
        <w:tab/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- Výkaz ziskov a strát</w:t>
        <w:tab/>
        <w:tab/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0" w:leader="none"/>
          <w:tab w:val="left" w:pos="2977" w:leader="none"/>
          <w:tab w:val="left" w:pos="7938" w:leader="none"/>
        </w:tabs>
        <w:ind w:right="152" w:firstLine="142"/>
        <w:jc w:val="right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clear" w:pos="720"/>
          <w:tab w:val="left" w:pos="0" w:leader="none"/>
          <w:tab w:val="left" w:pos="2977" w:leader="none"/>
          <w:tab w:val="left" w:pos="7938" w:leader="none"/>
        </w:tabs>
        <w:ind w:right="152" w:firstLine="142"/>
        <w:jc w:val="right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clear" w:pos="720"/>
          <w:tab w:val="left" w:pos="0" w:leader="none"/>
          <w:tab w:val="left" w:pos="2977" w:leader="none"/>
          <w:tab w:val="left" w:pos="7938" w:leader="none"/>
        </w:tabs>
        <w:ind w:right="152" w:firstLine="142"/>
        <w:jc w:val="center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firstLine="426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PREHĽAD FINANČNÝCH ÚDAJOV ZA ROK 2019-2021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firstLine="426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center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T R Ž B Y,  P R I D A N Á  H O D N O T A,  H O S P.   V Ý S L E D O K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center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2 0 1 9 – 2 0 2 1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center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  <w:tab w:val="right" w:pos="9203" w:leader="none"/>
        </w:tabs>
        <w:ind w:right="152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</w:t>
      </w:r>
      <w:r>
        <w:rPr/>
        <w:drawing>
          <wp:inline distT="0" distB="0" distL="0" distR="0">
            <wp:extent cx="5241925" cy="4725670"/>
            <wp:effectExtent l="0" t="0" r="0" b="0"/>
            <wp:docPr id="1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"/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ab/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5104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5104" w:leader="none"/>
          <w:tab w:val="left" w:pos="7938" w:leader="none"/>
        </w:tabs>
        <w:ind w:right="152" w:hanging="0"/>
        <w:jc w:val="both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5104" w:leader="none"/>
          <w:tab w:val="left" w:pos="7938" w:leader="none"/>
        </w:tabs>
        <w:ind w:right="152" w:hanging="0"/>
        <w:jc w:val="both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5104" w:leader="none"/>
          <w:tab w:val="left" w:pos="7938" w:leader="none"/>
        </w:tabs>
        <w:ind w:right="152" w:hanging="0"/>
        <w:jc w:val="both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5104" w:leader="none"/>
          <w:tab w:val="left" w:pos="7938" w:leader="none"/>
        </w:tabs>
        <w:ind w:right="152" w:hanging="0"/>
        <w:jc w:val="both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5104" w:leader="none"/>
          <w:tab w:val="left" w:pos="7938" w:leader="none"/>
        </w:tabs>
        <w:ind w:right="152" w:hanging="0"/>
        <w:jc w:val="both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5104" w:leader="none"/>
          <w:tab w:val="left" w:pos="7938" w:leader="none"/>
        </w:tabs>
        <w:ind w:right="152" w:hanging="0"/>
        <w:jc w:val="both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5104" w:leader="none"/>
          <w:tab w:val="left" w:pos="7938" w:leader="none"/>
        </w:tabs>
        <w:ind w:right="152" w:hanging="0"/>
        <w:jc w:val="both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A K T Í VA  2019 – 2021                                 P A S Í V A 2019 - 2021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4536" w:leader="none"/>
          <w:tab w:val="left" w:pos="7938" w:leader="none"/>
        </w:tabs>
        <w:ind w:right="152" w:hanging="0"/>
        <w:jc w:val="both"/>
        <w:rPr>
          <w:rFonts w:ascii="Times New Roman" w:hAnsi="Times New Roman"/>
          <w:i/>
          <w:i/>
          <w:sz w:val="26"/>
          <w:szCs w:val="26"/>
        </w:rPr>
      </w:pPr>
      <w:r>
        <w:rPr/>
        <w:drawing>
          <wp:anchor behindDoc="0" distT="0" distB="0" distL="0" distR="0" simplePos="0" locked="0" layoutInCell="0" allowOverlap="1" relativeHeight="13">
            <wp:simplePos x="0" y="0"/>
            <wp:positionH relativeFrom="column">
              <wp:posOffset>2992120</wp:posOffset>
            </wp:positionH>
            <wp:positionV relativeFrom="paragraph">
              <wp:posOffset>4445</wp:posOffset>
            </wp:positionV>
            <wp:extent cx="2598420" cy="3992880"/>
            <wp:effectExtent l="0" t="0" r="0" b="0"/>
            <wp:wrapNone/>
            <wp:docPr id="2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"/>
              </a:graphicData>
            </a:graphic>
          </wp:anchor>
        </w:drawing>
        <w:drawing>
          <wp:inline distT="0" distB="0" distL="0" distR="0">
            <wp:extent cx="2625725" cy="3974465"/>
            <wp:effectExtent l="0" t="0" r="0" b="0"/>
            <wp:docPr id="3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4536" w:leader="none"/>
          <w:tab w:val="left" w:pos="7938" w:leader="none"/>
        </w:tabs>
        <w:ind w:right="152" w:hanging="0"/>
        <w:jc w:val="both"/>
        <w:rPr>
          <w:rFonts w:ascii="Times New Roman" w:hAnsi="Times New Roman"/>
          <w:i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4536" w:leader="none"/>
          <w:tab w:val="left" w:pos="7938" w:leader="none"/>
        </w:tabs>
        <w:ind w:right="152" w:hanging="0"/>
        <w:jc w:val="both"/>
        <w:rPr>
          <w:rFonts w:ascii="Times New Roman" w:hAnsi="Times New Roman"/>
          <w:i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4536" w:leader="none"/>
          <w:tab w:val="left" w:pos="7938" w:leader="none"/>
        </w:tabs>
        <w:ind w:right="152" w:hanging="0"/>
        <w:jc w:val="both"/>
        <w:rPr>
          <w:rFonts w:ascii="Times New Roman" w:hAnsi="Times New Roman"/>
          <w:i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4536" w:leader="none"/>
          <w:tab w:val="left" w:pos="7938" w:leader="none"/>
        </w:tabs>
        <w:ind w:right="152" w:hanging="0"/>
        <w:jc w:val="center"/>
        <w:rPr>
          <w:rFonts w:ascii="Times New Roman" w:hAnsi="Times New Roman"/>
          <w:i/>
          <w:i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PREHĽAD PEŇAŽNÝCH TOKOV 2021</w:t>
      </w:r>
    </w:p>
    <w:p>
      <w:pPr>
        <w:pStyle w:val="Normal"/>
        <w:tabs>
          <w:tab w:val="clear" w:pos="720"/>
          <w:tab w:val="left" w:pos="6440" w:leader="none"/>
        </w:tabs>
        <w:ind w:right="152" w:hanging="0"/>
        <w:jc w:val="both"/>
        <w:rPr>
          <w:rFonts w:ascii="Times New Roman" w:hAnsi="Times New Roman"/>
          <w:i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ab/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4536" w:leader="none"/>
          <w:tab w:val="left" w:pos="7938" w:leader="none"/>
        </w:tabs>
        <w:ind w:right="152" w:hanging="0"/>
        <w:jc w:val="both"/>
        <w:rPr>
          <w:rFonts w:ascii="Times New Roman" w:hAnsi="Times New Roman"/>
          <w:i/>
          <w:i/>
          <w:sz w:val="26"/>
          <w:szCs w:val="26"/>
        </w:rPr>
      </w:pPr>
      <w:r>
        <w:rPr/>
        <w:drawing>
          <wp:inline distT="0" distB="0" distL="0" distR="0">
            <wp:extent cx="5541010" cy="2978785"/>
            <wp:effectExtent l="0" t="0" r="0" b="0"/>
            <wp:docPr id="4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4536" w:leader="none"/>
          <w:tab w:val="left" w:pos="7938" w:leader="none"/>
        </w:tabs>
        <w:ind w:right="152" w:hanging="0"/>
        <w:jc w:val="both"/>
        <w:rPr>
          <w:rFonts w:ascii="Times New Roman" w:hAnsi="Times New Roman"/>
          <w:i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 xml:space="preserve">    </w:t>
      </w:r>
      <w:r>
        <w:rPr>
          <w:rFonts w:ascii="Times New Roman" w:hAnsi="Times New Roman"/>
          <w:i/>
          <w:sz w:val="26"/>
          <w:szCs w:val="26"/>
        </w:rPr>
        <w:tab/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hanging="0"/>
        <w:jc w:val="right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hanging="0"/>
        <w:jc w:val="right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hanging="0"/>
        <w:jc w:val="right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center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center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center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SPRÁVA KONATEĽOV O PODNIKATEĽSKEJ ČINNOSTI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center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V ROKU 2021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center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________________________________________________________________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a) Informácie o vývoji účtovnej jednotky, o stave v ktorom sa nachádza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</w:t>
      </w:r>
      <w:r>
        <w:rPr>
          <w:rFonts w:ascii="Times New Roman" w:hAnsi="Times New Roman"/>
          <w:b/>
          <w:sz w:val="22"/>
          <w:szCs w:val="22"/>
        </w:rPr>
        <w:t>a o významných rizikách a neistotách, ktorým je účtovná jednotka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</w:t>
      </w:r>
      <w:r>
        <w:rPr>
          <w:rFonts w:ascii="Times New Roman" w:hAnsi="Times New Roman"/>
          <w:b/>
          <w:sz w:val="22"/>
          <w:szCs w:val="22"/>
        </w:rPr>
        <w:t>vystavená.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    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left="284" w:right="152" w:firstLine="425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Účtovná jednotka TES MI s.r.o. v priebehu roka 2021 vykonávala svoju činnosť v štandardnom režime bez mimoriadnych výkyvov, rizík a neistôt.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left="284" w:right="152" w:firstLine="425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left="284" w:right="152" w:firstLine="425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Odberateľom dodávala svoju produkciu v dohodnutých termínoch a štandardnej kvalite. Finančné záväzky voči svojím dodávateľom uhrádzala v termínoch splatnosti.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left="284" w:right="152" w:firstLine="425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left="284" w:right="152" w:firstLine="425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Pri úhrade vlastných pohľadávok sa nevyskytli problémy a pohľadávky boli uhrádzané dlžníkmi v termínoch splatnosti.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left="284" w:right="152" w:firstLine="425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left="284" w:right="152" w:firstLine="425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Celkovo možno hodnotiť vývoj spoločnosti ako štandardný a bezrizikový.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left="284" w:right="152" w:firstLine="425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VÝKAZ ZISKOV A STRÁT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Ukazovatele efektívnosti hospodárenia: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4962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  <w:tab/>
        <w:tab/>
        <w:t>k 31.12.2021</w:t>
        <w:tab/>
        <w:t xml:space="preserve">  k 31.12.2020</w:t>
      </w:r>
      <w:r>
        <w:rPr>
          <w:rFonts w:ascii="Times New Roman" w:hAnsi="Times New Roman"/>
          <w:sz w:val="22"/>
          <w:szCs w:val="22"/>
        </w:rPr>
        <w:tab/>
        <w:t xml:space="preserve">                                                                                                                   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a) Rentabilita celkového kapitálu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Použiteľný zisk+úroky         315 762            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670" w:leader="none"/>
          <w:tab w:val="left" w:pos="6946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–––––––––––––––––– </w:t>
      </w:r>
      <w:r>
        <w:rPr>
          <w:rFonts w:ascii="Times New Roman" w:hAnsi="Times New Roman"/>
          <w:sz w:val="22"/>
          <w:szCs w:val="22"/>
        </w:rPr>
        <w:t>= ––––––––––  x  100  =                        1,16 %</w:t>
        <w:tab/>
        <w:t xml:space="preserve">    3,72 %          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Celkový kapitál k 1.1.      27 139 051                  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b) Rentabilita vlastného kapitálu;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Použiteľný zisk                    314 866                   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670" w:leader="none"/>
          <w:tab w:val="left" w:pos="6946" w:leader="none"/>
        </w:tabs>
        <w:ind w:right="-1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––––––––––––––––– </w:t>
      </w:r>
      <w:r>
        <w:rPr>
          <w:rFonts w:ascii="Times New Roman" w:hAnsi="Times New Roman"/>
          <w:sz w:val="22"/>
          <w:szCs w:val="22"/>
        </w:rPr>
        <w:t>= –––––––––––  x  100  =                         3,13 %</w:t>
        <w:tab/>
        <w:t xml:space="preserve">  10,71 %      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Vlastný kapitál  k 1.1.     10 071 278                  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c) Nákladová rentabilita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Hosp.výsledok                314 866             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670" w:leader="none"/>
          <w:tab w:val="left" w:pos="6946" w:leader="none"/>
        </w:tabs>
        <w:ind w:right="-1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––––––––––––––    </w:t>
      </w:r>
      <w:r>
        <w:rPr>
          <w:rFonts w:ascii="Times New Roman" w:hAnsi="Times New Roman"/>
          <w:sz w:val="22"/>
          <w:szCs w:val="22"/>
        </w:rPr>
        <w:t>=  ––––––––––   x   100    =                         1,46 %</w:t>
        <w:tab/>
        <w:t xml:space="preserve">    5,54 %         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Celkové náklady          21 511 954                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d) Nákladovosť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Náklady celkom         21 511 954               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529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–––––––––––––– </w:t>
      </w:r>
      <w:r>
        <w:rPr>
          <w:rFonts w:ascii="Times New Roman" w:hAnsi="Times New Roman"/>
          <w:sz w:val="22"/>
          <w:szCs w:val="22"/>
        </w:rPr>
        <w:t xml:space="preserve">= ––––––––––––  x   100     =                       98,55 % </w:t>
        <w:tab/>
        <w:t xml:space="preserve">     94,75 %           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Výnosy celkom          21 826 820        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BILANCIA  (SÚVAHA)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ind w:right="-12" w:firstLine="54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Analýza štruktúry majetku (aktív), popis obchodného majetku, stálych aktív, obežného majetku, ostatných aktív, %-tuálne zloženie,  medziročný pohyb. Analýza zdrojov (pasív), vlastného imania, cudzích zdrojov, ostatných pasív.</w:t>
      </w:r>
    </w:p>
    <w:p>
      <w:pPr>
        <w:pStyle w:val="Normal"/>
        <w:ind w:right="-12" w:firstLine="54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ŠTRUKTÚRA MAJETKU A ZDROJOV</w:t>
      </w:r>
    </w:p>
    <w:tbl>
      <w:tblPr>
        <w:tblW w:w="90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950"/>
        <w:gridCol w:w="1559"/>
        <w:gridCol w:w="1190"/>
        <w:gridCol w:w="1647"/>
        <w:gridCol w:w="1188"/>
        <w:gridCol w:w="1504"/>
      </w:tblGrid>
      <w:tr>
        <w:trPr>
          <w:cantSplit w:val="true"/>
        </w:trPr>
        <w:tc>
          <w:tcPr>
            <w:tcW w:w="19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auto" w:val="pct10"/>
          </w:tcPr>
          <w:p>
            <w:pPr>
              <w:pStyle w:val="Normal"/>
              <w:widowControl w:val="false"/>
              <w:ind w:left="57" w:right="57" w:hanging="0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Ukazovateľ </w:t>
            </w:r>
          </w:p>
          <w:p>
            <w:pPr>
              <w:pStyle w:val="Normal"/>
              <w:widowControl w:val="false"/>
              <w:ind w:left="57" w:right="57" w:hanging="0"/>
              <w:rPr>
                <w:rFonts w:ascii="Times New Roman" w:hAnsi="Times New Roman"/>
                <w:b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(v eurách)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auto" w:val="pct10"/>
          </w:tcPr>
          <w:p>
            <w:pPr>
              <w:pStyle w:val="Normal"/>
              <w:widowControl w:val="false"/>
              <w:ind w:left="57" w:right="57" w:hanging="0"/>
              <w:jc w:val="center"/>
              <w:rPr>
                <w:rFonts w:ascii="Times New Roman" w:hAnsi="Times New Roman"/>
                <w:b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Stav k 31.12.2020</w:t>
            </w:r>
          </w:p>
        </w:tc>
        <w:tc>
          <w:tcPr>
            <w:tcW w:w="1190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auto" w:val="pct10"/>
          </w:tcPr>
          <w:p>
            <w:pPr>
              <w:pStyle w:val="Normal"/>
              <w:widowControl w:val="false"/>
              <w:ind w:left="57" w:right="57" w:hanging="0"/>
              <w:jc w:val="center"/>
              <w:rPr>
                <w:rFonts w:ascii="Times New Roman" w:hAnsi="Times New Roman"/>
                <w:b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%</w:t>
            </w:r>
          </w:p>
        </w:tc>
        <w:tc>
          <w:tcPr>
            <w:tcW w:w="1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auto" w:val="pct10"/>
          </w:tcPr>
          <w:p>
            <w:pPr>
              <w:pStyle w:val="Normal"/>
              <w:widowControl w:val="false"/>
              <w:ind w:left="57" w:right="57" w:hanging="0"/>
              <w:jc w:val="center"/>
              <w:rPr>
                <w:rFonts w:ascii="Times New Roman" w:hAnsi="Times New Roman"/>
                <w:b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Stav k  31.12.2021</w:t>
            </w:r>
          </w:p>
        </w:tc>
        <w:tc>
          <w:tcPr>
            <w:tcW w:w="118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auto" w:val="pct10"/>
          </w:tcPr>
          <w:p>
            <w:pPr>
              <w:pStyle w:val="Normal"/>
              <w:widowControl w:val="false"/>
              <w:ind w:left="57" w:right="57" w:hanging="0"/>
              <w:jc w:val="center"/>
              <w:rPr>
                <w:rFonts w:ascii="Times New Roman" w:hAnsi="Times New Roman"/>
                <w:b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%</w:t>
            </w:r>
          </w:p>
        </w:tc>
        <w:tc>
          <w:tcPr>
            <w:tcW w:w="150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auto" w:val="pct10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Rozdiel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2021 – 2020</w:t>
            </w:r>
          </w:p>
        </w:tc>
      </w:tr>
      <w:tr>
        <w:trPr>
          <w:cantSplit w:val="true"/>
        </w:trPr>
        <w:tc>
          <w:tcPr>
            <w:tcW w:w="1950" w:type="dxa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rPr>
                <w:rFonts w:ascii="Times New Roman" w:hAnsi="Times New Roman"/>
                <w:b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Neob majetok</w:t>
            </w:r>
          </w:p>
        </w:tc>
        <w:tc>
          <w:tcPr>
            <w:tcW w:w="1559" w:type="dxa"/>
            <w:tcBorders>
              <w:top w:val="single" w:sz="1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12 842 203</w:t>
            </w:r>
          </w:p>
        </w:tc>
        <w:tc>
          <w:tcPr>
            <w:tcW w:w="119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47,3</w:t>
            </w:r>
          </w:p>
        </w:tc>
        <w:tc>
          <w:tcPr>
            <w:tcW w:w="164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10 096 111</w:t>
            </w:r>
          </w:p>
        </w:tc>
        <w:tc>
          <w:tcPr>
            <w:tcW w:w="118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38,0</w:t>
            </w:r>
          </w:p>
        </w:tc>
        <w:tc>
          <w:tcPr>
            <w:tcW w:w="1504" w:type="dxa"/>
            <w:tcBorders>
              <w:top w:val="single" w:sz="18" w:space="0" w:color="000000"/>
              <w:bottom w:val="single" w:sz="6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- 2 746 092</w:t>
            </w:r>
          </w:p>
        </w:tc>
      </w:tr>
      <w:tr>
        <w:trPr>
          <w:cantSplit w:val="true"/>
        </w:trPr>
        <w:tc>
          <w:tcPr>
            <w:tcW w:w="195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Obež majetok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14 280 836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52,6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16 443 294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61,9</w:t>
            </w:r>
          </w:p>
        </w:tc>
        <w:tc>
          <w:tcPr>
            <w:tcW w:w="1504" w:type="dxa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+ 2 162 458</w:t>
            </w:r>
          </w:p>
        </w:tc>
      </w:tr>
      <w:tr>
        <w:trPr>
          <w:cantSplit w:val="true"/>
        </w:trPr>
        <w:tc>
          <w:tcPr>
            <w:tcW w:w="195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zásoby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688 525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2,5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lang w:val="en-US"/>
              </w:rPr>
              <w:t>2 827 734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10,6</w:t>
            </w:r>
          </w:p>
        </w:tc>
        <w:tc>
          <w:tcPr>
            <w:tcW w:w="1504" w:type="dxa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+ 2 139 209</w:t>
            </w:r>
          </w:p>
        </w:tc>
      </w:tr>
      <w:tr>
        <w:trPr>
          <w:cantSplit w:val="true"/>
        </w:trPr>
        <w:tc>
          <w:tcPr>
            <w:tcW w:w="195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pohľadávky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3 640 698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13,4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4 397 102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16,6</w:t>
            </w:r>
          </w:p>
        </w:tc>
        <w:tc>
          <w:tcPr>
            <w:tcW w:w="1504" w:type="dxa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+ 756 404</w:t>
            </w:r>
          </w:p>
        </w:tc>
      </w:tr>
      <w:tr>
        <w:trPr>
          <w:cantSplit w:val="true"/>
        </w:trPr>
        <w:tc>
          <w:tcPr>
            <w:tcW w:w="195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fin. majetok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9 951 613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36,7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9 218 458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34,7</w:t>
            </w:r>
          </w:p>
        </w:tc>
        <w:tc>
          <w:tcPr>
            <w:tcW w:w="1504" w:type="dxa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- 733 155</w:t>
            </w:r>
          </w:p>
        </w:tc>
      </w:tr>
      <w:tr>
        <w:trPr>
          <w:cantSplit w:val="true"/>
        </w:trPr>
        <w:tc>
          <w:tcPr>
            <w:tcW w:w="1950" w:type="dxa"/>
            <w:tcBorders>
              <w:top w:val="single" w:sz="6" w:space="0" w:color="000000"/>
              <w:left w:val="single" w:sz="18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Čas. rozlíšenie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16 012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0,1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13 575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0,1</w:t>
            </w:r>
          </w:p>
        </w:tc>
        <w:tc>
          <w:tcPr>
            <w:tcW w:w="1504" w:type="dxa"/>
            <w:tcBorders>
              <w:top w:val="single" w:sz="6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- 2 437</w:t>
            </w:r>
          </w:p>
        </w:tc>
      </w:tr>
      <w:tr>
        <w:trPr>
          <w:cantSplit w:val="true"/>
        </w:trPr>
        <w:tc>
          <w:tcPr>
            <w:tcW w:w="1950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color="auto" w:fill="auto" w:val="pct10"/>
          </w:tcPr>
          <w:p>
            <w:pPr>
              <w:pStyle w:val="Normal"/>
              <w:widowControl w:val="false"/>
              <w:ind w:left="57" w:right="57" w:hanging="0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Aktíva celkom</w:t>
            </w:r>
          </w:p>
        </w:tc>
        <w:tc>
          <w:tcPr>
            <w:tcW w:w="1559" w:type="dxa"/>
            <w:tcBorders>
              <w:right w:val="single" w:sz="6" w:space="0" w:color="000000"/>
            </w:tcBorders>
            <w:shd w:color="auto" w:fill="auto" w:val="pct10"/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27 139 051</w:t>
            </w:r>
          </w:p>
        </w:tc>
        <w:tc>
          <w:tcPr>
            <w:tcW w:w="1190" w:type="dxa"/>
            <w:tcBorders>
              <w:left w:val="single" w:sz="6" w:space="0" w:color="000000"/>
              <w:right w:val="single" w:sz="6" w:space="0" w:color="000000"/>
            </w:tcBorders>
            <w:shd w:color="auto" w:fill="auto" w:val="pct10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100</w:t>
            </w:r>
          </w:p>
        </w:tc>
        <w:tc>
          <w:tcPr>
            <w:tcW w:w="1647" w:type="dxa"/>
            <w:tcBorders>
              <w:left w:val="single" w:sz="6" w:space="0" w:color="000000"/>
              <w:right w:val="single" w:sz="6" w:space="0" w:color="000000"/>
            </w:tcBorders>
            <w:shd w:color="auto" w:fill="auto" w:val="pct10"/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26 552 980</w:t>
            </w:r>
          </w:p>
        </w:tc>
        <w:tc>
          <w:tcPr>
            <w:tcW w:w="1188" w:type="dxa"/>
            <w:tcBorders>
              <w:left w:val="single" w:sz="6" w:space="0" w:color="000000"/>
              <w:right w:val="single" w:sz="6" w:space="0" w:color="000000"/>
            </w:tcBorders>
            <w:shd w:color="auto" w:fill="auto" w:val="pct10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100</w:t>
            </w:r>
          </w:p>
        </w:tc>
        <w:tc>
          <w:tcPr>
            <w:tcW w:w="1504" w:type="dxa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shd w:color="auto" w:fill="auto" w:val="pct10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- 586 071</w:t>
            </w:r>
          </w:p>
        </w:tc>
      </w:tr>
      <w:tr>
        <w:trPr>
          <w:cantSplit w:val="true"/>
        </w:trPr>
        <w:tc>
          <w:tcPr>
            <w:tcW w:w="1950" w:type="dxa"/>
            <w:tcBorders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Vlastné imanie </w:t>
            </w:r>
          </w:p>
        </w:tc>
        <w:tc>
          <w:tcPr>
            <w:tcW w:w="1559" w:type="dxa"/>
            <w:tcBorders>
              <w:top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10 071 278</w:t>
            </w:r>
          </w:p>
        </w:tc>
        <w:tc>
          <w:tcPr>
            <w:tcW w:w="11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37,1</w:t>
            </w:r>
          </w:p>
        </w:tc>
        <w:tc>
          <w:tcPr>
            <w:tcW w:w="16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8 339 915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31,4</w:t>
            </w:r>
          </w:p>
        </w:tc>
        <w:tc>
          <w:tcPr>
            <w:tcW w:w="1504" w:type="dxa"/>
            <w:tcBorders>
              <w:bottom w:val="single" w:sz="6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- 1 731 363</w:t>
            </w:r>
          </w:p>
        </w:tc>
      </w:tr>
      <w:tr>
        <w:trPr>
          <w:cantSplit w:val="true"/>
        </w:trPr>
        <w:tc>
          <w:tcPr>
            <w:tcW w:w="195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Záväzky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17 067 773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62,9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18 213 065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68,6</w:t>
            </w:r>
          </w:p>
        </w:tc>
        <w:tc>
          <w:tcPr>
            <w:tcW w:w="1504" w:type="dxa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+ 1 145 292</w:t>
            </w:r>
          </w:p>
        </w:tc>
      </w:tr>
      <w:tr>
        <w:trPr>
          <w:cantSplit w:val="true"/>
        </w:trPr>
        <w:tc>
          <w:tcPr>
            <w:tcW w:w="1950" w:type="dxa"/>
            <w:tcBorders>
              <w:top w:val="single" w:sz="6" w:space="0" w:color="000000"/>
              <w:left w:val="single" w:sz="18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bankové úvery</w:t>
            </w:r>
          </w:p>
        </w:tc>
        <w:tc>
          <w:tcPr>
            <w:tcW w:w="1559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619 084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2,3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-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-</w:t>
            </w:r>
          </w:p>
        </w:tc>
        <w:tc>
          <w:tcPr>
            <w:tcW w:w="1504" w:type="dxa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- 619 084</w:t>
            </w:r>
          </w:p>
        </w:tc>
      </w:tr>
      <w:tr>
        <w:trPr>
          <w:cantSplit w:val="true"/>
        </w:trPr>
        <w:tc>
          <w:tcPr>
            <w:tcW w:w="1950" w:type="dxa"/>
            <w:tcBorders>
              <w:top w:val="single" w:sz="6" w:space="0" w:color="000000"/>
              <w:left w:val="single" w:sz="18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Čas. rozlíšenie</w:t>
            </w:r>
          </w:p>
        </w:tc>
        <w:tc>
          <w:tcPr>
            <w:tcW w:w="1559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504" w:type="dxa"/>
            <w:tcBorders>
              <w:top w:val="single" w:sz="6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>
        <w:trPr>
          <w:cantSplit w:val="true"/>
        </w:trPr>
        <w:tc>
          <w:tcPr>
            <w:tcW w:w="1950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auto" w:val="pct10"/>
          </w:tcPr>
          <w:p>
            <w:pPr>
              <w:pStyle w:val="Normal"/>
              <w:widowControl w:val="false"/>
              <w:ind w:left="57" w:right="57"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Pasíva celkom</w:t>
            </w:r>
          </w:p>
        </w:tc>
        <w:tc>
          <w:tcPr>
            <w:tcW w:w="1559" w:type="dxa"/>
            <w:tcBorders>
              <w:top w:val="single" w:sz="12" w:space="0" w:color="000000"/>
              <w:bottom w:val="single" w:sz="18" w:space="0" w:color="000000"/>
              <w:right w:val="single" w:sz="6" w:space="0" w:color="000000"/>
            </w:tcBorders>
            <w:shd w:color="auto" w:fill="auto" w:val="pct10"/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27 139 051</w:t>
            </w:r>
          </w:p>
        </w:tc>
        <w:tc>
          <w:tcPr>
            <w:tcW w:w="1190" w:type="dxa"/>
            <w:tcBorders>
              <w:top w:val="single" w:sz="12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pct10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100</w:t>
            </w:r>
          </w:p>
        </w:tc>
        <w:tc>
          <w:tcPr>
            <w:tcW w:w="1647" w:type="dxa"/>
            <w:tcBorders>
              <w:top w:val="single" w:sz="12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pct10"/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26 552 980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pct10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100</w:t>
            </w:r>
          </w:p>
        </w:tc>
        <w:tc>
          <w:tcPr>
            <w:tcW w:w="1504" w:type="dxa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pct10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- 586 071</w:t>
            </w:r>
          </w:p>
        </w:tc>
      </w:tr>
    </w:tbl>
    <w:p>
      <w:pPr>
        <w:pStyle w:val="Normal"/>
        <w:tabs>
          <w:tab w:val="clear" w:pos="720"/>
          <w:tab w:val="left" w:pos="5387" w:leader="none"/>
          <w:tab w:val="left" w:pos="6804" w:leader="none"/>
        </w:tabs>
        <w:ind w:right="-12" w:firstLine="54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5387" w:leader="none"/>
          <w:tab w:val="left" w:pos="6804" w:leader="none"/>
        </w:tabs>
        <w:ind w:right="-12" w:firstLine="54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clear" w:pos="720"/>
          <w:tab w:val="left" w:pos="5387" w:leader="none"/>
          <w:tab w:val="left" w:pos="6804" w:leader="none"/>
        </w:tabs>
        <w:ind w:left="5392" w:right="-12" w:hanging="0"/>
        <w:jc w:val="both"/>
        <w:rPr>
          <w:rFonts w:ascii="Times New Roman" w:hAnsi="Times New Roman"/>
          <w:b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           </w:t>
      </w:r>
      <w:r>
        <w:rPr>
          <w:rFonts w:ascii="Times New Roman" w:hAnsi="Times New Roman"/>
          <w:b/>
          <w:bCs/>
          <w:sz w:val="22"/>
          <w:szCs w:val="22"/>
        </w:rPr>
        <w:t>2021               2020</w:t>
      </w:r>
    </w:p>
    <w:p>
      <w:pPr>
        <w:pStyle w:val="Normal"/>
        <w:tabs>
          <w:tab w:val="clear" w:pos="720"/>
          <w:tab w:val="left" w:pos="5387" w:leader="none"/>
          <w:tab w:val="left" w:pos="6804" w:leader="none"/>
        </w:tabs>
        <w:ind w:right="-12" w:firstLine="547"/>
        <w:jc w:val="both"/>
        <w:rPr>
          <w:rFonts w:ascii="Times New Roman" w:hAnsi="Times New Roman"/>
          <w:b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Miera krytia investičného majetku vlastným kapitálom: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Vlastný kapitál            8 339 915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–––––––––––––– </w:t>
      </w:r>
      <w:r>
        <w:rPr>
          <w:rFonts w:ascii="Times New Roman" w:hAnsi="Times New Roman"/>
          <w:sz w:val="22"/>
          <w:szCs w:val="22"/>
        </w:rPr>
        <w:t>= ––––––––––– x 100 =                                    82,6 %           78,4 %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Stále aktíva                10 096 111</w:t>
      </w:r>
    </w:p>
    <w:p>
      <w:pPr>
        <w:pStyle w:val="Normal"/>
        <w:ind w:right="-12" w:firstLine="54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Finančná stabilita  (koeficient samofinancovania):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Vlastný kapitál           8 339 915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–––––––––––––  </w:t>
      </w:r>
      <w:r>
        <w:rPr>
          <w:rFonts w:ascii="Times New Roman" w:hAnsi="Times New Roman"/>
          <w:sz w:val="22"/>
          <w:szCs w:val="22"/>
        </w:rPr>
        <w:t>= –––––––––––   x 100 =                                   31,4 %</w:t>
        <w:tab/>
        <w:t xml:space="preserve">           37,1 %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sz w:val="22"/>
          <w:szCs w:val="22"/>
        </w:rPr>
        <w:t>Celkové aktíva          26 552 980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Celková zadlženosť (veriteľské riziko):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Cudzí kapitál             18 213 065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–––––––––––––  </w:t>
      </w:r>
      <w:r>
        <w:rPr>
          <w:rFonts w:ascii="Times New Roman" w:hAnsi="Times New Roman"/>
          <w:sz w:val="22"/>
          <w:szCs w:val="22"/>
        </w:rPr>
        <w:t>= ––––––––––– x 100 =</w:t>
        <w:tab/>
        <w:t xml:space="preserve">              68,6 %</w:t>
        <w:tab/>
        <w:t xml:space="preserve">           62,9 %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Celkové aktíva          26 552 980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Z toho úverová zadlženosť:</w:t>
      </w:r>
      <w:r>
        <w:rPr>
          <w:rFonts w:ascii="Times New Roman" w:hAnsi="Times New Roman"/>
          <w:bCs/>
          <w:sz w:val="22"/>
          <w:szCs w:val="22"/>
        </w:rPr>
        <w:tab/>
        <w:tab/>
        <w:t xml:space="preserve">                -                    2,3 %</w:t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Okamžitá likvidita</w:t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Finančný majetok                     9 218 458                         </w:t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––––––––––––––––––––– </w:t>
      </w:r>
      <w:r>
        <w:rPr>
          <w:rFonts w:ascii="Times New Roman" w:hAnsi="Times New Roman"/>
          <w:sz w:val="22"/>
          <w:szCs w:val="22"/>
        </w:rPr>
        <w:t>= –––––––––––– =  2,213</w:t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Krátkodobé záv.vč.úverov        4 165 608                      </w:t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Optimálny stav je v rozpätí: 0,2 - 0,5</w:t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Bežná likvidita</w:t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 xml:space="preserve"> </w:t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Obežný majetok - zásoby          13 615 560                             </w:t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–––––––––––––––––––––– </w:t>
      </w:r>
      <w:r>
        <w:rPr>
          <w:rFonts w:ascii="Times New Roman" w:hAnsi="Times New Roman"/>
          <w:sz w:val="22"/>
          <w:szCs w:val="22"/>
        </w:rPr>
        <w:t>= ––––––––––– =  3,268</w:t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Krátkodobé záväzky + úvery     4 165 608                                </w:t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Optimálny stav je v rozpätí: 1,0 - 1,5</w:t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Celková likvidita</w:t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Obežný majetok                      16 443 294                            </w:t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––––––––––––––––––––  </w:t>
      </w:r>
      <w:r>
        <w:rPr>
          <w:rFonts w:ascii="Times New Roman" w:hAnsi="Times New Roman"/>
          <w:sz w:val="22"/>
          <w:szCs w:val="22"/>
        </w:rPr>
        <w:t>= –––––––––––  =   3,947</w:t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Krátkodobé záv.vč.úverov        4 165 608                        </w:t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Optimálny stav je v rozpätí: 2,0 - 2,5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left="426" w:right="-12" w:firstLine="426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left="426" w:right="-12" w:firstLine="426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  <w:tab/>
        <w:t xml:space="preserve">        </w:t>
        <w:tab/>
        <w:t xml:space="preserve">   </w:t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spacing w:lineRule="atLeast" w:line="240"/>
        <w:ind w:right="-11" w:firstLine="426"/>
        <w:jc w:val="both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spacing w:lineRule="atLeast" w:line="240"/>
        <w:ind w:right="-11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  <w:u w:val="single"/>
        </w:rPr>
        <w:t>Pracovný kapitál: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(obežný majetok - krátkodobé záväzky)</w:t>
      </w:r>
      <w:r>
        <w:rPr>
          <w:rFonts w:ascii="Times New Roman" w:hAnsi="Times New Roman"/>
          <w:b/>
          <w:sz w:val="22"/>
          <w:szCs w:val="22"/>
        </w:rPr>
        <w:t xml:space="preserve"> </w:t>
      </w:r>
    </w:p>
    <w:p>
      <w:pPr>
        <w:pStyle w:val="Normal"/>
        <w:tabs>
          <w:tab w:val="clear" w:pos="720"/>
          <w:tab w:val="left" w:pos="2977" w:leader="none"/>
          <w:tab w:val="left" w:pos="4253" w:leader="none"/>
          <w:tab w:val="left" w:pos="5387" w:leader="none"/>
          <w:tab w:val="left" w:pos="6804" w:leader="none"/>
        </w:tabs>
        <w:spacing w:lineRule="atLeast" w:line="240"/>
        <w:ind w:right="-11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16 443 294 – 4 165 608 =  12 277 686 €   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993" w:leader="none"/>
          <w:tab w:val="left" w:pos="1418" w:leader="none"/>
          <w:tab w:val="left" w:pos="2977" w:leader="none"/>
          <w:tab w:val="left" w:pos="7938" w:leader="none"/>
        </w:tabs>
        <w:ind w:left="993" w:right="152" w:hanging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993" w:leader="none"/>
          <w:tab w:val="left" w:pos="1418" w:leader="none"/>
          <w:tab w:val="left" w:pos="2977" w:leader="none"/>
          <w:tab w:val="left" w:pos="7938" w:leader="none"/>
        </w:tabs>
        <w:ind w:left="993" w:right="152" w:hanging="284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b) Informácie o udalostiach osobitného významu, ktoré nastali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</w:t>
      </w:r>
      <w:r>
        <w:rPr>
          <w:rFonts w:ascii="Times New Roman" w:hAnsi="Times New Roman"/>
          <w:b/>
          <w:sz w:val="22"/>
          <w:szCs w:val="22"/>
        </w:rPr>
        <w:t>po skončení účtovného obdobia, za ktoré sa vyhotovuje výročná správa.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>
        <w:rPr>
          <w:rFonts w:ascii="Times New Roman" w:hAnsi="Times New Roman"/>
          <w:sz w:val="22"/>
          <w:szCs w:val="22"/>
        </w:rPr>
        <w:t xml:space="preserve">Po skončení účtovného obdobia nenastali skutočnosti osobitného významu, ktoré by bolo  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>
        <w:rPr>
          <w:rFonts w:ascii="Times New Roman" w:hAnsi="Times New Roman"/>
          <w:sz w:val="22"/>
          <w:szCs w:val="22"/>
        </w:rPr>
        <w:t xml:space="preserve">potrebné uviesť vo výročnej správe. 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c) Informácie o predpokladanom budúcom vývoji činnosti účtovnej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</w:t>
      </w:r>
      <w:r>
        <w:rPr>
          <w:rFonts w:ascii="Times New Roman" w:hAnsi="Times New Roman"/>
          <w:b/>
          <w:sz w:val="22"/>
          <w:szCs w:val="22"/>
        </w:rPr>
        <w:t>jednotky.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>
        <w:rPr>
          <w:rFonts w:ascii="Times New Roman" w:hAnsi="Times New Roman"/>
          <w:sz w:val="22"/>
          <w:szCs w:val="22"/>
        </w:rPr>
        <w:t xml:space="preserve">Účtovná jednotka bude pokračovať vo svojej činnosti v rozsahu roku 2021.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d) Informácia o nákladoch na činnosť v oblasti výskumu a vývoja.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i/>
          <w:i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</w:t>
      </w:r>
      <w:r>
        <w:rPr>
          <w:rFonts w:ascii="Times New Roman" w:hAnsi="Times New Roman"/>
          <w:sz w:val="22"/>
          <w:szCs w:val="22"/>
        </w:rPr>
        <w:t xml:space="preserve">Spoločnosť nečerpala žiadne náklady na vedu a výskum.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i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e) Informácia o nadobúdaní vlastných obchodných podielov.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i/>
          <w:i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>
        <w:rPr>
          <w:rFonts w:ascii="Times New Roman" w:hAnsi="Times New Roman"/>
          <w:sz w:val="22"/>
          <w:szCs w:val="22"/>
        </w:rPr>
        <w:t xml:space="preserve">Spoločnosť nenadobudla žiadne vlastné obchodné podiely.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f) Návrh na schválenie účtovnej závierky za rok 2021 a na rozdelenie zisku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</w:t>
      </w:r>
      <w:r>
        <w:rPr>
          <w:rFonts w:ascii="Times New Roman" w:hAnsi="Times New Roman"/>
          <w:b/>
          <w:sz w:val="22"/>
          <w:szCs w:val="22"/>
        </w:rPr>
        <w:t>alebo vyrovnanie straty.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ind w:left="284" w:right="424" w:firstLine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Konateľ TES MI s.r.o. v zmysle spoločenskej zmluvy po preskúmaní ročnej účtovnej závierky a výročnej správy za rok 2021 a správy audítora, predkladá  valnému zhromaždeniu na  schválenie návrh:</w:t>
      </w:r>
    </w:p>
    <w:p>
      <w:pPr>
        <w:pStyle w:val="Normal"/>
        <w:ind w:left="284" w:right="424" w:firstLine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ind w:left="284" w:right="424" w:firstLine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ind w:left="284" w:right="424" w:firstLine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1. Schváliť účtovnú závierku a výročnú správu za rok 2021.</w:t>
      </w:r>
    </w:p>
    <w:p>
      <w:pPr>
        <w:pStyle w:val="Normal"/>
        <w:ind w:left="284" w:right="424" w:firstLine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ind w:left="284" w:right="424" w:firstLine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 Hospodársky výsledok zisk + 314 866,35 € zúčtovať nasledovne: </w:t>
      </w:r>
    </w:p>
    <w:p>
      <w:pPr>
        <w:pStyle w:val="Normal"/>
        <w:ind w:left="284" w:right="424" w:firstLine="28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ind w:left="284" w:right="424" w:firstLine="28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   </w:t>
      </w:r>
      <w:r>
        <w:rPr>
          <w:rFonts w:ascii="Times New Roman" w:hAnsi="Times New Roman"/>
          <w:sz w:val="22"/>
          <w:szCs w:val="22"/>
        </w:rPr>
        <w:t xml:space="preserve">68 360.- €, podiel na zisku menšinových vlastníkov </w:t>
        <w:tab/>
        <w:t xml:space="preserve">    </w:t>
      </w:r>
    </w:p>
    <w:p>
      <w:pPr>
        <w:pStyle w:val="Normal"/>
        <w:tabs>
          <w:tab w:val="clear" w:pos="720"/>
          <w:tab w:val="left" w:pos="1134" w:leader="none"/>
        </w:tabs>
        <w:ind w:left="284" w:right="424" w:firstLine="28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 xml:space="preserve">           246 506,35 €, v prospech nerozdeleného zisku minulých rokov                   </w:t>
      </w:r>
    </w:p>
    <w:p>
      <w:pPr>
        <w:pStyle w:val="Normal"/>
        <w:ind w:left="284" w:right="424" w:firstLine="28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ab/>
      </w:r>
    </w:p>
    <w:p>
      <w:pPr>
        <w:pStyle w:val="Normal"/>
        <w:ind w:left="284" w:right="424" w:firstLine="28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g) Informácie o údajoch požadovaných podľa osobitných predpisov.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i/>
          <w:i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</w:t>
      </w:r>
      <w:r>
        <w:rPr>
          <w:rFonts w:ascii="Times New Roman" w:hAnsi="Times New Roman"/>
          <w:sz w:val="22"/>
          <w:szCs w:val="22"/>
        </w:rPr>
        <w:t xml:space="preserve">Pre spoločnosť bezpredmetné.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h) Informácie o tom, či účtovná jednotka má organizačnú zložku v zahraničí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             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i/>
          <w:i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             </w:t>
      </w:r>
      <w:r>
        <w:rPr>
          <w:rFonts w:ascii="Times New Roman" w:hAnsi="Times New Roman"/>
          <w:sz w:val="22"/>
          <w:szCs w:val="22"/>
        </w:rPr>
        <w:t xml:space="preserve">Účtovná jednotka nemá organizačnú zložku v zahraničí.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hanging="0"/>
        <w:jc w:val="right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5103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ab/>
        <w:tab/>
        <w:tab/>
        <w:t>Paolo Felisa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</w:t>
      </w:r>
      <w:r>
        <w:rPr>
          <w:rFonts w:ascii="Times New Roman" w:hAnsi="Times New Roman"/>
          <w:sz w:val="22"/>
          <w:szCs w:val="22"/>
        </w:rPr>
        <w:t>konateľ spoločnosti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right="283" w:firstLine="567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right="283" w:firstLine="567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 xml:space="preserve">   </w:t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right="283" w:firstLine="567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>VÝKAZ  ZISKOV  A STRÁT  01.01.2021 - 31.12.2021, 2020, 2019</w:t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right="283" w:firstLine="567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>___________________________________________________________________</w:t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right="283" w:hanging="0"/>
        <w:jc w:val="center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right="283" w:hanging="0"/>
        <w:jc w:val="center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tbl>
      <w:tblPr>
        <w:tblW w:w="7823" w:type="dxa"/>
        <w:jc w:val="left"/>
        <w:tblInd w:w="56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firstRow="0" w:noVBand="0" w:lastRow="0" w:firstColumn="0" w:lastColumn="0" w:noHBand="0" w:val="0000"/>
      </w:tblPr>
      <w:tblGrid>
        <w:gridCol w:w="4125"/>
        <w:gridCol w:w="1261"/>
        <w:gridCol w:w="1218"/>
        <w:gridCol w:w="1218"/>
      </w:tblGrid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v eurách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left="-155"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  <w:u w:val="single"/>
              </w:rPr>
              <w:t>31.12.2021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00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  <w:u w:val="single"/>
              </w:rPr>
              <w:t>31.12.2020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06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  <w:u w:val="single"/>
              </w:rPr>
              <w:t>31.12.2019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</w:r>
          </w:p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Výnosy z hosp. činn. spolu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21 826 820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20 558 529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21 113 472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Tržby z predaja tovaru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Tržby z predaja vlastných výrobkov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21 592 002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20 281 645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20 822 112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157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Cs/>
                <w:color w:val="000000"/>
              </w:rPr>
              <w:t>Tržby z predaja služieb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208 959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261 472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 xml:space="preserve">78 448 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196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Tržby z predaja dlh.majetku a  mat.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11 000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206 568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Ostatné výnosy z hosp. činnosti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14 859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15 412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6 344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157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  <w:p>
            <w:pPr>
              <w:pStyle w:val="Normal"/>
              <w:widowControl w:val="false"/>
              <w:ind w:right="-157" w:hanging="0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Náklady na hosp. činnosť spolu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21 488 417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19 157 289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19 767 594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Náklady na obst. tovaru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Cs/>
                <w:color w:val="000000"/>
              </w:rPr>
              <w:t>Spotreba materiálu a energie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16 763 519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14 748 979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15 778 188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Cs/>
                <w:color w:val="000000"/>
              </w:rPr>
              <w:t>Služby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2 214 631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1 989 194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1 904 718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Osobné náklady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492 414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 xml:space="preserve">503 558 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469 766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Mzdové náklady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320 540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330 894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303 568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Náklady na sociálne poistenie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114 108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116 467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106 167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Sociálne náklady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57 766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56 197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60 030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Dane a poplatky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33 174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26 573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26 018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Odpisy dlhodobého majetku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1 918 702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1 824 921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1 428 342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244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Zost.cena pred.dlh.majetku a mat.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334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60 000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Opravné položky k pohľadávkam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519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2 871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2 767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Ostatné prevádzkové náklady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65 124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61 283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97 795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248" w:hanging="0"/>
              <w:rPr>
                <w:rFonts w:ascii="Arial" w:hAnsi="Arial" w:cs="Arial"/>
                <w:color w:val="0000FF"/>
              </w:rPr>
            </w:pPr>
            <w:r>
              <w:rPr>
                <w:rFonts w:cs="Arial" w:ascii="Arial" w:hAnsi="Arial"/>
                <w:b/>
                <w:bCs/>
                <w:color w:val="0000FF"/>
              </w:rPr>
              <w:t>Výsledok hosp.z hosp.činnosti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00FF"/>
              </w:rPr>
            </w:pPr>
            <w:r>
              <w:rPr>
                <w:rFonts w:cs="Arial" w:ascii="Arial" w:hAnsi="Arial"/>
                <w:b/>
                <w:color w:val="0000FF"/>
              </w:rPr>
              <w:t>338 403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00FF"/>
              </w:rPr>
            </w:pPr>
            <w:r>
              <w:rPr>
                <w:rFonts w:cs="Arial" w:ascii="Arial" w:hAnsi="Arial"/>
                <w:b/>
                <w:color w:val="0000FF"/>
              </w:rPr>
              <w:t>1 401 240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00FF"/>
              </w:rPr>
            </w:pPr>
            <w:r>
              <w:rPr>
                <w:rFonts w:cs="Arial" w:ascii="Arial" w:hAnsi="Arial"/>
                <w:b/>
                <w:color w:val="0000FF"/>
              </w:rPr>
              <w:t>1 345 878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b/>
                <w:b/>
                <w:color w:val="993300"/>
              </w:rPr>
            </w:pPr>
            <w:r>
              <w:rPr>
                <w:rFonts w:cs="Arial" w:ascii="Arial" w:hAnsi="Arial"/>
                <w:b/>
                <w:bCs/>
                <w:color w:val="993300"/>
              </w:rPr>
              <w:t>Pridaná hodnota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993300"/>
              </w:rPr>
            </w:pPr>
            <w:r>
              <w:rPr>
                <w:rFonts w:cs="Arial" w:ascii="Arial" w:hAnsi="Arial"/>
                <w:b/>
                <w:color w:val="993300"/>
              </w:rPr>
              <w:t>2 822 811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993300"/>
              </w:rPr>
            </w:pPr>
            <w:r>
              <w:rPr>
                <w:rFonts w:cs="Arial" w:ascii="Arial" w:hAnsi="Arial"/>
                <w:b/>
                <w:color w:val="993300"/>
              </w:rPr>
              <w:t>3 805 034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993300"/>
              </w:rPr>
            </w:pPr>
            <w:r>
              <w:rPr>
                <w:rFonts w:cs="Arial" w:ascii="Arial" w:hAnsi="Arial"/>
                <w:b/>
                <w:color w:val="993300"/>
              </w:rPr>
              <w:t>3 217 654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</w:r>
          </w:p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Výnosy z finanč. činn. spolu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505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10 267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Výnosové úroky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505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10 267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Ostatné výnosy z finanč. činnosti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Náklady na fin. činn. spolu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7 864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20 527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31 538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Nákladové úroky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896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13 295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23 961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Kurzové straty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107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44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3 039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248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Ostatné náklady z finanč.činnosti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6 861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7 188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4 538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248" w:hanging="0"/>
              <w:rPr>
                <w:rFonts w:ascii="Arial" w:hAnsi="Arial" w:cs="Arial"/>
                <w:b/>
                <w:b/>
                <w:color w:val="0000FF"/>
              </w:rPr>
            </w:pPr>
            <w:r>
              <w:rPr>
                <w:rFonts w:cs="Arial" w:ascii="Arial" w:hAnsi="Arial"/>
                <w:b/>
                <w:bCs/>
                <w:color w:val="0000FF"/>
              </w:rPr>
              <w:t>Výsledok hosp.z finanč.činnosti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00FF"/>
              </w:rPr>
            </w:pPr>
            <w:r>
              <w:rPr>
                <w:rFonts w:cs="Arial" w:ascii="Arial" w:hAnsi="Arial"/>
                <w:b/>
                <w:color w:val="0000FF"/>
              </w:rPr>
              <w:t>- 7 864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00FF"/>
              </w:rPr>
            </w:pPr>
            <w:r>
              <w:rPr>
                <w:rFonts w:cs="Arial" w:ascii="Arial" w:hAnsi="Arial"/>
                <w:b/>
                <w:color w:val="0000FF"/>
              </w:rPr>
              <w:t>- 20 022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00FF"/>
              </w:rPr>
            </w:pPr>
            <w:r>
              <w:rPr>
                <w:rFonts w:cs="Arial" w:ascii="Arial" w:hAnsi="Arial"/>
                <w:b/>
                <w:color w:val="0000FF"/>
              </w:rPr>
              <w:t>- 21 271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3544" w:leader="none"/>
              </w:tabs>
              <w:ind w:right="-518" w:hanging="0"/>
              <w:rPr>
                <w:rFonts w:ascii="Arial" w:hAnsi="Arial" w:cs="Arial"/>
                <w:b/>
                <w:b/>
                <w:color w:val="993300"/>
              </w:rPr>
            </w:pPr>
            <w:r>
              <w:rPr>
                <w:rFonts w:cs="Arial" w:ascii="Arial" w:hAnsi="Arial"/>
                <w:b/>
                <w:color w:val="993300"/>
              </w:rPr>
              <w:t>Výsled. hosp. pred zdanením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993300"/>
              </w:rPr>
            </w:pPr>
            <w:r>
              <w:rPr>
                <w:rFonts w:cs="Arial" w:ascii="Arial" w:hAnsi="Arial"/>
                <w:b/>
                <w:color w:val="993300"/>
              </w:rPr>
              <w:t>330 539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993300"/>
              </w:rPr>
            </w:pPr>
            <w:r>
              <w:rPr>
                <w:rFonts w:cs="Arial" w:ascii="Arial" w:hAnsi="Arial"/>
                <w:b/>
                <w:color w:val="993300"/>
              </w:rPr>
              <w:t>1 381 218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993300"/>
              </w:rPr>
            </w:pPr>
            <w:r>
              <w:rPr>
                <w:rFonts w:cs="Arial" w:ascii="Arial" w:hAnsi="Arial"/>
                <w:b/>
                <w:color w:val="993300"/>
              </w:rPr>
              <w:t>1 324 607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3544" w:leader="none"/>
              </w:tabs>
              <w:ind w:right="-518" w:hanging="0"/>
              <w:rPr>
                <w:rFonts w:ascii="Arial" w:hAnsi="Arial" w:cs="Arial"/>
                <w:b/>
                <w:b/>
                <w:color w:val="FF6600"/>
              </w:rPr>
            </w:pPr>
            <w:r>
              <w:rPr>
                <w:rFonts w:cs="Arial" w:ascii="Arial" w:hAnsi="Arial"/>
                <w:b/>
                <w:color w:val="FF6600"/>
              </w:rPr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FF6600"/>
              </w:rPr>
            </w:pPr>
            <w:r>
              <w:rPr>
                <w:rFonts w:cs="Arial" w:ascii="Arial" w:hAnsi="Arial"/>
                <w:b/>
                <w:color w:val="FF6600"/>
              </w:rPr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FF6600"/>
              </w:rPr>
            </w:pPr>
            <w:r>
              <w:rPr>
                <w:rFonts w:cs="Arial" w:ascii="Arial" w:hAnsi="Arial"/>
                <w:b/>
                <w:color w:val="FF6600"/>
              </w:rPr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FF6600"/>
              </w:rPr>
            </w:pPr>
            <w:r>
              <w:rPr>
                <w:rFonts w:cs="Arial" w:ascii="Arial" w:hAnsi="Arial"/>
                <w:b/>
                <w:color w:val="FF6600"/>
              </w:rPr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91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Daň z príjmov – splatná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280 858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276 609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4111" w:leader="none"/>
              </w:tabs>
              <w:ind w:right="-105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 xml:space="preserve">                        </w:t>
            </w:r>
            <w:r>
              <w:rPr>
                <w:rFonts w:cs="Arial" w:ascii="Arial" w:hAnsi="Arial"/>
                <w:color w:val="000000"/>
              </w:rPr>
              <w:t>-odložená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15 673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20 360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12 831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491" w:hanging="0"/>
              <w:rPr>
                <w:rFonts w:ascii="Arial" w:hAnsi="Arial" w:cs="Arial"/>
                <w:b/>
                <w:b/>
                <w:bCs/>
                <w:color w:val="FF0000"/>
              </w:rPr>
            </w:pPr>
            <w:r>
              <w:rPr>
                <w:rFonts w:cs="Arial" w:ascii="Arial" w:hAnsi="Arial"/>
                <w:b/>
                <w:bCs/>
                <w:color w:val="FF0000"/>
              </w:rPr>
            </w:r>
          </w:p>
          <w:p>
            <w:pPr>
              <w:pStyle w:val="Normal"/>
              <w:widowControl w:val="false"/>
              <w:ind w:right="-491" w:hanging="0"/>
              <w:rPr>
                <w:rFonts w:ascii="Arial" w:hAnsi="Arial" w:cs="Arial"/>
                <w:b/>
                <w:b/>
                <w:color w:val="FF0000"/>
              </w:rPr>
            </w:pPr>
            <w:r>
              <w:rPr>
                <w:rFonts w:cs="Arial" w:ascii="Arial" w:hAnsi="Arial"/>
                <w:b/>
                <w:bCs/>
                <w:color w:val="FF0000"/>
              </w:rPr>
              <w:t>Výsledok hosp.za účt. obdobie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FF0000"/>
              </w:rPr>
            </w:pPr>
            <w:r>
              <w:rPr>
                <w:rFonts w:cs="Arial" w:ascii="Arial" w:hAnsi="Arial"/>
                <w:b/>
                <w:color w:val="FF0000"/>
              </w:rPr>
              <w:t>314 866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FF0000"/>
              </w:rPr>
            </w:pPr>
            <w:r>
              <w:rPr>
                <w:rFonts w:cs="Arial" w:ascii="Arial" w:hAnsi="Arial"/>
                <w:b/>
                <w:color w:val="FF0000"/>
              </w:rPr>
              <w:t>1 080 000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FF0000"/>
              </w:rPr>
            </w:pPr>
            <w:r>
              <w:rPr>
                <w:rFonts w:cs="Arial" w:ascii="Arial" w:hAnsi="Arial"/>
                <w:b/>
                <w:color w:val="FF0000"/>
              </w:rPr>
              <w:t>1 035 167</w:t>
            </w:r>
          </w:p>
        </w:tc>
      </w:tr>
    </w:tbl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left="426" w:right="283" w:firstLine="141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left="426" w:right="283" w:firstLine="141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left="426" w:right="283" w:firstLine="141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 xml:space="preserve">  </w:t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left="426" w:right="283" w:firstLine="141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left="426" w:right="283" w:firstLine="141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left="426" w:right="283" w:firstLine="141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left="426" w:right="283" w:firstLine="141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>BILANCIA K 31.12.2021, 2020, 2019</w:t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left="426" w:right="283" w:firstLine="141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>__________________________________________</w:t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jc w:val="right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jc w:val="right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jc w:val="right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tbl>
      <w:tblPr>
        <w:tblW w:w="8068" w:type="dxa"/>
        <w:jc w:val="left"/>
        <w:tblInd w:w="56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firstRow="0" w:noVBand="0" w:lastRow="0" w:firstColumn="0" w:lastColumn="0" w:noHBand="0" w:val="0000"/>
      </w:tblPr>
      <w:tblGrid>
        <w:gridCol w:w="4135"/>
        <w:gridCol w:w="1394"/>
        <w:gridCol w:w="1276"/>
        <w:gridCol w:w="1262"/>
      </w:tblGrid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  <w:u w:val="single"/>
              </w:rPr>
              <w:t>31.12.2021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  <w:u w:val="single"/>
              </w:rPr>
              <w:t>31.12.2020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  <w:u w:val="single"/>
              </w:rPr>
              <w:t>31.12.2019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  <w:u w:val="single"/>
              </w:rPr>
            </w:pPr>
            <w:r>
              <w:rPr>
                <w:rFonts w:cs="Arial" w:ascii="Arial" w:hAnsi="Arial"/>
                <w:b/>
                <w:bCs/>
                <w:color w:val="000000"/>
                <w:u w:val="single"/>
              </w:rPr>
              <w:t>Majetok (v eurách)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24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69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1062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8000"/>
              </w:rPr>
            </w:pPr>
            <w:r>
              <w:rPr>
                <w:rFonts w:cs="Arial" w:ascii="Arial" w:hAnsi="Arial"/>
                <w:b/>
                <w:bCs/>
                <w:color w:val="008000"/>
              </w:rPr>
              <w:t>Neobežný majetok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10 096 111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12 842 203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12 628 716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Dlhodobý nehmotný majetok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Dlhodobý hmotný majetok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6 992 675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9 666 652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9 394 161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Pozemky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846 359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846 693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846 693</w:t>
            </w:r>
          </w:p>
        </w:tc>
      </w:tr>
      <w:tr>
        <w:trPr>
          <w:trHeight w:val="6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Stavby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2 051 245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2 341 677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2 632 108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Samostatné hnuteľné veci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4 007 411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6 226 372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3 384 989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Obstarávaný dlhod. hm.majetok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87 660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251 910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2 530 371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Dlhodobý finančný majetok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3 103 436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3 175 551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3 234 555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 Podiely v prepojených účt. jednotkách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3 103 436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3 175 551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3 234 555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69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8000"/>
              </w:rPr>
            </w:pPr>
            <w:r>
              <w:rPr>
                <w:rFonts w:cs="Arial" w:ascii="Arial" w:hAnsi="Arial"/>
                <w:b/>
                <w:bCs/>
                <w:color w:val="008000"/>
              </w:rPr>
              <w:t>Obežný majetok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16 443 294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14 280 836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16 777 174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Zásoby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2 827 734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688 525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2 237 939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Materiál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2 740 366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601 157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2 150 571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Tovar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87 368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87 368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87 368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iCs/>
                <w:color w:val="000000"/>
              </w:rPr>
            </w:pPr>
            <w:r>
              <w:rPr>
                <w:rFonts w:cs="Arial" w:ascii="Arial" w:hAnsi="Arial"/>
                <w:iCs/>
                <w:color w:val="000000"/>
              </w:rPr>
              <w:t>Odložená daňová pohľadávka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157 536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3 415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10 002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Krátkodobé pohľadávky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4 239 566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3 637 283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4 094 064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Pohľadávky z obchodného styku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3 935 937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3 615 031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4 072 219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Pohľadávky voči spoločníkom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22 174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17 679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9 380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Daňové pohľadávky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281 378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3 396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9 288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Iné pohľadávky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1 177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3 177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Finančné účty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9 218 458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9 951 613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10 435 169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Peniaze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7 087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5 059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9 445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Účty v bankách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9 211 371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9 946 554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10 425 724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8000"/>
              </w:rPr>
            </w:pPr>
            <w:r>
              <w:rPr>
                <w:rFonts w:cs="Arial" w:ascii="Arial" w:hAnsi="Arial"/>
                <w:b/>
                <w:bCs/>
                <w:color w:val="008000"/>
              </w:rPr>
              <w:t xml:space="preserve">Časové rozlíšenie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13 575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16 012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13 467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Náklady budúcich období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13 575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16 012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13 467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 Príjmy budúcich období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color w:val="FF0000"/>
              </w:rPr>
            </w:pPr>
            <w:r>
              <w:rPr>
                <w:rFonts w:cs="Arial" w:ascii="Arial" w:hAnsi="Arial"/>
                <w:b/>
                <w:bCs/>
                <w:color w:val="FF0000"/>
              </w:rPr>
              <w:t>MAJETOK CELKOM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b/>
                <w:b/>
                <w:color w:val="FF0000"/>
              </w:rPr>
            </w:pPr>
            <w:r>
              <w:rPr>
                <w:rFonts w:cs="Arial" w:ascii="Arial" w:hAnsi="Arial"/>
                <w:b/>
                <w:color w:val="FF0000"/>
              </w:rPr>
              <w:t>26 552 980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b/>
                <w:b/>
                <w:color w:val="FF0000"/>
              </w:rPr>
            </w:pPr>
            <w:r>
              <w:rPr>
                <w:rFonts w:cs="Arial" w:ascii="Arial" w:hAnsi="Arial"/>
                <w:b/>
                <w:color w:val="FF0000"/>
              </w:rPr>
              <w:t>27 139 051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b/>
                <w:b/>
                <w:color w:val="FF0000"/>
              </w:rPr>
            </w:pPr>
            <w:r>
              <w:rPr>
                <w:rFonts w:cs="Arial" w:ascii="Arial" w:hAnsi="Arial"/>
                <w:b/>
                <w:color w:val="FF0000"/>
              </w:rPr>
              <w:t>29 419 357</w:t>
            </w:r>
          </w:p>
        </w:tc>
      </w:tr>
    </w:tbl>
    <w:p>
      <w:pPr>
        <w:pStyle w:val="Normal"/>
        <w:tabs>
          <w:tab w:val="clear" w:pos="720"/>
          <w:tab w:val="left" w:pos="709" w:leader="none"/>
          <w:tab w:val="left" w:pos="2977" w:leader="none"/>
        </w:tabs>
        <w:ind w:right="283" w:hanging="0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right="283" w:hanging="0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right="283" w:hanging="0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right="283" w:hanging="0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right="283" w:hanging="0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right="283" w:hanging="0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right="283" w:hanging="0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right="283" w:hanging="0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right="283" w:hanging="0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right="283" w:hanging="0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right="283" w:hanging="0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right="283" w:firstLine="567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right="283" w:firstLine="567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4678" w:leader="none"/>
          <w:tab w:val="left" w:pos="6379" w:leader="none"/>
          <w:tab w:val="left" w:pos="7655" w:leader="none"/>
        </w:tabs>
        <w:ind w:right="283" w:firstLine="567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>BILANCIA K 31.12.2021, 2020, 2019</w:t>
      </w:r>
    </w:p>
    <w:p>
      <w:pPr>
        <w:pStyle w:val="Normal"/>
        <w:tabs>
          <w:tab w:val="clear" w:pos="720"/>
          <w:tab w:val="left" w:pos="709" w:leader="none"/>
          <w:tab w:val="left" w:pos="4678" w:leader="none"/>
          <w:tab w:val="left" w:pos="6379" w:leader="none"/>
          <w:tab w:val="left" w:pos="7655" w:leader="none"/>
          <w:tab w:val="left" w:pos="7797" w:leader="none"/>
        </w:tabs>
        <w:ind w:right="283" w:firstLine="567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>__________________________________________</w:t>
      </w:r>
    </w:p>
    <w:p>
      <w:pPr>
        <w:pStyle w:val="Normal"/>
        <w:tabs>
          <w:tab w:val="clear" w:pos="720"/>
          <w:tab w:val="left" w:pos="709" w:leader="none"/>
          <w:tab w:val="left" w:pos="4678" w:leader="none"/>
          <w:tab w:val="left" w:pos="6379" w:leader="none"/>
          <w:tab w:val="left" w:pos="7655" w:leader="none"/>
        </w:tabs>
        <w:ind w:left="426" w:hanging="0"/>
        <w:jc w:val="right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4678" w:leader="none"/>
          <w:tab w:val="left" w:pos="6379" w:leader="none"/>
          <w:tab w:val="left" w:pos="7655" w:leader="none"/>
        </w:tabs>
        <w:ind w:left="426" w:hanging="0"/>
        <w:jc w:val="right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4678" w:leader="none"/>
          <w:tab w:val="left" w:pos="6379" w:leader="none"/>
          <w:tab w:val="left" w:pos="7655" w:leader="none"/>
        </w:tabs>
        <w:ind w:left="426" w:hanging="0"/>
        <w:jc w:val="right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tbl>
      <w:tblPr>
        <w:tblW w:w="7680" w:type="dxa"/>
        <w:jc w:val="left"/>
        <w:tblInd w:w="56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firstRow="0" w:noVBand="0" w:lastRow="0" w:firstColumn="0" w:lastColumn="0" w:noHBand="0" w:val="0000"/>
      </w:tblPr>
      <w:tblGrid>
        <w:gridCol w:w="4058"/>
        <w:gridCol w:w="1218"/>
        <w:gridCol w:w="1173"/>
        <w:gridCol w:w="1230"/>
      </w:tblGrid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  <w:u w:val="single"/>
              </w:rPr>
              <w:t>31.12.2021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6" w:hanging="0"/>
              <w:jc w:val="center"/>
              <w:rPr>
                <w:rFonts w:ascii="Arial" w:hAnsi="Arial" w:cs="Arial"/>
                <w:b/>
                <w:b/>
                <w:color w:val="000000"/>
                <w:u w:val="single"/>
              </w:rPr>
            </w:pPr>
            <w:r>
              <w:rPr>
                <w:rFonts w:cs="Arial" w:ascii="Arial" w:hAnsi="Arial"/>
                <w:b/>
                <w:color w:val="000000"/>
                <w:u w:val="single"/>
              </w:rPr>
              <w:t>31 12.2020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27" w:hang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  <w:u w:val="single"/>
              </w:rPr>
              <w:t>31.12.2019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bCs/>
                <w:color w:val="000000"/>
                <w:u w:val="single"/>
              </w:rPr>
            </w:pPr>
            <w:r>
              <w:rPr>
                <w:rFonts w:cs="Arial" w:ascii="Arial" w:hAnsi="Arial"/>
                <w:b/>
                <w:bCs/>
                <w:color w:val="000000"/>
                <w:u w:val="single"/>
              </w:rPr>
              <w:t xml:space="preserve">Vlastné imanie a záväzky 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  <w:u w:val="single"/>
              </w:rPr>
              <w:t>(v eurách)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27" w:hang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71" w:right="127" w:firstLine="7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248" w:hanging="531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27" w:hang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27" w:hang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8000"/>
              </w:rPr>
            </w:pPr>
            <w:r>
              <w:rPr>
                <w:rFonts w:cs="Arial" w:ascii="Arial" w:hAnsi="Arial"/>
                <w:b/>
                <w:bCs/>
                <w:color w:val="008000"/>
              </w:rPr>
              <w:t>Vlastné imanie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8 339 915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10 071 278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10 086 537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Základné imanie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25 000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25 000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25 000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Fondy zo zisku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1 660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1 660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1 660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Oceňovacie rozdiely z prec. majetku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2 094 215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2 166 330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2 225 334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Výsledok hosp.min.rokov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5 904 174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6 798 288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6 799 376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Výsledok hosp.za účtovné obdobie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314 866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1 080 000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1 035 167</w:t>
            </w:r>
          </w:p>
        </w:tc>
      </w:tr>
      <w:tr>
        <w:trPr>
          <w:trHeight w:val="566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8000"/>
              </w:rPr>
              <w:t>Záväzky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18 213 065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17 067 773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19 332 820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Dlhodobé záväzky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14 047 457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14 033 424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13 019 053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 xml:space="preserve">- Ost. záv. voči prepojeným úč. jednotkám 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13 986 519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13 986 519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12 986 519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Ostatné dlhodobé záväzky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Záväzky zo soc.fondu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16 441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15 893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15 295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Odložený daňový záväzok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44 497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31 012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17 239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Dlhodobé bankové úvery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619 084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Krátkodobé záväzky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4 145 824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2 394 919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3 579 215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Záväzky z obchodného styku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3 852 640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2 028 632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3 316 470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Záväzky voči spoločníkom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Záväzky voči zamestnancom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17 644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16 024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16 762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Záväzky zo soc.zabezpečenia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21 201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20 510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20 207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Štát-daňové záväzky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196 839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277 430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178 353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Iné záväzky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57 500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52 323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47 423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Cs/>
                <w:color w:val="000000"/>
              </w:rPr>
              <w:t>Krátkodobé rezervy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19 784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20 346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19 903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 xml:space="preserve">Bežné bankové úvery 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619 084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2 095 565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Časové rozlíšenie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-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-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 xml:space="preserve">- Výnosy budúcich období dohodové 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Výnosy budúcich období krátkod.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FF0000"/>
              </w:rPr>
            </w:pPr>
            <w:r>
              <w:rPr>
                <w:rFonts w:cs="Arial" w:ascii="Arial" w:hAnsi="Arial"/>
                <w:b/>
                <w:bCs/>
                <w:color w:val="FF0000"/>
              </w:rPr>
              <w:t>VL.IMANIE A ZÁV. CELKOM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b/>
                <w:b/>
                <w:color w:val="FF0000"/>
              </w:rPr>
            </w:pPr>
            <w:r>
              <w:rPr>
                <w:rFonts w:cs="Arial" w:ascii="Arial" w:hAnsi="Arial"/>
                <w:b/>
                <w:color w:val="FF0000"/>
              </w:rPr>
              <w:t>26 552 980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b/>
                <w:b/>
                <w:color w:val="FF0000"/>
              </w:rPr>
            </w:pPr>
            <w:r>
              <w:rPr>
                <w:rFonts w:cs="Arial" w:ascii="Arial" w:hAnsi="Arial"/>
                <w:b/>
                <w:color w:val="FF0000"/>
              </w:rPr>
              <w:t>27 139 051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b/>
                <w:b/>
                <w:color w:val="FF0000"/>
              </w:rPr>
            </w:pPr>
            <w:r>
              <w:rPr>
                <w:rFonts w:cs="Arial" w:ascii="Arial" w:hAnsi="Arial"/>
                <w:b/>
                <w:color w:val="FF0000"/>
              </w:rPr>
              <w:t>29 419 357</w:t>
            </w:r>
          </w:p>
        </w:tc>
      </w:tr>
    </w:tbl>
    <w:p>
      <w:pPr>
        <w:pStyle w:val="Normal"/>
        <w:tabs>
          <w:tab w:val="clear" w:pos="720"/>
          <w:tab w:val="left" w:pos="709" w:leader="none"/>
          <w:tab w:val="left" w:pos="4678" w:leader="none"/>
          <w:tab w:val="left" w:pos="6379" w:leader="none"/>
          <w:tab w:val="left" w:pos="7655" w:leader="none"/>
        </w:tabs>
        <w:ind w:left="426" w:hanging="0"/>
        <w:jc w:val="right"/>
        <w:rPr/>
      </w:pPr>
      <w:r>
        <w:rPr/>
      </w:r>
    </w:p>
    <w:p>
      <w:pPr>
        <w:pStyle w:val="PlainText"/>
        <w:tabs>
          <w:tab w:val="clear" w:pos="720"/>
          <w:tab w:val="left" w:pos="2700" w:leader="none"/>
        </w:tabs>
        <w:ind w:left="-270" w:right="85" w:hanging="0"/>
        <w:jc w:val="center"/>
        <w:rPr>
          <w:rFonts w:ascii="Times New Roman" w:hAnsi="Times New Roman" w:eastAsia="MS Mincho" w:cs="Times New Roman"/>
          <w:b/>
          <w:b/>
          <w:bCs/>
          <w:sz w:val="24"/>
          <w:szCs w:val="24"/>
          <w:lang w:val="sk-SK"/>
        </w:rPr>
      </w:pPr>
      <w:r>
        <w:rPr>
          <w:rFonts w:eastAsia="MS Mincho" w:cs="Times New Roman" w:ascii="Times New Roman" w:hAnsi="Times New Roman"/>
          <w:b/>
          <w:bCs/>
          <w:sz w:val="24"/>
          <w:szCs w:val="24"/>
          <w:lang w:val="sk-SK"/>
        </w:rPr>
      </w:r>
    </w:p>
    <w:p>
      <w:pPr>
        <w:pStyle w:val="PlainText"/>
        <w:tabs>
          <w:tab w:val="clear" w:pos="720"/>
          <w:tab w:val="left" w:pos="2700" w:leader="none"/>
        </w:tabs>
        <w:ind w:left="-270" w:right="85" w:hanging="0"/>
        <w:jc w:val="center"/>
        <w:rPr>
          <w:rFonts w:ascii="Times New Roman" w:hAnsi="Times New Roman" w:eastAsia="MS Mincho" w:cs="Times New Roman"/>
          <w:b/>
          <w:b/>
          <w:bCs/>
          <w:sz w:val="22"/>
          <w:szCs w:val="22"/>
          <w:lang w:val="sk-SK"/>
        </w:rPr>
      </w:pPr>
      <w:r>
        <w:rPr>
          <w:rFonts w:eastAsia="MS Mincho" w:cs="Times New Roman" w:ascii="Times New Roman" w:hAnsi="Times New Roman"/>
          <w:b/>
          <w:bCs/>
          <w:sz w:val="22"/>
          <w:szCs w:val="22"/>
          <w:lang w:val="sk-SK"/>
        </w:rPr>
      </w:r>
    </w:p>
    <w:p>
      <w:pPr>
        <w:pStyle w:val="PlainText"/>
        <w:tabs>
          <w:tab w:val="clear" w:pos="720"/>
          <w:tab w:val="left" w:pos="2700" w:leader="none"/>
        </w:tabs>
        <w:ind w:left="-270" w:right="85" w:hanging="0"/>
        <w:jc w:val="center"/>
        <w:rPr>
          <w:rFonts w:ascii="Times New Roman" w:hAnsi="Times New Roman" w:eastAsia="MS Mincho" w:cs="Times New Roman"/>
          <w:b/>
          <w:b/>
          <w:bCs/>
          <w:sz w:val="22"/>
          <w:szCs w:val="22"/>
          <w:lang w:val="sk-SK"/>
        </w:rPr>
      </w:pPr>
      <w:r>
        <w:rPr>
          <w:rFonts w:eastAsia="MS Mincho" w:cs="Times New Roman" w:ascii="Times New Roman" w:hAnsi="Times New Roman"/>
          <w:b/>
          <w:bCs/>
          <w:sz w:val="22"/>
          <w:szCs w:val="22"/>
          <w:lang w:val="sk-SK"/>
        </w:rPr>
      </w:r>
    </w:p>
    <w:p>
      <w:pPr>
        <w:pStyle w:val="PlainText"/>
        <w:tabs>
          <w:tab w:val="clear" w:pos="720"/>
          <w:tab w:val="left" w:pos="2700" w:leader="none"/>
        </w:tabs>
        <w:ind w:left="-270" w:right="85" w:hanging="0"/>
        <w:jc w:val="center"/>
        <w:rPr>
          <w:rFonts w:ascii="Times New Roman" w:hAnsi="Times New Roman" w:eastAsia="MS Mincho" w:cs="Times New Roman"/>
          <w:b/>
          <w:b/>
          <w:bCs/>
          <w:sz w:val="22"/>
          <w:szCs w:val="22"/>
          <w:lang w:val="sk-SK"/>
        </w:rPr>
      </w:pPr>
      <w:r>
        <w:rPr>
          <w:rFonts w:eastAsia="MS Mincho" w:cs="Times New Roman" w:ascii="Times New Roman" w:hAnsi="Times New Roman"/>
          <w:b/>
          <w:bCs/>
          <w:sz w:val="22"/>
          <w:szCs w:val="22"/>
          <w:lang w:val="sk-SK"/>
        </w:rPr>
      </w:r>
    </w:p>
    <w:p>
      <w:pPr>
        <w:pStyle w:val="PlainText"/>
        <w:tabs>
          <w:tab w:val="clear" w:pos="720"/>
          <w:tab w:val="left" w:pos="2700" w:leader="none"/>
        </w:tabs>
        <w:ind w:left="-270" w:right="85" w:hanging="0"/>
        <w:jc w:val="center"/>
        <w:rPr>
          <w:rFonts w:ascii="Times New Roman" w:hAnsi="Times New Roman" w:eastAsia="MS Mincho" w:cs="Times New Roman"/>
          <w:b/>
          <w:b/>
          <w:bCs/>
          <w:sz w:val="22"/>
          <w:szCs w:val="22"/>
          <w:lang w:val="sk-SK"/>
        </w:rPr>
      </w:pPr>
      <w:r>
        <w:rPr>
          <w:rFonts w:eastAsia="MS Mincho" w:cs="Times New Roman" w:ascii="Times New Roman" w:hAnsi="Times New Roman"/>
          <w:b/>
          <w:bCs/>
          <w:sz w:val="22"/>
          <w:szCs w:val="22"/>
          <w:lang w:val="sk-SK"/>
        </w:rPr>
      </w:r>
    </w:p>
    <w:p>
      <w:pPr>
        <w:pStyle w:val="PlainText"/>
        <w:tabs>
          <w:tab w:val="clear" w:pos="720"/>
          <w:tab w:val="left" w:pos="2700" w:leader="none"/>
        </w:tabs>
        <w:ind w:left="-270" w:right="85" w:hanging="0"/>
        <w:jc w:val="center"/>
        <w:rPr>
          <w:rFonts w:ascii="Times New Roman" w:hAnsi="Times New Roman" w:eastAsia="MS Mincho" w:cs="Times New Roman"/>
          <w:b/>
          <w:b/>
          <w:bCs/>
          <w:sz w:val="22"/>
          <w:szCs w:val="22"/>
          <w:lang w:val="sk-SK"/>
        </w:rPr>
      </w:pPr>
      <w:r>
        <w:rPr>
          <w:rFonts w:eastAsia="MS Mincho" w:cs="Times New Roman" w:ascii="Times New Roman" w:hAnsi="Times New Roman"/>
          <w:b/>
          <w:bCs/>
          <w:sz w:val="22"/>
          <w:szCs w:val="22"/>
          <w:lang w:val="sk-SK"/>
        </w:rPr>
      </w:r>
    </w:p>
    <w:p>
      <w:pPr>
        <w:pStyle w:val="PlainText"/>
        <w:tabs>
          <w:tab w:val="clear" w:pos="720"/>
          <w:tab w:val="left" w:pos="2700" w:leader="none"/>
        </w:tabs>
        <w:ind w:left="-270" w:right="85" w:hanging="0"/>
        <w:jc w:val="center"/>
        <w:rPr>
          <w:rFonts w:ascii="Times New Roman" w:hAnsi="Times New Roman" w:eastAsia="MS Mincho" w:cs="Times New Roman"/>
          <w:b/>
          <w:b/>
          <w:bCs/>
          <w:sz w:val="22"/>
          <w:szCs w:val="22"/>
          <w:lang w:val="sk-SK"/>
        </w:rPr>
      </w:pPr>
      <w:r>
        <w:rPr>
          <w:rFonts w:eastAsia="MS Mincho" w:cs="Times New Roman" w:ascii="Times New Roman" w:hAnsi="Times New Roman"/>
          <w:b/>
          <w:bCs/>
          <w:sz w:val="22"/>
          <w:szCs w:val="22"/>
          <w:lang w:val="sk-SK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right="283" w:firstLine="567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right="283" w:firstLine="567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PlainText"/>
        <w:tabs>
          <w:tab w:val="clear" w:pos="720"/>
          <w:tab w:val="left" w:pos="2700" w:leader="none"/>
        </w:tabs>
        <w:ind w:left="-270" w:right="85" w:hanging="0"/>
        <w:jc w:val="center"/>
        <w:rPr>
          <w:rFonts w:ascii="Times New Roman" w:hAnsi="Times New Roman" w:eastAsia="MS Mincho" w:cs="Times New Roman"/>
          <w:b/>
          <w:b/>
          <w:bCs/>
          <w:sz w:val="22"/>
          <w:szCs w:val="22"/>
          <w:lang w:val="sk-SK"/>
        </w:rPr>
      </w:pPr>
      <w:r>
        <w:rPr>
          <w:rFonts w:eastAsia="MS Mincho" w:cs="Times New Roman" w:ascii="Times New Roman" w:hAnsi="Times New Roman"/>
          <w:b/>
          <w:bCs/>
          <w:sz w:val="22"/>
          <w:szCs w:val="22"/>
          <w:lang w:val="sk-SK"/>
        </w:rPr>
      </w:r>
    </w:p>
    <w:p>
      <w:pPr>
        <w:pStyle w:val="PlainText"/>
        <w:tabs>
          <w:tab w:val="clear" w:pos="720"/>
          <w:tab w:val="left" w:pos="2700" w:leader="none"/>
        </w:tabs>
        <w:ind w:left="-270" w:right="85" w:hanging="0"/>
        <w:jc w:val="center"/>
        <w:rPr>
          <w:rFonts w:ascii="Times New Roman" w:hAnsi="Times New Roman" w:eastAsia="MS Mincho" w:cs="Times New Roman"/>
          <w:b/>
          <w:b/>
          <w:bCs/>
          <w:sz w:val="22"/>
          <w:szCs w:val="22"/>
          <w:lang w:val="sk-SK"/>
        </w:rPr>
      </w:pPr>
      <w:r>
        <w:rPr>
          <w:rFonts w:eastAsia="MS Mincho" w:cs="Times New Roman" w:ascii="Times New Roman" w:hAnsi="Times New Roman"/>
          <w:b/>
          <w:bCs/>
          <w:sz w:val="22"/>
          <w:szCs w:val="22"/>
          <w:lang w:val="sk-SK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right="283" w:hanging="0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right="283" w:hanging="0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right="283" w:hanging="0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/>
      </w:r>
    </w:p>
    <w:sectPr>
      <w:headerReference w:type="default" r:id="rId6"/>
      <w:footerReference w:type="default" r:id="rId7"/>
      <w:type w:val="nextPage"/>
      <w:pgSz w:w="11906" w:h="16838"/>
      <w:pgMar w:left="1418" w:right="1134" w:header="709" w:top="1134" w:footer="709" w:bottom="1418" w:gutter="0"/>
      <w:pgNumType w:fmt="decimal"/>
      <w:formProt w:val="false"/>
      <w:titlePg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ms Rmn">
    <w:altName w:val="Times New Roman"/>
    <w:charset w:val="ee"/>
    <w:family w:val="roman"/>
    <w:pitch w:val="variable"/>
  </w:font>
  <w:font w:name="MS Serif">
    <w:charset w:val="ee"/>
    <w:family w:val="roman"/>
    <w:pitch w:val="variable"/>
  </w:font>
  <w:font w:name="Helv">
    <w:altName w:val="Arial"/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Courier Ne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rPr>
        <w:sz w:val="24"/>
      </w:rPr>
    </w:pPr>
    <w:r>
      <w:rPr>
        <w:sz w:val="24"/>
      </w:rPr>
    </w:r>
    <w:r>
      <mc:AlternateContent>
        <mc:Choice Requires="wps">
          <w:drawing>
            <wp:anchor behindDoc="0" distT="0" distB="0" distL="0" distR="0" simplePos="0" locked="0" layoutInCell="0" allowOverlap="1" relativeHeight="1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5761355" cy="293370"/>
              <wp:effectExtent l="0" t="0" r="0" b="0"/>
              <wp:wrapSquare wrapText="bothSides"/>
              <wp:docPr id="5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1355" cy="29337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Pta"/>
                            <w:pBdr/>
                            <w:rPr>
                              <w:rStyle w:val="Pagenumber"/>
                              <w:sz w:val="24"/>
                            </w:rPr>
                          </w:pPr>
                          <w:r>
                            <w:rPr/>
                            <w:tab/>
                            <w:t xml:space="preserve">-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12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 xml:space="preserve"> -</w:t>
                            <w:tab/>
                            <w:t xml:space="preserve"> </w:t>
                          </w:r>
                        </w:p>
                        <w:p>
                          <w:pPr>
                            <w:pStyle w:val="Pta"/>
                            <w:pBdr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53.65pt;height:23.1pt;mso-wrap-distance-left:0pt;mso-wrap-distance-right:0pt;mso-wrap-distance-top:0pt;mso-wrap-distance-bottom:0pt;margin-top:0.05pt;mso-position-vertical-relative:text;margin-left:7.05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Pta"/>
                      <w:pBdr/>
                      <w:rPr>
                        <w:rStyle w:val="Pagenumber"/>
                        <w:sz w:val="24"/>
                      </w:rPr>
                    </w:pPr>
                    <w:r>
                      <w:rPr/>
                      <w:tab/>
                      <w:t xml:space="preserve">-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12</w:t>
                    </w:r>
                    <w:r>
                      <w:rPr/>
                      <w:fldChar w:fldCharType="end"/>
                    </w:r>
                    <w:r>
                      <w:rPr/>
                      <w:t xml:space="preserve"> -</w:t>
                      <w:tab/>
                      <w:t xml:space="preserve"> </w:t>
                    </w:r>
                  </w:p>
                  <w:p>
                    <w:pPr>
                      <w:pStyle w:val="Pta"/>
                      <w:pBdr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hlavie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</w:r>
  </w:p>
</w:hdr>
</file>

<file path=word/settings.xml><?xml version="1.0" encoding="utf-8"?>
<w:settings xmlns:w="http://schemas.openxmlformats.org/wordprocessingml/2006/main">
  <w:zoom w:percent="110"/>
  <w:defaultTabStop w:val="720"/>
  <w:autoHyphenation w:val="true"/>
  <w:doNotHyphenateCaps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ms Rmn" w:hAnsi="Tms Rmn" w:eastAsia="Times New Roman" w:cs="Times New Roman"/>
        <w:lang w:val="en-US" w:eastAsia="zh-CN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MS Serif" w:hAnsi="MS Serif" w:eastAsia="Times New Roman" w:cs="Times New Roman"/>
      <w:color w:val="auto"/>
      <w:kern w:val="0"/>
      <w:sz w:val="20"/>
      <w:szCs w:val="20"/>
      <w:lang w:val="sk-SK" w:eastAsia="cs-CZ" w:bidi="ar-SA"/>
    </w:rPr>
  </w:style>
  <w:style w:type="paragraph" w:styleId="Nadpis1">
    <w:name w:val="Heading 1"/>
    <w:basedOn w:val="Normal"/>
    <w:next w:val="Normal"/>
    <w:qFormat/>
    <w:pPr>
      <w:spacing w:before="240" w:after="0"/>
      <w:outlineLvl w:val="0"/>
    </w:pPr>
    <w:rPr>
      <w:rFonts w:ascii="Helv" w:hAnsi="Helv"/>
      <w:b/>
      <w:bCs/>
      <w:sz w:val="24"/>
      <w:szCs w:val="24"/>
      <w:u w:val="single"/>
    </w:rPr>
  </w:style>
  <w:style w:type="paragraph" w:styleId="Nadpis2">
    <w:name w:val="Heading 2"/>
    <w:basedOn w:val="Normal"/>
    <w:next w:val="Normal"/>
    <w:qFormat/>
    <w:pPr>
      <w:spacing w:before="120" w:after="0"/>
      <w:outlineLvl w:val="1"/>
    </w:pPr>
    <w:rPr>
      <w:rFonts w:ascii="Helv" w:hAnsi="Helv"/>
      <w:b/>
      <w:bCs/>
      <w:sz w:val="24"/>
      <w:szCs w:val="24"/>
    </w:rPr>
  </w:style>
  <w:style w:type="paragraph" w:styleId="Nadpis3">
    <w:name w:val="Heading 3"/>
    <w:basedOn w:val="Normal"/>
    <w:next w:val="NormalIndent"/>
    <w:qFormat/>
    <w:pPr>
      <w:ind w:left="354" w:hanging="0"/>
      <w:outlineLvl w:val="2"/>
    </w:pPr>
    <w:rPr>
      <w:rFonts w:ascii="Tms Rmn" w:hAnsi="Tms Rmn"/>
      <w:b/>
      <w:bCs/>
      <w:sz w:val="24"/>
      <w:szCs w:val="24"/>
    </w:rPr>
  </w:style>
  <w:style w:type="paragraph" w:styleId="Nadpis4">
    <w:name w:val="Heading 4"/>
    <w:basedOn w:val="Normal"/>
    <w:next w:val="NormalIndent"/>
    <w:qFormat/>
    <w:pPr>
      <w:ind w:left="354" w:hanging="0"/>
      <w:outlineLvl w:val="3"/>
    </w:pPr>
    <w:rPr>
      <w:rFonts w:ascii="Tms Rmn" w:hAnsi="Tms Rmn"/>
      <w:sz w:val="24"/>
      <w:szCs w:val="24"/>
      <w:u w:val="single"/>
    </w:rPr>
  </w:style>
  <w:style w:type="paragraph" w:styleId="Nadpis5">
    <w:name w:val="Heading 5"/>
    <w:basedOn w:val="Normal"/>
    <w:next w:val="NormalIndent"/>
    <w:qFormat/>
    <w:pPr>
      <w:ind w:left="708" w:hanging="0"/>
      <w:outlineLvl w:val="4"/>
    </w:pPr>
    <w:rPr>
      <w:rFonts w:ascii="Tms Rmn" w:hAnsi="Tms Rmn"/>
      <w:b/>
      <w:bCs/>
    </w:rPr>
  </w:style>
  <w:style w:type="paragraph" w:styleId="Nadpis6">
    <w:name w:val="Heading 6"/>
    <w:basedOn w:val="Normal"/>
    <w:next w:val="NormalIndent"/>
    <w:qFormat/>
    <w:pPr>
      <w:ind w:left="708" w:hanging="0"/>
      <w:outlineLvl w:val="5"/>
    </w:pPr>
    <w:rPr>
      <w:rFonts w:ascii="Tms Rmn" w:hAnsi="Tms Rmn" w:cs="Arial"/>
      <w:u w:val="single"/>
    </w:rPr>
  </w:style>
  <w:style w:type="paragraph" w:styleId="Nadpis7">
    <w:name w:val="Heading 7"/>
    <w:basedOn w:val="Normal"/>
    <w:next w:val="NormalIndent"/>
    <w:qFormat/>
    <w:pPr>
      <w:ind w:left="708" w:hanging="0"/>
      <w:outlineLvl w:val="6"/>
    </w:pPr>
    <w:rPr>
      <w:rFonts w:ascii="Tms Rmn" w:hAnsi="Tms Rmn"/>
      <w:i/>
      <w:iCs/>
    </w:rPr>
  </w:style>
  <w:style w:type="paragraph" w:styleId="Nadpis8">
    <w:name w:val="Heading 8"/>
    <w:basedOn w:val="Normal"/>
    <w:next w:val="NormalIndent"/>
    <w:qFormat/>
    <w:pPr>
      <w:ind w:left="708" w:hanging="0"/>
      <w:outlineLvl w:val="7"/>
    </w:pPr>
    <w:rPr>
      <w:rFonts w:ascii="Tms Rmn" w:hAnsi="Tms Rmn"/>
      <w:i/>
      <w:iCs/>
    </w:rPr>
  </w:style>
  <w:style w:type="paragraph" w:styleId="Nadpis9">
    <w:name w:val="Heading 9"/>
    <w:basedOn w:val="Normal"/>
    <w:next w:val="NormalIndent"/>
    <w:qFormat/>
    <w:pPr>
      <w:ind w:left="708" w:hanging="0"/>
      <w:outlineLvl w:val="8"/>
    </w:pPr>
    <w:rPr>
      <w:rFonts w:ascii="Tms Rmn" w:hAnsi="Tms Rm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Ukotveniepoznmkypodiarou">
    <w:name w:val="Ukotvenie poznámky pod čiarou"/>
    <w:rPr>
      <w:sz w:val="16"/>
      <w:szCs w:val="16"/>
      <w:vertAlign w:val="superscript"/>
    </w:rPr>
  </w:style>
  <w:style w:type="character" w:styleId="FootnoteCharacters">
    <w:name w:val="Footnote Characters"/>
    <w:semiHidden/>
    <w:qFormat/>
    <w:rPr>
      <w:sz w:val="16"/>
      <w:szCs w:val="16"/>
      <w:vertAlign w:val="superscript"/>
    </w:rPr>
  </w:style>
  <w:style w:type="character" w:styleId="Pagenumber">
    <w:name w:val="page number"/>
    <w:basedOn w:val="DefaultParagraphFont"/>
    <w:qFormat/>
    <w:rPr/>
  </w:style>
  <w:style w:type="character" w:styleId="TextbublinyChar" w:customStyle="1">
    <w:name w:val="Text bubliny Char"/>
    <w:link w:val="Textbubliny"/>
    <w:qFormat/>
    <w:rsid w:val="00a20618"/>
    <w:rPr>
      <w:rFonts w:ascii="Segoe UI" w:hAnsi="Segoe UI" w:cs="Segoe UI"/>
      <w:sz w:val="18"/>
      <w:szCs w:val="18"/>
      <w:lang w:eastAsia="cs-CZ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rsid w:val="00cc502b"/>
    <w:pPr>
      <w:spacing w:before="0" w:after="120"/>
    </w:pPr>
    <w:rPr/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Indent">
    <w:name w:val="Normal Indent"/>
    <w:basedOn w:val="Normal"/>
    <w:qFormat/>
    <w:pPr>
      <w:ind w:left="708" w:hanging="0"/>
    </w:pPr>
    <w:rPr/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pPr>
      <w:tabs>
        <w:tab w:val="clear" w:pos="720"/>
        <w:tab w:val="center" w:pos="4819" w:leader="none"/>
        <w:tab w:val="right" w:pos="9071" w:leader="none"/>
      </w:tabs>
    </w:pPr>
    <w:rPr/>
  </w:style>
  <w:style w:type="paragraph" w:styleId="Poznmkapodiarou">
    <w:name w:val="Footnote Text"/>
    <w:basedOn w:val="Normal"/>
    <w:semiHidden/>
    <w:pPr/>
    <w:rPr/>
  </w:style>
  <w:style w:type="paragraph" w:styleId="Odsadenietelatextu">
    <w:name w:val="Body Text Indent"/>
    <w:basedOn w:val="Normal"/>
    <w:pPr>
      <w:tabs>
        <w:tab w:val="clear" w:pos="720"/>
        <w:tab w:val="left" w:pos="709" w:leader="none"/>
        <w:tab w:val="left" w:pos="2977" w:leader="none"/>
        <w:tab w:val="left" w:pos="4962" w:leader="none"/>
        <w:tab w:val="left" w:pos="6663" w:leader="none"/>
        <w:tab w:val="left" w:pos="8222" w:leader="none"/>
      </w:tabs>
      <w:ind w:left="426" w:hanging="0"/>
      <w:jc w:val="both"/>
    </w:pPr>
    <w:rPr>
      <w:rFonts w:ascii="Times New Roman" w:hAnsi="Times New Roman"/>
      <w:sz w:val="26"/>
      <w:szCs w:val="26"/>
    </w:rPr>
  </w:style>
  <w:style w:type="paragraph" w:styleId="BodyTextIndent2">
    <w:name w:val="Body Text Indent 2"/>
    <w:basedOn w:val="Normal"/>
    <w:qFormat/>
    <w:pPr>
      <w:tabs>
        <w:tab w:val="clear" w:pos="720"/>
        <w:tab w:val="left" w:pos="2127" w:leader="none"/>
        <w:tab w:val="left" w:pos="3686" w:leader="none"/>
        <w:tab w:val="left" w:pos="5387" w:leader="none"/>
        <w:tab w:val="left" w:pos="6804" w:leader="none"/>
      </w:tabs>
      <w:ind w:right="-12" w:firstLine="426"/>
    </w:pPr>
    <w:rPr>
      <w:rFonts w:ascii="Times New Roman" w:hAnsi="Times New Roman"/>
      <w:bCs/>
      <w:sz w:val="26"/>
      <w:szCs w:val="26"/>
    </w:rPr>
  </w:style>
  <w:style w:type="paragraph" w:styleId="Pta">
    <w:name w:val="Footer"/>
    <w:basedOn w:val="Normal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PlainText">
    <w:name w:val="Plain Text"/>
    <w:basedOn w:val="Normal"/>
    <w:qFormat/>
    <w:rsid w:val="00af55b5"/>
    <w:pPr/>
    <w:rPr>
      <w:rFonts w:ascii="Courier New" w:hAnsi="Courier New" w:cs="Courier New"/>
      <w:lang w:val="cs-CZ"/>
    </w:rPr>
  </w:style>
  <w:style w:type="paragraph" w:styleId="BalloonText">
    <w:name w:val="Balloon Text"/>
    <w:basedOn w:val="Normal"/>
    <w:link w:val="TextbublinyChar"/>
    <w:qFormat/>
    <w:rsid w:val="00a20618"/>
    <w:pPr/>
    <w:rPr>
      <w:rFonts w:ascii="Segoe UI" w:hAnsi="Segoe UI" w:cs="Segoe UI"/>
      <w:sz w:val="18"/>
      <w:szCs w:val="18"/>
    </w:rPr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hart" Target="charts/chart1.xml"/><Relationship Id="rId3" Type="http://schemas.openxmlformats.org/officeDocument/2006/relationships/chart" Target="charts/chart2.xml"/><Relationship Id="rId4" Type="http://schemas.openxmlformats.org/officeDocument/2006/relationships/chart" Target="charts/chart3.xml"/><Relationship Id="rId5" Type="http://schemas.openxmlformats.org/officeDocument/2006/relationships/chart" Target="charts/chart4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charts/_rels/chart1.xml.rels><?xml version="1.0" encoding="UTF-8"?>
<Relationships xmlns="http://schemas.openxmlformats.org/package/2006/relationships"><Relationship Id="rId1" Type="http://schemas.openxmlformats.org/officeDocument/2006/relationships/package" Target="../embeddings/Microsoft_Excel_Worksheet.xlsx"/>
</Relationships>
</file>

<file path=word/charts/_rels/chart2.xml.rels><?xml version="1.0" encoding="UTF-8"?>
<Relationships xmlns="http://schemas.openxmlformats.org/package/2006/relationships"><Relationship Id="rId1" Type="http://schemas.openxmlformats.org/officeDocument/2006/relationships/package" Target="../embeddings/Microsoft_Excel_Worksheet1.xlsx"/>
</Relationships>
</file>

<file path=word/charts/_rels/chart3.xml.rels><?xml version="1.0" encoding="UTF-8"?>
<Relationships xmlns="http://schemas.openxmlformats.org/package/2006/relationships"><Relationship Id="rId1" Type="http://schemas.openxmlformats.org/officeDocument/2006/relationships/package" Target="../embeddings/Microsoft_Excel_Worksheet2.xlsx"/>
</Relationships>
</file>

<file path=word/charts/_rels/chart4.xml.rels><?xml version="1.0" encoding="UTF-8"?>
<Relationships xmlns="http://schemas.openxmlformats.org/package/2006/relationships"><Relationship Id="rId1" Type="http://schemas.openxmlformats.org/officeDocument/2006/relationships/package" Target="../embeddings/Microsoft_Excel_Worksheet3.xlsx"/>
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autoTitleDeleted val="1"/>
    <c:plotArea>
      <c:layout>
        <c:manualLayout>
          <c:layoutTarget val="inner"/>
          <c:xMode val="edge"/>
          <c:yMode val="edge"/>
          <c:x val="0.1330625"/>
          <c:y val="0.0452222222222222"/>
          <c:w val="0.85025"/>
          <c:h val="0.87244444444444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Tržby</c:v>
                </c:pt>
              </c:strCache>
            </c:strRef>
          </c:tx>
          <c:spPr>
            <a:solidFill>
              <a:srgbClr val="ffcc00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txPr>
              <a:bodyPr wrap="none"/>
              <a:lstStyle/>
              <a:p>
                <a:pPr>
                  <a:defRPr b="1" sz="997" spc="-1" strike="noStrike">
                    <a:solidFill>
                      <a:srgbClr val="000000"/>
                    </a:solidFill>
                    <a:latin typeface="Arial"/>
                    <a:ea typeface="Arial"/>
                  </a:defRPr>
                </a:pPr>
              </a:p>
            </c:txPr>
            <c:dLblPos val="outEnd"/>
            <c:showLegendKey val="0"/>
            <c:showVal val="0"/>
            <c:showCatName val="0"/>
            <c:showSerName val="0"/>
            <c:showPercent val="0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3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3"/>
                <c:pt idx="0">
                  <c:v>20822112</c:v>
                </c:pt>
                <c:pt idx="1">
                  <c:v>20281645</c:v>
                </c:pt>
                <c:pt idx="2">
                  <c:v>21592002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Pridaná hodnota</c:v>
                </c:pt>
              </c:strCache>
            </c:strRef>
          </c:tx>
          <c:spPr>
            <a:solidFill>
              <a:srgbClr val="ccffcc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txPr>
              <a:bodyPr wrap="none"/>
              <a:lstStyle/>
              <a:p>
                <a:pPr>
                  <a:defRPr b="1" sz="997" spc="-1" strike="noStrike">
                    <a:solidFill>
                      <a:srgbClr val="000000"/>
                    </a:solidFill>
                    <a:latin typeface="Arial"/>
                    <a:ea typeface="Arial"/>
                  </a:defRPr>
                </a:pPr>
              </a:p>
            </c:txPr>
            <c:dLblPos val="outEnd"/>
            <c:showLegendKey val="0"/>
            <c:showVal val="0"/>
            <c:showCatName val="0"/>
            <c:showSerName val="0"/>
            <c:showPercent val="0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3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3"/>
                <c:pt idx="0">
                  <c:v>3217654</c:v>
                </c:pt>
                <c:pt idx="1">
                  <c:v>3805034</c:v>
                </c:pt>
                <c:pt idx="2">
                  <c:v>2822811</c:v>
                </c:pt>
              </c:numCache>
            </c:numRef>
          </c:val>
        </c:ser>
        <c:ser>
          <c:idx val="2"/>
          <c:order val="2"/>
          <c:tx>
            <c:strRef>
              <c:f>label 2</c:f>
              <c:strCache>
                <c:ptCount val="1"/>
                <c:pt idx="0">
                  <c:v>Hosp. výsledok</c:v>
                </c:pt>
              </c:strCache>
            </c:strRef>
          </c:tx>
          <c:spPr>
            <a:solidFill>
              <a:srgbClr val="ff8080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txPr>
              <a:bodyPr wrap="none"/>
              <a:lstStyle/>
              <a:p>
                <a:pPr>
                  <a:defRPr b="1" sz="997" spc="-1" strike="noStrike">
                    <a:solidFill>
                      <a:srgbClr val="000000"/>
                    </a:solidFill>
                    <a:latin typeface="Arial"/>
                    <a:ea typeface="Arial"/>
                  </a:defRPr>
                </a:pPr>
              </a:p>
            </c:txPr>
            <c:dLblPos val="outEnd"/>
            <c:showLegendKey val="0"/>
            <c:showVal val="0"/>
            <c:showCatName val="0"/>
            <c:showSerName val="0"/>
            <c:showPercent val="0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3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strCache>
            </c:strRef>
          </c:cat>
          <c:val>
            <c:numRef>
              <c:f>2</c:f>
              <c:numCache>
                <c:formatCode>General</c:formatCode>
                <c:ptCount val="3"/>
                <c:pt idx="0">
                  <c:v>1035167</c:v>
                </c:pt>
                <c:pt idx="1">
                  <c:v>1080000</c:v>
                </c:pt>
                <c:pt idx="2">
                  <c:v>314866</c:v>
                </c:pt>
              </c:numCache>
            </c:numRef>
          </c:val>
        </c:ser>
        <c:gapWidth val="50"/>
        <c:overlap val="30"/>
        <c:axId val="75878271"/>
        <c:axId val="83898816"/>
      </c:barChart>
      <c:catAx>
        <c:axId val="75878271"/>
        <c:scaling>
          <c:orientation val="minMax"/>
        </c:scaling>
        <c:delete val="0"/>
        <c:axPos val="b"/>
        <c:numFmt formatCode="General" sourceLinked="0"/>
        <c:majorTickMark val="cross"/>
        <c:minorTickMark val="none"/>
        <c:tickLblPos val="nextTo"/>
        <c:spPr>
          <a:ln w="3240">
            <a:solidFill>
              <a:srgbClr val="000000"/>
            </a:solidFill>
            <a:round/>
          </a:ln>
        </c:spPr>
        <c:txPr>
          <a:bodyPr/>
          <a:lstStyle/>
          <a:p>
            <a:pPr>
              <a:defRPr b="1" sz="997" spc="-1" strike="noStrike">
                <a:solidFill>
                  <a:srgbClr val="000000"/>
                </a:solidFill>
                <a:latin typeface="Arial"/>
                <a:ea typeface="Arial"/>
              </a:defRPr>
            </a:pPr>
          </a:p>
        </c:txPr>
        <c:crossAx val="83898816"/>
        <c:crosses val="autoZero"/>
        <c:auto val="1"/>
        <c:lblAlgn val="ctr"/>
        <c:lblOffset val="100"/>
        <c:noMultiLvlLbl val="0"/>
      </c:catAx>
      <c:valAx>
        <c:axId val="83898816"/>
        <c:scaling>
          <c:orientation val="minMax"/>
        </c:scaling>
        <c:delete val="0"/>
        <c:axPos val="l"/>
        <c:numFmt formatCode="\ [$€-41B]\ * #,##0\ ;\ [$€-41B]\ * \(#,##0\);\ [$€-41B]\ * &quot;- &quot;;\ @\ " sourceLinked="0"/>
        <c:majorTickMark val="cross"/>
        <c:minorTickMark val="none"/>
        <c:tickLblPos val="nextTo"/>
        <c:spPr>
          <a:ln w="3240">
            <a:solidFill>
              <a:srgbClr val="000000"/>
            </a:solidFill>
            <a:round/>
          </a:ln>
        </c:spPr>
        <c:txPr>
          <a:bodyPr/>
          <a:lstStyle/>
          <a:p>
            <a:pPr>
              <a:defRPr b="1" sz="997" spc="-1" strike="noStrike">
                <a:solidFill>
                  <a:srgbClr val="000000"/>
                </a:solidFill>
                <a:latin typeface="Arial"/>
                <a:ea typeface="Arial"/>
              </a:defRPr>
            </a:pPr>
          </a:p>
        </c:txPr>
        <c:crossAx val="75878271"/>
        <c:crosses val="autoZero"/>
        <c:crossBetween val="between"/>
      </c:valAx>
      <c:spPr>
        <a:noFill/>
        <a:ln w="25200">
          <a:noFill/>
        </a:ln>
      </c:spPr>
    </c:plotArea>
    <c:legend>
      <c:legendPos val="r"/>
      <c:layout>
        <c:manualLayout>
          <c:xMode val="edge"/>
          <c:yMode val="edge"/>
          <c:x val="0.30925"/>
          <c:y val="0.343777777777778"/>
          <c:w val="0.232889555597225"/>
          <c:h val="0.131681297921991"/>
        </c:manualLayout>
      </c:layout>
      <c:overlay val="0"/>
      <c:spPr>
        <a:noFill/>
        <a:ln w="3240">
          <a:solidFill>
            <a:srgbClr val="000000"/>
          </a:solidFill>
          <a:round/>
        </a:ln>
      </c:spPr>
      <c:txPr>
        <a:bodyPr/>
        <a:lstStyle/>
        <a:p>
          <a:pPr>
            <a:defRPr b="1" sz="917" spc="-1" strike="noStrike">
              <a:solidFill>
                <a:srgbClr val="000000"/>
              </a:solidFill>
              <a:latin typeface="Arial"/>
              <a:ea typeface="Arial"/>
            </a:defRPr>
          </a:pPr>
        </a:p>
      </c:txPr>
    </c:legend>
    <c:plotVisOnly val="1"/>
    <c:dispBlanksAs val="gap"/>
  </c:chart>
  <c:spPr>
    <a:noFill/>
    <a:ln w="9360"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autoTitleDeleted val="1"/>
    <c:plotArea>
      <c:layout>
        <c:manualLayout>
          <c:layoutTarget val="inner"/>
          <c:xMode val="edge"/>
          <c:yMode val="edge"/>
          <c:x val="0.27375"/>
          <c:y val="0.0537777777777778"/>
          <c:w val="0.692"/>
          <c:h val="0.848444444444444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Vlastné imanie</c:v>
                </c:pt>
              </c:strCache>
            </c:strRef>
          </c:tx>
          <c:spPr>
            <a:solidFill>
              <a:srgbClr val="00ccff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txPr>
              <a:bodyPr wrap="none"/>
              <a:lstStyle/>
              <a:p>
                <a:pPr>
                  <a:defRPr b="1" sz="996" spc="-1" strike="noStrike">
                    <a:solidFill>
                      <a:srgbClr val="000000"/>
                    </a:solidFill>
                    <a:latin typeface="Arial"/>
                    <a:ea typeface="Arial"/>
                  </a:defRPr>
                </a:pPr>
              </a:p>
            </c:txPr>
            <c:dLblPos val="ctr"/>
            <c:showLegendKey val="0"/>
            <c:showVal val="0"/>
            <c:showCatName val="0"/>
            <c:showSerName val="0"/>
            <c:showPercent val="0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3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3"/>
                <c:pt idx="0">
                  <c:v>10086537</c:v>
                </c:pt>
                <c:pt idx="1">
                  <c:v>10071278</c:v>
                </c:pt>
                <c:pt idx="2">
                  <c:v>8339915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Záväzky</c:v>
                </c:pt>
              </c:strCache>
            </c:strRef>
          </c:tx>
          <c:spPr>
            <a:solidFill>
              <a:srgbClr val="ff8080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txPr>
              <a:bodyPr wrap="none"/>
              <a:lstStyle/>
              <a:p>
                <a:pPr>
                  <a:defRPr b="1" sz="996" spc="-1" strike="noStrike">
                    <a:solidFill>
                      <a:srgbClr val="000000"/>
                    </a:solidFill>
                    <a:latin typeface="Arial"/>
                    <a:ea typeface="Arial"/>
                  </a:defRPr>
                </a:pPr>
              </a:p>
            </c:txPr>
            <c:dLblPos val="ctr"/>
            <c:showLegendKey val="0"/>
            <c:showVal val="0"/>
            <c:showCatName val="0"/>
            <c:showSerName val="0"/>
            <c:showPercent val="0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3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3"/>
                <c:pt idx="0">
                  <c:v>19332820</c:v>
                </c:pt>
                <c:pt idx="1">
                  <c:v>17067773</c:v>
                </c:pt>
                <c:pt idx="2">
                  <c:v>18213065</c:v>
                </c:pt>
              </c:numCache>
            </c:numRef>
          </c:val>
        </c:ser>
        <c:ser>
          <c:idx val="2"/>
          <c:order val="2"/>
          <c:tx>
            <c:strRef>
              <c:f>label 2</c:f>
              <c:strCache>
                <c:ptCount val="1"/>
                <c:pt idx="0">
                  <c:v>Časové rozlíšenie</c:v>
                </c:pt>
              </c:strCache>
            </c:strRef>
          </c:tx>
          <c:spPr>
            <a:solidFill>
              <a:srgbClr val="ffcc00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txPr>
              <a:bodyPr wrap="none"/>
              <a:lstStyle/>
              <a:p>
                <a:pPr>
                  <a:defRPr b="1" sz="996" spc="-1" strike="noStrike">
                    <a:solidFill>
                      <a:srgbClr val="000000"/>
                    </a:solidFill>
                    <a:latin typeface="Arial"/>
                    <a:ea typeface="Arial"/>
                  </a:defRPr>
                </a:pPr>
              </a:p>
            </c:txPr>
            <c:dLblPos val="ctr"/>
            <c:showLegendKey val="0"/>
            <c:showVal val="0"/>
            <c:showCatName val="0"/>
            <c:showSerName val="0"/>
            <c:showPercent val="0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3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strCache>
            </c:strRef>
          </c:cat>
          <c:val>
            <c:numRef>
              <c:f>2</c:f>
              <c:numCache>
                <c:formatCode>General</c:formatCode>
                <c:ptCount val="3"/>
              </c:numCache>
            </c:numRef>
          </c:val>
        </c:ser>
        <c:gapWidth val="50"/>
        <c:overlap val="100"/>
        <c:axId val="77069983"/>
        <c:axId val="89851309"/>
      </c:barChart>
      <c:catAx>
        <c:axId val="77069983"/>
        <c:scaling>
          <c:orientation val="minMax"/>
        </c:scaling>
        <c:delete val="0"/>
        <c:axPos val="b"/>
        <c:numFmt formatCode="General" sourceLinked="0"/>
        <c:majorTickMark val="cross"/>
        <c:minorTickMark val="none"/>
        <c:tickLblPos val="nextTo"/>
        <c:spPr>
          <a:ln w="3240">
            <a:solidFill>
              <a:srgbClr val="000000"/>
            </a:solidFill>
            <a:round/>
          </a:ln>
        </c:spPr>
        <c:txPr>
          <a:bodyPr/>
          <a:lstStyle/>
          <a:p>
            <a:pPr>
              <a:defRPr b="1" sz="996" spc="-1" strike="noStrike">
                <a:solidFill>
                  <a:srgbClr val="000000"/>
                </a:solidFill>
                <a:latin typeface="Arial"/>
                <a:ea typeface="Arial"/>
              </a:defRPr>
            </a:pPr>
          </a:p>
        </c:txPr>
        <c:crossAx val="89851309"/>
        <c:crosses val="autoZero"/>
        <c:auto val="1"/>
        <c:lblAlgn val="ctr"/>
        <c:lblOffset val="100"/>
        <c:noMultiLvlLbl val="0"/>
      </c:catAx>
      <c:valAx>
        <c:axId val="89851309"/>
        <c:scaling>
          <c:orientation val="minMax"/>
        </c:scaling>
        <c:delete val="0"/>
        <c:axPos val="l"/>
        <c:numFmt formatCode="\ [$€-41B]\ * #,##0\ ;\ [$€-41B]\ * \(#,##0\);\ [$€-41B]\ * &quot;- &quot;;\ @\ " sourceLinked="0"/>
        <c:majorTickMark val="cross"/>
        <c:minorTickMark val="none"/>
        <c:tickLblPos val="nextTo"/>
        <c:spPr>
          <a:ln w="3240">
            <a:solidFill>
              <a:srgbClr val="000000"/>
            </a:solidFill>
            <a:round/>
          </a:ln>
        </c:spPr>
        <c:txPr>
          <a:bodyPr/>
          <a:lstStyle/>
          <a:p>
            <a:pPr>
              <a:defRPr b="1" sz="996" spc="-1" strike="noStrike">
                <a:solidFill>
                  <a:srgbClr val="000000"/>
                </a:solidFill>
                <a:latin typeface="Arial"/>
                <a:ea typeface="Arial"/>
              </a:defRPr>
            </a:pPr>
          </a:p>
        </c:txPr>
        <c:crossAx val="77069983"/>
        <c:crosses val="autoZero"/>
        <c:crossBetween val="between"/>
      </c:valAx>
      <c:spPr>
        <a:noFill/>
        <a:ln w="25200">
          <a:noFill/>
        </a:ln>
      </c:spPr>
    </c:plotArea>
    <c:legend>
      <c:legendPos val="r"/>
      <c:layout>
        <c:manualLayout>
          <c:xMode val="edge"/>
          <c:yMode val="edge"/>
          <c:x val="0.410625"/>
          <c:y val="0.434444444444444"/>
          <c:w val="0.448653040815051"/>
          <c:h val="0.165685076119569"/>
        </c:manualLayout>
      </c:layout>
      <c:overlay val="0"/>
      <c:spPr>
        <a:solidFill>
          <a:srgbClr val="ffffff"/>
        </a:solidFill>
        <a:ln w="3240">
          <a:solidFill>
            <a:srgbClr val="000000"/>
          </a:solidFill>
          <a:round/>
        </a:ln>
      </c:spPr>
      <c:txPr>
        <a:bodyPr/>
        <a:lstStyle/>
        <a:p>
          <a:pPr>
            <a:defRPr b="1" sz="916" spc="-1" strike="noStrike">
              <a:solidFill>
                <a:srgbClr val="000000"/>
              </a:solidFill>
              <a:latin typeface="Arial"/>
              <a:ea typeface="Arial"/>
            </a:defRPr>
          </a:pPr>
        </a:p>
      </c:txPr>
    </c:legend>
    <c:plotVisOnly val="1"/>
    <c:dispBlanksAs val="gap"/>
  </c:chart>
  <c:spPr>
    <a:noFill/>
    <a:ln w="9360"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autoTitleDeleted val="1"/>
    <c:plotArea>
      <c:layout>
        <c:manualLayout>
          <c:layoutTarget val="inner"/>
          <c:xMode val="edge"/>
          <c:yMode val="edge"/>
          <c:x val="0.2706875"/>
          <c:y val="0.054"/>
          <c:w val="0.6955"/>
          <c:h val="0.847666666666667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Neobežný majetok</c:v>
                </c:pt>
              </c:strCache>
            </c:strRef>
          </c:tx>
          <c:spPr>
            <a:solidFill>
              <a:srgbClr val="00ff00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txPr>
              <a:bodyPr wrap="none"/>
              <a:lstStyle/>
              <a:p>
                <a:pPr>
                  <a:defRPr b="1" sz="995" spc="-1" strike="noStrike">
                    <a:solidFill>
                      <a:srgbClr val="000000"/>
                    </a:solidFill>
                    <a:latin typeface="Arial"/>
                    <a:ea typeface="Arial"/>
                  </a:defRPr>
                </a:pPr>
              </a:p>
            </c:txPr>
            <c:dLblPos val="ctr"/>
            <c:showLegendKey val="0"/>
            <c:showVal val="0"/>
            <c:showCatName val="0"/>
            <c:showSerName val="0"/>
            <c:showPercent val="0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3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3"/>
                <c:pt idx="0">
                  <c:v>12628716</c:v>
                </c:pt>
                <c:pt idx="1">
                  <c:v>12842203</c:v>
                </c:pt>
                <c:pt idx="2">
                  <c:v>10096111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Obežný majetok</c:v>
                </c:pt>
              </c:strCache>
            </c:strRef>
          </c:tx>
          <c:spPr>
            <a:solidFill>
              <a:srgbClr val="33cccc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txPr>
              <a:bodyPr wrap="none"/>
              <a:lstStyle/>
              <a:p>
                <a:pPr>
                  <a:defRPr b="1" sz="995" spc="-1" strike="noStrike">
                    <a:solidFill>
                      <a:srgbClr val="000000"/>
                    </a:solidFill>
                    <a:latin typeface="Arial"/>
                    <a:ea typeface="Arial"/>
                  </a:defRPr>
                </a:pPr>
              </a:p>
            </c:txPr>
            <c:dLblPos val="ctr"/>
            <c:showLegendKey val="0"/>
            <c:showVal val="0"/>
            <c:showCatName val="0"/>
            <c:showSerName val="0"/>
            <c:showPercent val="0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3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3"/>
                <c:pt idx="0">
                  <c:v>16777174</c:v>
                </c:pt>
                <c:pt idx="1">
                  <c:v>14280836</c:v>
                </c:pt>
                <c:pt idx="2">
                  <c:v>16443294</c:v>
                </c:pt>
              </c:numCache>
            </c:numRef>
          </c:val>
        </c:ser>
        <c:ser>
          <c:idx val="2"/>
          <c:order val="2"/>
          <c:tx>
            <c:strRef>
              <c:f>label 2</c:f>
              <c:strCache>
                <c:ptCount val="1"/>
                <c:pt idx="0">
                  <c:v>Časové rozlíšenie</c:v>
                </c:pt>
              </c:strCache>
            </c:strRef>
          </c:tx>
          <c:spPr>
            <a:solidFill>
              <a:srgbClr val="ffff00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txPr>
              <a:bodyPr wrap="none"/>
              <a:lstStyle/>
              <a:p>
                <a:pPr>
                  <a:defRPr b="1" sz="995" spc="-1" strike="noStrike">
                    <a:solidFill>
                      <a:srgbClr val="000000"/>
                    </a:solidFill>
                    <a:latin typeface="Arial"/>
                    <a:ea typeface="Arial"/>
                  </a:defRPr>
                </a:pPr>
              </a:p>
            </c:txPr>
            <c:dLblPos val="ctr"/>
            <c:showLegendKey val="0"/>
            <c:showVal val="0"/>
            <c:showCatName val="0"/>
            <c:showSerName val="0"/>
            <c:showPercent val="0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3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strCache>
            </c:strRef>
          </c:cat>
          <c:val>
            <c:numRef>
              <c:f>2</c:f>
              <c:numCache>
                <c:formatCode>General</c:formatCode>
                <c:ptCount val="3"/>
                <c:pt idx="0">
                  <c:v>13467</c:v>
                </c:pt>
                <c:pt idx="1">
                  <c:v>16012</c:v>
                </c:pt>
                <c:pt idx="2">
                  <c:v>13575</c:v>
                </c:pt>
              </c:numCache>
            </c:numRef>
          </c:val>
        </c:ser>
        <c:gapWidth val="50"/>
        <c:overlap val="100"/>
        <c:axId val="77551487"/>
        <c:axId val="44981305"/>
      </c:barChart>
      <c:catAx>
        <c:axId val="77551487"/>
        <c:scaling>
          <c:orientation val="minMax"/>
        </c:scaling>
        <c:delete val="0"/>
        <c:axPos val="b"/>
        <c:numFmt formatCode="General" sourceLinked="0"/>
        <c:majorTickMark val="cross"/>
        <c:minorTickMark val="none"/>
        <c:tickLblPos val="nextTo"/>
        <c:spPr>
          <a:ln w="3240">
            <a:solidFill>
              <a:srgbClr val="000000"/>
            </a:solidFill>
            <a:round/>
          </a:ln>
        </c:spPr>
        <c:txPr>
          <a:bodyPr/>
          <a:lstStyle/>
          <a:p>
            <a:pPr>
              <a:defRPr b="1" sz="995" spc="-1" strike="noStrike">
                <a:solidFill>
                  <a:srgbClr val="000000"/>
                </a:solidFill>
                <a:latin typeface="Arial"/>
                <a:ea typeface="Arial"/>
              </a:defRPr>
            </a:pPr>
          </a:p>
        </c:txPr>
        <c:crossAx val="44981305"/>
        <c:crosses val="autoZero"/>
        <c:auto val="1"/>
        <c:lblAlgn val="ctr"/>
        <c:lblOffset val="100"/>
        <c:noMultiLvlLbl val="0"/>
      </c:catAx>
      <c:valAx>
        <c:axId val="44981305"/>
        <c:scaling>
          <c:orientation val="minMax"/>
        </c:scaling>
        <c:delete val="0"/>
        <c:axPos val="l"/>
        <c:numFmt formatCode="\ [$€-41B]\ * #,##0\ ;\ [$€-41B]\ * \(#,##0\);\ [$€-41B]\ * &quot;- &quot;;\ @\ " sourceLinked="0"/>
        <c:majorTickMark val="cross"/>
        <c:minorTickMark val="none"/>
        <c:tickLblPos val="nextTo"/>
        <c:spPr>
          <a:ln w="3240">
            <a:solidFill>
              <a:srgbClr val="000000"/>
            </a:solidFill>
            <a:round/>
          </a:ln>
        </c:spPr>
        <c:txPr>
          <a:bodyPr/>
          <a:lstStyle/>
          <a:p>
            <a:pPr>
              <a:defRPr b="1" sz="995" spc="-1" strike="noStrike">
                <a:solidFill>
                  <a:srgbClr val="000000"/>
                </a:solidFill>
                <a:latin typeface="Arial"/>
                <a:ea typeface="Arial"/>
              </a:defRPr>
            </a:pPr>
          </a:p>
        </c:txPr>
        <c:crossAx val="77551487"/>
        <c:crosses val="autoZero"/>
        <c:crossBetween val="between"/>
      </c:valAx>
      <c:spPr>
        <a:noFill/>
        <a:ln w="25200">
          <a:noFill/>
        </a:ln>
      </c:spPr>
    </c:plotArea>
    <c:legend>
      <c:legendPos val="r"/>
      <c:layout>
        <c:manualLayout>
          <c:xMode val="edge"/>
          <c:yMode val="edge"/>
          <c:x val="0.406"/>
          <c:y val="0.390555555555556"/>
          <c:w val="0.499031189449341"/>
          <c:h val="0.156906322924769"/>
        </c:manualLayout>
      </c:layout>
      <c:overlay val="0"/>
      <c:spPr>
        <a:solidFill>
          <a:srgbClr val="ffffff"/>
        </a:solidFill>
        <a:ln w="3240">
          <a:solidFill>
            <a:srgbClr val="000000"/>
          </a:solidFill>
          <a:round/>
        </a:ln>
      </c:spPr>
      <c:txPr>
        <a:bodyPr/>
        <a:lstStyle/>
        <a:p>
          <a:pPr>
            <a:defRPr b="1" sz="916" spc="-1" strike="noStrike">
              <a:solidFill>
                <a:srgbClr val="000000"/>
              </a:solidFill>
              <a:latin typeface="Arial"/>
              <a:ea typeface="Arial"/>
            </a:defRPr>
          </a:pPr>
        </a:p>
      </c:txPr>
    </c:legend>
    <c:plotVisOnly val="1"/>
    <c:dispBlanksAs val="gap"/>
  </c:chart>
  <c:spPr>
    <a:noFill/>
    <a:ln w="9360"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autoTitleDeleted val="1"/>
    <c:plotArea>
      <c:layout>
        <c:manualLayout>
          <c:layoutTarget val="inner"/>
          <c:xMode val="edge"/>
          <c:yMode val="edge"/>
          <c:x val="0.120625"/>
          <c:y val="0.0725555555555556"/>
          <c:w val="0.863625"/>
          <c:h val="0.86133333333333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Stav k 1.1.2021</c:v>
                </c:pt>
              </c:strCache>
            </c:strRef>
          </c:tx>
          <c:spPr>
            <a:solidFill>
              <a:srgbClr val="ccccff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txPr>
              <a:bodyPr wrap="none"/>
              <a:lstStyle/>
              <a:p>
                <a:pPr>
                  <a:defRPr b="1" sz="996" spc="-1" strike="noStrike">
                    <a:solidFill>
                      <a:srgbClr val="000000"/>
                    </a:solidFill>
                    <a:latin typeface="Arial"/>
                    <a:ea typeface="Arial"/>
                  </a:defRPr>
                </a:pPr>
              </a:p>
            </c:txPr>
            <c:dLblPos val="outEnd"/>
            <c:showLegendKey val="0"/>
            <c:showVal val="0"/>
            <c:showCatName val="0"/>
            <c:showSerName val="0"/>
            <c:showPercent val="0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1"/>
                <c:pt idx="0">
                  <c:v/>
                </c:pt>
              </c:strCache>
            </c:strRef>
          </c:cat>
          <c:val>
            <c:numRef>
              <c:f>0</c:f>
              <c:numCache>
                <c:formatCode>General</c:formatCode>
                <c:ptCount val="1"/>
                <c:pt idx="0">
                  <c:v>9951613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Prevádzkové činnosti</c:v>
                </c:pt>
              </c:strCache>
            </c:strRef>
          </c:tx>
          <c:spPr>
            <a:solidFill>
              <a:srgbClr val="99cc00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txPr>
              <a:bodyPr wrap="none"/>
              <a:lstStyle/>
              <a:p>
                <a:pPr>
                  <a:defRPr b="1" sz="996" spc="-1" strike="noStrike">
                    <a:solidFill>
                      <a:srgbClr val="000000"/>
                    </a:solidFill>
                    <a:latin typeface="Arial"/>
                    <a:ea typeface="Arial"/>
                  </a:defRPr>
                </a:pPr>
              </a:p>
            </c:txPr>
            <c:dLblPos val="outEnd"/>
            <c:showLegendKey val="0"/>
            <c:showVal val="0"/>
            <c:showCatName val="0"/>
            <c:showSerName val="0"/>
            <c:showPercent val="0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1"/>
                <c:pt idx="0">
                  <c:v/>
                </c:pt>
              </c:strCache>
            </c:strRef>
          </c:cat>
          <c:val>
            <c:numRef>
              <c:f>1</c:f>
              <c:numCache>
                <c:formatCode>General</c:formatCode>
                <c:ptCount val="1"/>
                <c:pt idx="0">
                  <c:v>382010</c:v>
                </c:pt>
              </c:numCache>
            </c:numRef>
          </c:val>
        </c:ser>
        <c:ser>
          <c:idx val="2"/>
          <c:order val="2"/>
          <c:tx>
            <c:strRef>
              <c:f>label 2</c:f>
              <c:strCache>
                <c:ptCount val="1"/>
                <c:pt idx="0">
                  <c:v>Investičné činnosti</c:v>
                </c:pt>
              </c:strCache>
            </c:strRef>
          </c:tx>
          <c:spPr>
            <a:solidFill>
              <a:srgbClr val="ff99cc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txPr>
              <a:bodyPr wrap="none"/>
              <a:lstStyle/>
              <a:p>
                <a:pPr>
                  <a:defRPr b="1" sz="996" spc="-1" strike="noStrike">
                    <a:solidFill>
                      <a:srgbClr val="000000"/>
                    </a:solidFill>
                    <a:latin typeface="Arial"/>
                    <a:ea typeface="Arial"/>
                  </a:defRPr>
                </a:pPr>
              </a:p>
            </c:txPr>
            <c:dLblPos val="outEnd"/>
            <c:showLegendKey val="0"/>
            <c:showVal val="0"/>
            <c:showCatName val="0"/>
            <c:showSerName val="0"/>
            <c:showPercent val="0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1"/>
                <c:pt idx="0">
                  <c:v/>
                </c:pt>
              </c:strCache>
            </c:strRef>
          </c:cat>
          <c:val>
            <c:numRef>
              <c:f>2</c:f>
              <c:numCache>
                <c:formatCode>General</c:formatCode>
                <c:ptCount val="1"/>
                <c:pt idx="0">
                  <c:v>-427373</c:v>
                </c:pt>
              </c:numCache>
            </c:numRef>
          </c:val>
        </c:ser>
        <c:ser>
          <c:idx val="3"/>
          <c:order val="3"/>
          <c:tx>
            <c:strRef>
              <c:f>label 3</c:f>
              <c:strCache>
                <c:ptCount val="1"/>
                <c:pt idx="0">
                  <c:v>Finančné činnosti</c:v>
                </c:pt>
              </c:strCache>
            </c:strRef>
          </c:tx>
          <c:spPr>
            <a:solidFill>
              <a:srgbClr val="ffff00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txPr>
              <a:bodyPr wrap="none"/>
              <a:lstStyle/>
              <a:p>
                <a:pPr>
                  <a:defRPr b="1" sz="996" spc="-1" strike="noStrike">
                    <a:solidFill>
                      <a:srgbClr val="000000"/>
                    </a:solidFill>
                    <a:latin typeface="Arial"/>
                    <a:ea typeface="Arial"/>
                  </a:defRPr>
                </a:pPr>
              </a:p>
            </c:txPr>
            <c:dLblPos val="outEnd"/>
            <c:showLegendKey val="0"/>
            <c:showVal val="0"/>
            <c:showCatName val="0"/>
            <c:showSerName val="0"/>
            <c:showPercent val="0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1"/>
                <c:pt idx="0">
                  <c:v/>
                </c:pt>
              </c:strCache>
            </c:strRef>
          </c:cat>
          <c:val>
            <c:numRef>
              <c:f>3</c:f>
              <c:numCache>
                <c:formatCode>General</c:formatCode>
                <c:ptCount val="1"/>
                <c:pt idx="0">
                  <c:v>-687792</c:v>
                </c:pt>
              </c:numCache>
            </c:numRef>
          </c:val>
        </c:ser>
        <c:ser>
          <c:idx val="4"/>
          <c:order val="4"/>
          <c:tx>
            <c:strRef>
              <c:f>label 4</c:f>
              <c:strCache>
                <c:ptCount val="1"/>
                <c:pt idx="0">
                  <c:v>Stav k 31.12.2021</c:v>
                </c:pt>
              </c:strCache>
            </c:strRef>
          </c:tx>
          <c:spPr>
            <a:solidFill>
              <a:srgbClr val="ccccff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txPr>
              <a:bodyPr wrap="none"/>
              <a:lstStyle/>
              <a:p>
                <a:pPr>
                  <a:defRPr b="1" sz="996" spc="-1" strike="noStrike">
                    <a:solidFill>
                      <a:srgbClr val="000000"/>
                    </a:solidFill>
                    <a:latin typeface="Arial"/>
                    <a:ea typeface="Arial"/>
                  </a:defRPr>
                </a:pPr>
              </a:p>
            </c:txPr>
            <c:dLblPos val="outEnd"/>
            <c:showLegendKey val="0"/>
            <c:showVal val="0"/>
            <c:showCatName val="0"/>
            <c:showSerName val="0"/>
            <c:showPercent val="0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1"/>
                <c:pt idx="0">
                  <c:v/>
                </c:pt>
              </c:strCache>
            </c:strRef>
          </c:cat>
          <c:val>
            <c:numRef>
              <c:f>4</c:f>
              <c:numCache>
                <c:formatCode>General</c:formatCode>
                <c:ptCount val="1"/>
                <c:pt idx="0">
                  <c:v>9218458</c:v>
                </c:pt>
              </c:numCache>
            </c:numRef>
          </c:val>
        </c:ser>
        <c:gapWidth val="50"/>
        <c:overlap val="30"/>
        <c:axId val="86709307"/>
        <c:axId val="31690636"/>
      </c:barChart>
      <c:catAx>
        <c:axId val="86709307"/>
        <c:scaling>
          <c:orientation val="minMax"/>
        </c:scaling>
        <c:delete val="0"/>
        <c:axPos val="b"/>
        <c:numFmt formatCode="General" sourceLinked="0"/>
        <c:majorTickMark val="cross"/>
        <c:minorTickMark val="none"/>
        <c:tickLblPos val="nextTo"/>
        <c:spPr>
          <a:ln w="3240">
            <a:solidFill>
              <a:srgbClr val="000000"/>
            </a:solidFill>
            <a:round/>
          </a:ln>
        </c:spPr>
        <c:txPr>
          <a:bodyPr/>
          <a:lstStyle/>
          <a:p>
            <a:pPr>
              <a:defRPr b="1" sz="996" spc="-1" strike="noStrike">
                <a:solidFill>
                  <a:srgbClr val="000000"/>
                </a:solidFill>
                <a:latin typeface="Arial"/>
                <a:ea typeface="Arial"/>
              </a:defRPr>
            </a:pPr>
          </a:p>
        </c:txPr>
        <c:crossAx val="31690636"/>
        <c:crosses val="autoZero"/>
        <c:auto val="1"/>
        <c:lblAlgn val="ctr"/>
        <c:lblOffset val="100"/>
        <c:noMultiLvlLbl val="0"/>
      </c:catAx>
      <c:valAx>
        <c:axId val="31690636"/>
        <c:scaling>
          <c:orientation val="minMax"/>
        </c:scaling>
        <c:delete val="0"/>
        <c:axPos val="l"/>
        <c:numFmt formatCode="\ [$€-41B]\ * #,##0.00\ ;\ [$€-41B]\ * \(#,##0.00\);\ [$€-41B]\ * \-#\ ;\ @\ " sourceLinked="0"/>
        <c:majorTickMark val="cross"/>
        <c:minorTickMark val="none"/>
        <c:tickLblPos val="nextTo"/>
        <c:spPr>
          <a:ln w="3240">
            <a:solidFill>
              <a:srgbClr val="000000"/>
            </a:solidFill>
            <a:round/>
          </a:ln>
        </c:spPr>
        <c:txPr>
          <a:bodyPr/>
          <a:lstStyle/>
          <a:p>
            <a:pPr>
              <a:defRPr b="1" sz="996" spc="-1" strike="noStrike">
                <a:solidFill>
                  <a:srgbClr val="000000"/>
                </a:solidFill>
                <a:latin typeface="Arial"/>
                <a:ea typeface="Arial"/>
              </a:defRPr>
            </a:pPr>
          </a:p>
        </c:txPr>
        <c:crossAx val="86709307"/>
        <c:crosses val="autoZero"/>
        <c:crossBetween val="between"/>
      </c:valAx>
      <c:spPr>
        <a:noFill/>
        <a:ln w="25200">
          <a:noFill/>
        </a:ln>
      </c:spPr>
    </c:plotArea>
    <c:legend>
      <c:legendPos val="r"/>
      <c:layout>
        <c:manualLayout>
          <c:xMode val="edge"/>
          <c:yMode val="edge"/>
          <c:x val="0.4529375"/>
          <c:y val="0.0968888888888889"/>
          <c:w val="0.289580598787424"/>
          <c:h val="0.349816646294033"/>
        </c:manualLayout>
      </c:layout>
      <c:overlay val="0"/>
      <c:spPr>
        <a:solidFill>
          <a:srgbClr val="ffffff"/>
        </a:solidFill>
        <a:ln w="3240">
          <a:solidFill>
            <a:srgbClr val="000000"/>
          </a:solidFill>
          <a:round/>
        </a:ln>
      </c:spPr>
      <c:txPr>
        <a:bodyPr/>
        <a:lstStyle/>
        <a:p>
          <a:pPr>
            <a:defRPr b="1" sz="916" spc="-1" strike="noStrike">
              <a:solidFill>
                <a:srgbClr val="000000"/>
              </a:solidFill>
              <a:latin typeface="Arial"/>
              <a:ea typeface="Arial"/>
            </a:defRPr>
          </a:pPr>
        </a:p>
      </c:txPr>
    </c:legend>
    <c:plotVisOnly val="1"/>
    <c:dispBlanksAs val="gap"/>
  </c:chart>
  <c:spPr>
    <a:noFill/>
    <a:ln w="9360">
      <a:noFill/>
    </a:ln>
  </c:sp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DBCF9C-BD25-4625-8908-D1B459F4F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Application>LibreOffice/7.0.4.2$Windows_X86_64 LibreOffice_project/dcf040e67528d9187c66b2379df5ea4407429775</Application>
  <AppVersion>15.0000</AppVersion>
  <Pages>38</Pages>
  <Words>1887</Words>
  <Characters>8618</Characters>
  <CharactersWithSpaces>11423</CharactersWithSpaces>
  <Paragraphs>590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2020-04-27T10:05:00Z</dcterms:created>
  <dc:creator>Management Library</dc:creator>
  <dc:description/>
  <dc:language>sk-SK</dc:language>
  <cp:lastModifiedBy>Ing. Martin Šepeľák</cp:lastModifiedBy>
  <cp:lastPrinted>2020-11-02T18:49:00Z</cp:lastPrinted>
  <dcterms:modified xsi:type="dcterms:W3CDTF">2022-05-23T06:51:00Z</dcterms:modified>
  <cp:revision>80</cp:revision>
  <dc:subject/>
  <dc:title>PLYNROZ, akciová spoločnosť, Sobrance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7cb76b2-10b8-4fe1-93d4-2202842406cd_Application">
    <vt:lpwstr>Microsoft Azure Information Protection</vt:lpwstr>
  </property>
  <property fmtid="{D5CDD505-2E9C-101B-9397-08002B2CF9AE}" pid="3" name="MSIP_Label_17cb76b2-10b8-4fe1-93d4-2202842406cd_Enabled">
    <vt:lpwstr>True</vt:lpwstr>
  </property>
  <property fmtid="{D5CDD505-2E9C-101B-9397-08002B2CF9AE}" pid="4" name="MSIP_Label_17cb76b2-10b8-4fe1-93d4-2202842406cd_Extended_MSFT_Method">
    <vt:lpwstr>Manual</vt:lpwstr>
  </property>
  <property fmtid="{D5CDD505-2E9C-101B-9397-08002B2CF9AE}" pid="5" name="MSIP_Label_17cb76b2-10b8-4fe1-93d4-2202842406cd_Name">
    <vt:lpwstr>External Public</vt:lpwstr>
  </property>
  <property fmtid="{D5CDD505-2E9C-101B-9397-08002B2CF9AE}" pid="6" name="MSIP_Label_17cb76b2-10b8-4fe1-93d4-2202842406cd_Owner">
    <vt:lpwstr>Martin_Sepelak@dell.com</vt:lpwstr>
  </property>
  <property fmtid="{D5CDD505-2E9C-101B-9397-08002B2CF9AE}" pid="7" name="MSIP_Label_17cb76b2-10b8-4fe1-93d4-2202842406cd_SetDate">
    <vt:lpwstr>2020-02-10T12:22:04.7235243Z</vt:lpwstr>
  </property>
  <property fmtid="{D5CDD505-2E9C-101B-9397-08002B2CF9AE}" pid="8" name="MSIP_Label_17cb76b2-10b8-4fe1-93d4-2202842406cd_SiteId">
    <vt:lpwstr>945c199a-83a2-4e80-9f8c-5a91be5752dd</vt:lpwstr>
  </property>
  <property fmtid="{D5CDD505-2E9C-101B-9397-08002B2CF9AE}" pid="9" name="aiplabel">
    <vt:lpwstr>External Public</vt:lpwstr>
  </property>
</Properties>
</file>