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charts/_rels/chart4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embeddings/Microsoft_Excel_Worksheet.xlsx" ContentType="application/vnd.openxmlformats-officedocument.spreadsheetml.sheet"/>
  <Override PartName="/word/embeddings/Microsoft_Excel_Worksheet3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TES MI s.r.o.  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1  </w:t>
      </w:r>
    </w:p>
    <w:p>
      <w:pPr>
        <w:pStyle w:val="Normal"/>
        <w:tabs>
          <w:tab w:val="clear" w:pos="720"/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TES MI s.r.o., Továrenská 2, 071 01 Michalovce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36 190 217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056/6884741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2019 - 2021</w:t>
        <w:tab/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2021: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2021</w:t>
        <w:tab/>
        <w:tab/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2019-2021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9 – 2 0 2 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/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2019 – 2021                                 P A S Í V A 2019 - 2021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anchor>
        </w:drawing>
        <w:drawing>
          <wp:inline distT="0" distB="0" distL="0" distR="0">
            <wp:extent cx="2625725" cy="3974465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2021</w:t>
      </w:r>
    </w:p>
    <w:p>
      <w:pPr>
        <w:pStyle w:val="Normal"/>
        <w:tabs>
          <w:tab w:val="clear" w:pos="720"/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41010" cy="2978785"/>
            <wp:effectExtent l="0" t="0" r="0" b="0"/>
            <wp:docPr id="4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2021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TES MI s.r.o. v priebehu roka 2021 vykonávala svoju činnosť v štandardnom režime bez mimoriadnych výkyvov, rizík a neistôt.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31.12.2021</w:t>
        <w:tab/>
        <w:t xml:space="preserve">  k 31.12.2020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    315 762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1,16 %</w:t>
        <w:tab/>
        <w:t xml:space="preserve">    3,72 %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27 139 051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   314 866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3,13 %</w:t>
        <w:tab/>
        <w:t xml:space="preserve">  10,71 %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10 071 278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 314 866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  1,46 %</w:t>
        <w:tab/>
        <w:t xml:space="preserve">    5,54 %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21 511 954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21 511 954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98,55 % </w:t>
        <w:tab/>
        <w:t xml:space="preserve">     94,75 %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21 826 820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90"/>
        <w:gridCol w:w="1647"/>
        <w:gridCol w:w="1188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31.12.2020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31.12.2021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2021 – 2020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12 842 203</w:t>
            </w:r>
          </w:p>
        </w:tc>
        <w:tc>
          <w:tcPr>
            <w:tcW w:w="11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47,3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10 096 111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38,0</w:t>
            </w:r>
          </w:p>
        </w:tc>
        <w:tc>
          <w:tcPr>
            <w:tcW w:w="1504" w:type="dxa"/>
            <w:tcBorders>
              <w:top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- 2 746 092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14 280 836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52,6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16 443 294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61,9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+ 2 162 458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688 525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2,5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2 827 734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10,6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+ 2 139 209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3 640 698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13,4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4 397 102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16,6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+ 756 404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9 951 613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36,7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9 218 458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34,7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- 733 155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16 012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13 575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- 2 437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27 139 051</w:t>
            </w:r>
          </w:p>
        </w:tc>
        <w:tc>
          <w:tcPr>
            <w:tcW w:w="1190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26 552 980</w:t>
            </w:r>
          </w:p>
        </w:tc>
        <w:tc>
          <w:tcPr>
            <w:tcW w:w="1188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- 586 071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10 071 278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37,1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8 339 915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31,4</w:t>
            </w:r>
          </w:p>
        </w:tc>
        <w:tc>
          <w:tcPr>
            <w:tcW w:w="1504" w:type="dxa"/>
            <w:tcBorders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- 1 731 363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17 067 773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62,9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18 213 065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68,6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+ 1 145 292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619 084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2,3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- 619 084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27 139 051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26 552 980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- 586 071</w:t>
            </w:r>
          </w:p>
        </w:tc>
      </w:tr>
    </w:tbl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2021               2020</w:t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 8 339 915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 82,6 %           78,4 %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10 096 111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8 339 915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31,4 %</w:t>
        <w:tab/>
        <w:t xml:space="preserve">           37,1 %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Celkové aktíva          26 552 980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Cudzí kapitál             18 213 065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68,6 %</w:t>
        <w:tab/>
        <w:t xml:space="preserve">           62,9 %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26 552 980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                 2,3 %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 9 218 458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–––––––––––– =  2,213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4 165 608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13 615 560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=  3,268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4 165 608   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16 443 294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3,947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4 165 608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clear" w:pos="720"/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16 443 294 – 4 165 608 =  12 277 686 €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potrebné uviesť vo výročnej správe.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Účtovná jednotka bude pokračovať vo svojej činnosti v rozsahu roku 2021.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Spoločnosť nečerpala žiadne náklady na vedu a výskum.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2021 a na rozdelenie zisku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TES MI s.r.o. v zmysle spoločenskej zmluvy po preskúmaní ročnej účtovnej závierky a výročnej správy za rok 2021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2021.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+ 314 866,35 €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   </w:t>
      </w:r>
      <w:r>
        <w:rPr>
          <w:rFonts w:ascii="Times New Roman" w:hAnsi="Times New Roman"/>
          <w:sz w:val="22"/>
          <w:szCs w:val="22"/>
        </w:rPr>
        <w:t xml:space="preserve">68 360.- €, podiel na zisku menšinových vlastníkov </w:t>
        <w:tab/>
        <w:t xml:space="preserve">    </w:t>
      </w:r>
    </w:p>
    <w:p>
      <w:pPr>
        <w:pStyle w:val="Normal"/>
        <w:tabs>
          <w:tab w:val="clear" w:pos="720"/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246 506,35 €, v prospech nerozdeleného zisku minulých rokov                  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01.01.2021 - 31.12.2021, 2020, 2019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21 826 820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20 558 529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21 113 472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21 592 002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20 281 645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20 822 112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208 959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78 448 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206 568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14 859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15 412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6 344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21 488 417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19 157 289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19 767 594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16 763 519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14 748 979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15 778 188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2 214 631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1 989 194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1 904 718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492 414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503 558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469 766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320 540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330 894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303 568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114 108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116 467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106 167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57 766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56 197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60 030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33 174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26 573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26 018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1 918 702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1 824 921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1 428 342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334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60 000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519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2 871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2 767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65 124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61 283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97 795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338 403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1 401 240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1 345 878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2 822 811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3 805 034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3 217 654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505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10 267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10 267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7 864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20 527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31 538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896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13 295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23 961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3 039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6 861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7 188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4 538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- 7 864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- 20 022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- 21 271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330 539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1 381 218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1 324 607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280 858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276 609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15 673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20 360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12 831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314 866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1 080 000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1 035 167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31.12.2021, 2020, 2019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10 096 111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12 842 203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12 628 716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6 992 675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9 666 652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9 394 161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846 359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2 051 245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2 341 677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2 632 108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4 007 411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6 226 372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3 384 989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87 660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251 910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2 530 371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3 103 436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3 175 551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3 234 555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3 103 436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3 175 551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3 234 555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16 443 294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14 280 836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16 777 174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2 827 734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688 525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2 237 939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Materiál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2 740 366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601 157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2 150 571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Tovar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Cs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Odložená daňová pohľadávka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157 536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3 415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10 002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4 239 566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3 637 283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4 094 064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3 935 937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3 615 031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4 072 219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22 174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17 679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9 380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281 378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3 396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9 288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1 177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9 218 458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9 951 613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10 435 169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7 087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5 059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9 445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9 211 371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9 946 554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10 425 724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13 575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16 012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13 467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13 575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16 012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13 467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26 552 980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31.12.2021, 2020, 2019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31 12.2020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8 339 915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10 071 278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10 086 537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2 094 215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2 166 330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2 225 334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5 904 174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6 798 288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6 799 376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314 866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1 080 000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1 035 167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18 213 065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17 067 773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19 332 820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14 047 457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14 033 424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13 019 053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13 986 519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13 986 519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12 986 519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16 441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15 893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15 295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44 497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31 012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17 239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4 145 824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2 394 919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3 579 215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3 852 640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2 028 632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3 316 470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17 644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16 024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16 762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21 201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20 510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20 207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196 839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277 430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178 353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57 500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52 323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47 423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19 784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20 346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19 903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2 095 565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26 552 980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/>
      </w:r>
    </w:p>
    <w:sectPr>
      <w:headerReference w:type="default" r:id="rId6"/>
      <w:footerReference w:type="default" r:id="rId7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0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3370"/>
              <wp:effectExtent l="0" t="0" r="0" b="0"/>
              <wp:wrapSquare wrapText="bothSides"/>
              <wp:docPr id="5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33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  <w:sz w:val="24"/>
                            </w:rPr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3.1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  <w:sz w:val="24"/>
                      </w:rPr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10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MS Serif" w:hAnsi="MS Serif" w:eastAsia="Times New Roman" w:cs="Times New Roman"/>
      <w:color w:val="auto"/>
      <w:kern w:val="0"/>
      <w:sz w:val="20"/>
      <w:szCs w:val="20"/>
      <w:lang w:val="sk-SK" w:eastAsia="cs-CZ" w:bidi="ar-SA"/>
    </w:rPr>
  </w:style>
  <w:style w:type="paragraph" w:styleId="Nadpis1">
    <w:name w:val="Heading 1"/>
    <w:basedOn w:val="Normal"/>
    <w:next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next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next w:val="NormalIndent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next w:val="NormalIndent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next w:val="NormalIndent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next w:val="NormalIndent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next w:val="NormalIndent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next w:val="NormalIndent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next w:val="NormalIndent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sz w:val="16"/>
      <w:szCs w:val="16"/>
      <w:vertAlign w:val="superscript"/>
    </w:rPr>
  </w:style>
  <w:style w:type="character" w:styleId="FootnoteCharacters">
    <w:name w:val="Footnote Characters"/>
    <w:semiHidden/>
    <w:qFormat/>
    <w:rPr>
      <w:sz w:val="16"/>
      <w:szCs w:val="16"/>
      <w:vertAlign w:val="superscript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20"/>
        <w:tab w:val="center" w:pos="4819" w:leader="none"/>
        <w:tab w:val="right" w:pos="9071" w:leader="none"/>
      </w:tabs>
    </w:pPr>
    <w:rPr/>
  </w:style>
  <w:style w:type="paragraph" w:styleId="Poznmkapodiarou">
    <w:name w:val="Footnote Text"/>
    <w:basedOn w:val="Normal"/>
    <w:semiHidden/>
    <w:pPr/>
    <w:rPr/>
  </w:style>
  <w:style w:type="paragraph" w:styleId="Odsadenietelatextu">
    <w:name w:val="Body Text Indent"/>
    <w:basedOn w:val="Normal"/>
    <w:pPr>
      <w:tabs>
        <w:tab w:val="clear" w:pos="720"/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clear" w:pos="720"/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chart" Target="charts/chart4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1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4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330625"/>
          <c:y val="0.0452222222222222"/>
          <c:w val="0.85025"/>
          <c:h val="0.87244444444444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20822112</c:v>
                </c:pt>
                <c:pt idx="1">
                  <c:v>20281645</c:v>
                </c:pt>
                <c:pt idx="2">
                  <c:v>21592002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3217654</c:v>
                </c:pt>
                <c:pt idx="1">
                  <c:v>3805034</c:v>
                </c:pt>
                <c:pt idx="2">
                  <c:v>2822811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1035167</c:v>
                </c:pt>
                <c:pt idx="1">
                  <c:v>1080000</c:v>
                </c:pt>
                <c:pt idx="2">
                  <c:v>314866</c:v>
                </c:pt>
              </c:numCache>
            </c:numRef>
          </c:val>
        </c:ser>
        <c:gapWidth val="50"/>
        <c:overlap val="30"/>
        <c:axId val="75878271"/>
        <c:axId val="83898816"/>
      </c:barChart>
      <c:catAx>
        <c:axId val="75878271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3898816"/>
        <c:crosses val="autoZero"/>
        <c:auto val="1"/>
        <c:lblAlgn val="ctr"/>
        <c:lblOffset val="100"/>
        <c:noMultiLvlLbl val="0"/>
      </c:catAx>
      <c:valAx>
        <c:axId val="83898816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75878271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30925"/>
          <c:y val="0.343777777777778"/>
          <c:w val="0.232889555597225"/>
          <c:h val="0.131681297921991"/>
        </c:manualLayout>
      </c:layout>
      <c:overlay val="0"/>
      <c:spPr>
        <a:noFill/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7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375"/>
          <c:y val="0.0537777777777778"/>
          <c:w val="0.692"/>
          <c:h val="0.84844444444444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10086537</c:v>
                </c:pt>
                <c:pt idx="1">
                  <c:v>10071278</c:v>
                </c:pt>
                <c:pt idx="2">
                  <c:v>8339915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19332820</c:v>
                </c:pt>
                <c:pt idx="1">
                  <c:v>17067773</c:v>
                </c:pt>
                <c:pt idx="2">
                  <c:v>18213065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</c:numCache>
            </c:numRef>
          </c:val>
        </c:ser>
        <c:gapWidth val="50"/>
        <c:overlap val="100"/>
        <c:axId val="77069983"/>
        <c:axId val="89851309"/>
      </c:barChart>
      <c:catAx>
        <c:axId val="77069983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9851309"/>
        <c:crosses val="autoZero"/>
        <c:auto val="1"/>
        <c:lblAlgn val="ctr"/>
        <c:lblOffset val="100"/>
        <c:noMultiLvlLbl val="0"/>
      </c:catAx>
      <c:valAx>
        <c:axId val="89851309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77069983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10625"/>
          <c:y val="0.434444444444444"/>
          <c:w val="0.448653040815051"/>
          <c:h val="0.1656850761195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06875"/>
          <c:y val="0.054"/>
          <c:w val="0.6955"/>
          <c:h val="0.84766666666666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12628716</c:v>
                </c:pt>
                <c:pt idx="1">
                  <c:v>12842203</c:v>
                </c:pt>
                <c:pt idx="2">
                  <c:v>10096111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16777174</c:v>
                </c:pt>
                <c:pt idx="1">
                  <c:v>14280836</c:v>
                </c:pt>
                <c:pt idx="2">
                  <c:v>16443294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13467</c:v>
                </c:pt>
                <c:pt idx="1">
                  <c:v>16012</c:v>
                </c:pt>
                <c:pt idx="2">
                  <c:v>13575</c:v>
                </c:pt>
              </c:numCache>
            </c:numRef>
          </c:val>
        </c:ser>
        <c:gapWidth val="50"/>
        <c:overlap val="100"/>
        <c:axId val="77551487"/>
        <c:axId val="44981305"/>
      </c:barChart>
      <c:catAx>
        <c:axId val="77551487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44981305"/>
        <c:crosses val="autoZero"/>
        <c:auto val="1"/>
        <c:lblAlgn val="ctr"/>
        <c:lblOffset val="100"/>
        <c:noMultiLvlLbl val="0"/>
      </c:catAx>
      <c:valAx>
        <c:axId val="44981305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77551487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06"/>
          <c:y val="0.390555555555556"/>
          <c:w val="0.499031189449341"/>
          <c:h val="0.1569063229247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20625"/>
          <c:y val="0.0725555555555556"/>
          <c:w val="0.863625"/>
          <c:h val="0.8613333333333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1.1.2021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9951613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382010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-427373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-687792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31.12.2021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9218458</c:v>
                </c:pt>
              </c:numCache>
            </c:numRef>
          </c:val>
        </c:ser>
        <c:gapWidth val="50"/>
        <c:overlap val="30"/>
        <c:axId val="86709307"/>
        <c:axId val="31690636"/>
      </c:barChart>
      <c:catAx>
        <c:axId val="86709307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31690636"/>
        <c:crosses val="autoZero"/>
        <c:auto val="1"/>
        <c:lblAlgn val="ctr"/>
        <c:lblOffset val="100"/>
        <c:noMultiLvlLbl val="0"/>
      </c:catAx>
      <c:valAx>
        <c:axId val="31690636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6709307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529375"/>
          <c:y val="0.0968888888888889"/>
          <c:w val="0.289580598787424"/>
          <c:h val="0.349816646294033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BCF9C-BD25-4625-8908-D1B459F4F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Application>LibreOffice/7.0.4.2$Windows_X86_64 LibreOffice_project/dcf040e67528d9187c66b2379df5ea4407429775</Application>
  <AppVersion>15.0000</AppVersion>
  <Pages>38</Pages>
  <Words>1887</Words>
  <Characters>8618</Characters>
  <CharactersWithSpaces>11423</CharactersWithSpaces>
  <Paragraphs>590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2020-11-02T18:49:00Z</cp:lastPrinted>
  <dcterms:modified xsi:type="dcterms:W3CDTF">2022-05-23T06:51:00Z</dcterms:modified>
  <cp:revision>80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Application">
    <vt:lpwstr>Microsoft Azure Information Protection</vt:lpwstr>
  </property>
  <property fmtid="{D5CDD505-2E9C-101B-9397-08002B2CF9AE}" pid="3" name="MSIP_Label_17cb76b2-10b8-4fe1-93d4-2202842406cd_Enabled">
    <vt:lpwstr>True</vt:lpwstr>
  </property>
  <property fmtid="{D5CDD505-2E9C-101B-9397-08002B2CF9AE}" pid="4" name="MSIP_Label_17cb76b2-10b8-4fe1-93d4-2202842406cd_Extended_MSFT_Method">
    <vt:lpwstr>Manual</vt:lpwstr>
  </property>
  <property fmtid="{D5CDD505-2E9C-101B-9397-08002B2CF9AE}" pid="5" name="MSIP_Label_17cb76b2-10b8-4fe1-93d4-2202842406cd_Name">
    <vt:lpwstr>External Public</vt:lpwstr>
  </property>
  <property fmtid="{D5CDD505-2E9C-101B-9397-08002B2CF9AE}" pid="6" name="MSIP_Label_17cb76b2-10b8-4fe1-93d4-2202842406cd_Owner">
    <vt:lpwstr>Martin_Sepelak@dell.com</vt:lpwstr>
  </property>
  <property fmtid="{D5CDD505-2E9C-101B-9397-08002B2CF9AE}" pid="7" name="MSIP_Label_17cb76b2-10b8-4fe1-93d4-2202842406cd_SetDate">
    <vt:lpwstr>2020-02-10T12:22:04.7235243Z</vt:lpwstr>
  </property>
  <property fmtid="{D5CDD505-2E9C-101B-9397-08002B2CF9AE}" pid="8" name="MSIP_Label_17cb76b2-10b8-4fe1-93d4-2202842406cd_SiteId">
    <vt:lpwstr>945c199a-83a2-4e80-9f8c-5a91be5752dd</vt:lpwstr>
  </property>
  <property fmtid="{D5CDD505-2E9C-101B-9397-08002B2CF9AE}" pid="9" name="aiplabel">
    <vt:lpwstr>External Public</vt:lpwstr>
  </property>
</Properties>
</file>