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7072" w:rsidRPr="00105DB1" w:rsidRDefault="00817072" w:rsidP="004E2272">
      <w:pPr>
        <w:pStyle w:val="Heading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bookmarkStart w:id="0" w:name="_Toc530739894"/>
      <w:r w:rsidRPr="00105DB1">
        <w:rPr>
          <w:rFonts w:ascii="Times New Roman" w:hAnsi="Times New Roman" w:cs="Times New Roman"/>
          <w:szCs w:val="18"/>
        </w:rPr>
        <w:t>Informácie o účtovnej jednotke</w:t>
      </w:r>
      <w:bookmarkEnd w:id="0"/>
    </w:p>
    <w:p w:rsidR="00817072" w:rsidRPr="00105DB1" w:rsidRDefault="00817072" w:rsidP="004E2272">
      <w:pPr>
        <w:pStyle w:val="Heading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t>Založenie spoločnosti</w:t>
      </w:r>
    </w:p>
    <w:p w:rsidR="00817072" w:rsidRPr="00105DB1" w:rsidRDefault="00817072" w:rsidP="00817072">
      <w:pPr>
        <w:pStyle w:val="Header"/>
        <w:tabs>
          <w:tab w:val="clear" w:pos="4536"/>
          <w:tab w:val="clear" w:pos="9072"/>
          <w:tab w:val="center" w:pos="3969"/>
          <w:tab w:val="right" w:pos="9214"/>
        </w:tabs>
        <w:rPr>
          <w:rFonts w:ascii="Times New Roman" w:hAnsi="Times New Roman"/>
          <w:b w:val="0"/>
          <w:color w:val="000000" w:themeColor="text1"/>
          <w:sz w:val="18"/>
          <w:szCs w:val="18"/>
        </w:rPr>
      </w:pP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>Spoločnosť SITA Slovenská tlačová agentúra a.s.</w:t>
      </w: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 xml:space="preserve"> </w:t>
      </w: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 xml:space="preserve">(ďalej len Spoločnosť), bola založená </w:t>
      </w: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>26. novembra 1997</w:t>
      </w: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 xml:space="preserve"> a do obchodného registra bola zapísaná </w:t>
      </w: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>27. apríla 1998</w:t>
      </w: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 xml:space="preserve"> (Obchodný register Okresného súdu Bratislava I v Bratislave, oddiel s.r.o., vložka </w:t>
      </w: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>1728</w:t>
      </w:r>
      <w:r w:rsidRPr="00105DB1">
        <w:rPr>
          <w:rFonts w:ascii="Times New Roman" w:hAnsi="Times New Roman"/>
          <w:b w:val="0"/>
          <w:color w:val="000000" w:themeColor="text1"/>
          <w:sz w:val="18"/>
          <w:szCs w:val="18"/>
        </w:rPr>
        <w:t xml:space="preserve">/B). </w:t>
      </w:r>
    </w:p>
    <w:p w:rsidR="00817072" w:rsidRPr="00105DB1" w:rsidRDefault="00817072" w:rsidP="00817072">
      <w:pPr>
        <w:rPr>
          <w:rFonts w:ascii="Times New Roman" w:hAnsi="Times New Roman"/>
          <w:color w:val="000000" w:themeColor="text1"/>
          <w:sz w:val="18"/>
          <w:szCs w:val="18"/>
        </w:rPr>
      </w:pPr>
    </w:p>
    <w:p w:rsidR="00817072" w:rsidRPr="00105DB1" w:rsidRDefault="00817072" w:rsidP="004E2272">
      <w:pPr>
        <w:pStyle w:val="Heading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bookmarkStart w:id="1" w:name="_Toc530739896"/>
      <w:r w:rsidRPr="00105DB1">
        <w:rPr>
          <w:rFonts w:ascii="Times New Roman" w:hAnsi="Times New Roman" w:cs="Times New Roman"/>
          <w:sz w:val="18"/>
          <w:szCs w:val="18"/>
        </w:rPr>
        <w:t>Hlavnými činnosťami Spoločnosti sú:</w:t>
      </w:r>
      <w:bookmarkEnd w:id="1"/>
    </w:p>
    <w:p w:rsidR="00817072" w:rsidRPr="00105DB1" w:rsidRDefault="00817072" w:rsidP="004E2272">
      <w:pPr>
        <w:pStyle w:val="Body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činnosť spravodajskej tlačovej kancelárie,</w:t>
      </w:r>
    </w:p>
    <w:p w:rsidR="00817072" w:rsidRPr="00105DB1" w:rsidRDefault="00817072" w:rsidP="004E2272">
      <w:pPr>
        <w:pStyle w:val="Body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nákup a predaj agentúrnych správ, fotografií, televíznych šotov, rozhlasových relácií a ďalších informácií,</w:t>
      </w:r>
    </w:p>
    <w:p w:rsidR="00817072" w:rsidRPr="00105DB1" w:rsidRDefault="00817072" w:rsidP="004E2272">
      <w:pPr>
        <w:pStyle w:val="Body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reklamná činnosť</w:t>
      </w:r>
      <w:r w:rsidRPr="00105DB1">
        <w:rPr>
          <w:rFonts w:ascii="Times New Roman" w:hAnsi="Times New Roman"/>
          <w:sz w:val="18"/>
          <w:szCs w:val="18"/>
        </w:rPr>
        <w:t>,</w:t>
      </w:r>
    </w:p>
    <w:p w:rsidR="00817072" w:rsidRPr="00105DB1" w:rsidRDefault="00817072" w:rsidP="004E2272">
      <w:pPr>
        <w:pStyle w:val="Body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vydavateľská činnosť</w:t>
      </w:r>
      <w:r w:rsidRPr="00105DB1">
        <w:rPr>
          <w:rFonts w:ascii="Times New Roman" w:hAnsi="Times New Roman"/>
          <w:sz w:val="18"/>
          <w:szCs w:val="18"/>
        </w:rPr>
        <w:t>.</w:t>
      </w:r>
    </w:p>
    <w:p w:rsidR="00817072" w:rsidRPr="00105DB1" w:rsidRDefault="00817072" w:rsidP="00817072">
      <w:pPr>
        <w:pStyle w:val="BodyText"/>
        <w:rPr>
          <w:rFonts w:ascii="Times New Roman" w:hAnsi="Times New Roman"/>
          <w:sz w:val="18"/>
          <w:szCs w:val="18"/>
        </w:rPr>
      </w:pPr>
    </w:p>
    <w:p w:rsidR="00817072" w:rsidRPr="00105DB1" w:rsidRDefault="00817072" w:rsidP="004E2272">
      <w:pPr>
        <w:pStyle w:val="Heading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t xml:space="preserve">Počet zamestnancov </w:t>
      </w:r>
    </w:p>
    <w:p w:rsidR="00817072" w:rsidRPr="00105DB1" w:rsidRDefault="00817072" w:rsidP="00817072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Údaje o počte zamestnancov za bežné účtovné obdobie a bezprostredne predchádzajúce účtovné obdobie sú uvedené v nasledujúcom prehľade:</w:t>
      </w:r>
    </w:p>
    <w:bookmarkStart w:id="2" w:name="_MON_1450591364"/>
    <w:bookmarkEnd w:id="2"/>
    <w:p w:rsidR="00817072" w:rsidRPr="00105DB1" w:rsidRDefault="00817072" w:rsidP="00817072">
      <w:pPr>
        <w:pStyle w:val="BodyText"/>
        <w:rPr>
          <w:rFonts w:ascii="Times New Roman" w:hAnsi="Times New Roman"/>
          <w:color w:val="FF0000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40.25pt;height:90pt" o:ole="" o:preferrelative="f">
            <v:imagedata r:id="rId8" o:title=""/>
            <o:lock v:ext="edit" aspectratio="f"/>
          </v:shape>
          <o:OLEObject Type="Embed" ProgID="Excel.Sheet.12" ShapeID="_x0000_i1043" DrawAspect="Content" ObjectID="_1716190431" r:id="rId9"/>
        </w:object>
      </w:r>
    </w:p>
    <w:p w:rsidR="00817072" w:rsidRPr="00105DB1" w:rsidRDefault="00817072" w:rsidP="00817072">
      <w:pPr>
        <w:pStyle w:val="BodyText"/>
        <w:rPr>
          <w:rFonts w:ascii="Times New Roman" w:hAnsi="Times New Roman"/>
          <w:sz w:val="18"/>
          <w:szCs w:val="18"/>
        </w:rPr>
      </w:pPr>
    </w:p>
    <w:p w:rsidR="00817072" w:rsidRPr="00105DB1" w:rsidRDefault="00817072" w:rsidP="004E2272">
      <w:pPr>
        <w:pStyle w:val="Heading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t>Údaje o neobmedzenom ručení</w:t>
      </w:r>
    </w:p>
    <w:p w:rsidR="00817072" w:rsidRPr="00105DB1" w:rsidRDefault="00817072" w:rsidP="00817072">
      <w:pPr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17072" w:rsidRPr="00105DB1" w:rsidRDefault="00817072" w:rsidP="00817072">
      <w:pPr>
        <w:pStyle w:val="BodyText"/>
        <w:rPr>
          <w:rFonts w:ascii="Times New Roman" w:hAnsi="Times New Roman"/>
          <w:sz w:val="18"/>
          <w:szCs w:val="18"/>
        </w:rPr>
      </w:pPr>
    </w:p>
    <w:p w:rsidR="00817072" w:rsidRPr="00105DB1" w:rsidRDefault="00817072" w:rsidP="004E2272">
      <w:pPr>
        <w:pStyle w:val="Heading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t>Právny dôvod na zostavenie účtovnej závierky</w:t>
      </w:r>
    </w:p>
    <w:p w:rsidR="00817072" w:rsidRPr="00105DB1" w:rsidRDefault="00817072" w:rsidP="00817072">
      <w:pPr>
        <w:pStyle w:val="BodyText"/>
        <w:ind w:hanging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ab/>
        <w:t>Účtovná závierka Spoločnosti k 31. decembru 20</w:t>
      </w:r>
      <w:r w:rsidRPr="00105DB1">
        <w:rPr>
          <w:rFonts w:ascii="Times New Roman" w:hAnsi="Times New Roman"/>
          <w:sz w:val="18"/>
          <w:szCs w:val="18"/>
        </w:rPr>
        <w:t>21</w:t>
      </w:r>
      <w:r w:rsidRPr="00105DB1">
        <w:rPr>
          <w:rFonts w:ascii="Times New Roman" w:hAnsi="Times New Roman"/>
          <w:sz w:val="18"/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Pr="00105DB1">
        <w:rPr>
          <w:rFonts w:ascii="Times New Roman" w:hAnsi="Times New Roman"/>
          <w:sz w:val="18"/>
          <w:szCs w:val="18"/>
        </w:rPr>
        <w:t>21</w:t>
      </w:r>
      <w:r w:rsidRPr="00105DB1">
        <w:rPr>
          <w:rFonts w:ascii="Times New Roman" w:hAnsi="Times New Roman"/>
          <w:sz w:val="18"/>
          <w:szCs w:val="18"/>
        </w:rPr>
        <w:t xml:space="preserve"> do 31. decembra 20</w:t>
      </w:r>
      <w:r w:rsidRPr="00105DB1">
        <w:rPr>
          <w:rFonts w:ascii="Times New Roman" w:hAnsi="Times New Roman"/>
          <w:sz w:val="18"/>
          <w:szCs w:val="18"/>
        </w:rPr>
        <w:t>21</w:t>
      </w:r>
      <w:r w:rsidRPr="00105DB1">
        <w:rPr>
          <w:rFonts w:ascii="Times New Roman" w:hAnsi="Times New Roman"/>
          <w:sz w:val="18"/>
          <w:szCs w:val="18"/>
        </w:rPr>
        <w:t>.</w:t>
      </w:r>
    </w:p>
    <w:p w:rsidR="00817072" w:rsidRPr="00105DB1" w:rsidRDefault="00817072" w:rsidP="00817072">
      <w:pPr>
        <w:pStyle w:val="BodyText"/>
        <w:ind w:hanging="426"/>
        <w:rPr>
          <w:rFonts w:ascii="Times New Roman" w:hAnsi="Times New Roman"/>
          <w:sz w:val="18"/>
          <w:szCs w:val="18"/>
        </w:rPr>
      </w:pPr>
    </w:p>
    <w:p w:rsidR="00817072" w:rsidRPr="00105DB1" w:rsidRDefault="00817072" w:rsidP="004E2272">
      <w:pPr>
        <w:pStyle w:val="Heading2"/>
        <w:numPr>
          <w:ilvl w:val="0"/>
          <w:numId w:val="5"/>
        </w:numPr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t>Dátum schválenia účtovnej závierky za predchádzajúce účtovné obdobie</w:t>
      </w:r>
    </w:p>
    <w:p w:rsidR="00817072" w:rsidRPr="00105DB1" w:rsidRDefault="00817072" w:rsidP="00817072">
      <w:pPr>
        <w:pStyle w:val="BodyText"/>
        <w:ind w:hanging="426"/>
        <w:rPr>
          <w:rFonts w:ascii="Times New Roman" w:hAnsi="Times New Roman"/>
          <w:color w:val="000000" w:themeColor="text1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ab/>
        <w:t>Účtovná závierka</w:t>
      </w:r>
      <w:r w:rsidRPr="00105DB1">
        <w:rPr>
          <w:rFonts w:ascii="Times New Roman" w:hAnsi="Times New Roman"/>
          <w:sz w:val="18"/>
          <w:szCs w:val="18"/>
        </w:rPr>
        <w:t xml:space="preserve"> Spoločnosti k 31. decembru 2020</w:t>
      </w:r>
      <w:r w:rsidRPr="00105DB1">
        <w:rPr>
          <w:rFonts w:ascii="Times New Roman" w:hAnsi="Times New Roman"/>
          <w:sz w:val="18"/>
          <w:szCs w:val="18"/>
        </w:rPr>
        <w:t xml:space="preserve">, za predchádzajúce účtovné obdobie, bola schválená valným zhromaždením Spoločnosti dňa </w:t>
      </w:r>
      <w:r w:rsidRPr="00105DB1">
        <w:rPr>
          <w:rFonts w:ascii="Times New Roman" w:hAnsi="Times New Roman"/>
          <w:color w:val="000000" w:themeColor="text1"/>
          <w:sz w:val="18"/>
          <w:szCs w:val="18"/>
        </w:rPr>
        <w:t>27</w:t>
      </w:r>
      <w:r w:rsidRPr="00105DB1">
        <w:rPr>
          <w:rFonts w:ascii="Times New Roman" w:hAnsi="Times New Roman"/>
          <w:color w:val="000000" w:themeColor="text1"/>
          <w:sz w:val="18"/>
          <w:szCs w:val="18"/>
        </w:rPr>
        <w:t>.</w:t>
      </w:r>
      <w:r w:rsidR="00605792">
        <w:rPr>
          <w:rFonts w:ascii="Times New Roman" w:hAnsi="Times New Roman"/>
          <w:color w:val="000000" w:themeColor="text1"/>
          <w:sz w:val="18"/>
          <w:szCs w:val="18"/>
        </w:rPr>
        <w:t xml:space="preserve"> </w:t>
      </w:r>
      <w:r w:rsidRPr="00105DB1">
        <w:rPr>
          <w:rFonts w:ascii="Times New Roman" w:hAnsi="Times New Roman"/>
          <w:color w:val="000000" w:themeColor="text1"/>
          <w:sz w:val="18"/>
          <w:szCs w:val="18"/>
        </w:rPr>
        <w:t>septembra</w:t>
      </w:r>
      <w:r w:rsidRPr="00105DB1">
        <w:rPr>
          <w:rFonts w:ascii="Times New Roman" w:hAnsi="Times New Roman"/>
          <w:color w:val="000000" w:themeColor="text1"/>
          <w:sz w:val="18"/>
          <w:szCs w:val="18"/>
        </w:rPr>
        <w:t xml:space="preserve"> 202</w:t>
      </w:r>
      <w:r w:rsidRPr="00105DB1">
        <w:rPr>
          <w:rFonts w:ascii="Times New Roman" w:hAnsi="Times New Roman"/>
          <w:color w:val="000000" w:themeColor="text1"/>
          <w:sz w:val="18"/>
          <w:szCs w:val="18"/>
        </w:rPr>
        <w:t>1.</w:t>
      </w:r>
    </w:p>
    <w:p w:rsidR="00817072" w:rsidRPr="00105DB1" w:rsidRDefault="00817072" w:rsidP="00817072">
      <w:pPr>
        <w:pStyle w:val="BodyText"/>
        <w:ind w:hanging="426"/>
        <w:rPr>
          <w:rFonts w:ascii="Times New Roman" w:hAnsi="Times New Roman"/>
          <w:color w:val="000000" w:themeColor="text1"/>
          <w:sz w:val="18"/>
          <w:szCs w:val="18"/>
        </w:rPr>
      </w:pPr>
    </w:p>
    <w:p w:rsidR="00C42AA4" w:rsidRPr="00105DB1" w:rsidRDefault="00C42AA4" w:rsidP="004E2272">
      <w:pPr>
        <w:pStyle w:val="Heading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r w:rsidRPr="00105DB1">
        <w:rPr>
          <w:rFonts w:ascii="Times New Roman" w:hAnsi="Times New Roman" w:cs="Times New Roman"/>
          <w:szCs w:val="18"/>
        </w:rPr>
        <w:t>Informácie o konsolidovanom celku</w:t>
      </w:r>
    </w:p>
    <w:p w:rsidR="00D37174" w:rsidRDefault="00D37174" w:rsidP="00D37174">
      <w:pPr>
        <w:pStyle w:val="BodyText"/>
        <w:rPr>
          <w:rFonts w:ascii="Times New Roman" w:hAnsi="Times New Roman"/>
          <w:sz w:val="18"/>
          <w:szCs w:val="18"/>
        </w:rPr>
      </w:pPr>
      <w:r w:rsidRPr="00D37174">
        <w:rPr>
          <w:rFonts w:ascii="Times New Roman" w:hAnsi="Times New Roman"/>
          <w:sz w:val="18"/>
          <w:szCs w:val="18"/>
        </w:rPr>
        <w:t xml:space="preserve">Spoločnosť je </w:t>
      </w:r>
      <w:r>
        <w:rPr>
          <w:rFonts w:ascii="Times New Roman" w:hAnsi="Times New Roman"/>
          <w:sz w:val="18"/>
          <w:szCs w:val="18"/>
        </w:rPr>
        <w:t>materskou účtovnou jednotkou, vlastní 100% podiel v spoločnosti</w:t>
      </w:r>
      <w:r w:rsidR="005C2C15" w:rsidRPr="005C2C15">
        <w:rPr>
          <w:rFonts w:ascii="Times New Roman" w:hAnsi="Times New Roman"/>
          <w:sz w:val="18"/>
          <w:szCs w:val="18"/>
        </w:rPr>
        <w:t xml:space="preserve"> Slovenská monitorovacia agentúra a. s.</w:t>
      </w:r>
      <w:r w:rsidR="005C2C15">
        <w:rPr>
          <w:rFonts w:ascii="Times New Roman" w:hAnsi="Times New Roman"/>
          <w:sz w:val="18"/>
          <w:szCs w:val="18"/>
        </w:rPr>
        <w:t>.</w:t>
      </w:r>
    </w:p>
    <w:p w:rsidR="00D37174" w:rsidRPr="00D37174" w:rsidRDefault="00D37174" w:rsidP="00D37174">
      <w:pPr>
        <w:pStyle w:val="BodyTex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Spoločnosť </w:t>
      </w:r>
      <w:r w:rsidRPr="00D37174">
        <w:rPr>
          <w:rFonts w:ascii="Times New Roman" w:hAnsi="Times New Roman"/>
          <w:sz w:val="18"/>
          <w:szCs w:val="18"/>
        </w:rPr>
        <w:t>nemá povinnosť zostaviť konsolidovanú účtovnú závierku</w:t>
      </w:r>
      <w:r>
        <w:rPr>
          <w:rFonts w:ascii="Times New Roman" w:hAnsi="Times New Roman"/>
          <w:sz w:val="18"/>
          <w:szCs w:val="18"/>
        </w:rPr>
        <w:t>, nakoľko</w:t>
      </w:r>
      <w:r w:rsidRPr="00D37174">
        <w:t xml:space="preserve"> </w:t>
      </w:r>
      <w:r w:rsidRPr="00D37174">
        <w:rPr>
          <w:rFonts w:ascii="Times New Roman" w:hAnsi="Times New Roman"/>
          <w:sz w:val="18"/>
          <w:szCs w:val="18"/>
        </w:rPr>
        <w:t xml:space="preserve">na základe individuálnej účtovnej závierky materskej účtovnej jednotky a individuálnych účtovných závierok všetkých jej dcérskych účtovných jednotiek, nie sú splnené aspoň dve </w:t>
      </w:r>
      <w:r>
        <w:rPr>
          <w:rFonts w:ascii="Times New Roman" w:hAnsi="Times New Roman"/>
          <w:sz w:val="18"/>
          <w:szCs w:val="18"/>
        </w:rPr>
        <w:t xml:space="preserve">z </w:t>
      </w:r>
      <w:r w:rsidRPr="00D37174">
        <w:rPr>
          <w:rFonts w:ascii="Times New Roman" w:hAnsi="Times New Roman"/>
          <w:sz w:val="18"/>
          <w:szCs w:val="18"/>
        </w:rPr>
        <w:t>podmienok</w:t>
      </w:r>
      <w:r>
        <w:rPr>
          <w:rFonts w:ascii="Times New Roman" w:hAnsi="Times New Roman"/>
          <w:sz w:val="18"/>
          <w:szCs w:val="18"/>
        </w:rPr>
        <w:t xml:space="preserve"> uvedených v</w:t>
      </w:r>
      <w:r>
        <w:t xml:space="preserve"> </w:t>
      </w:r>
      <w:r w:rsidRPr="00D37174">
        <w:rPr>
          <w:rFonts w:ascii="Times New Roman" w:hAnsi="Times New Roman"/>
          <w:sz w:val="18"/>
          <w:szCs w:val="18"/>
        </w:rPr>
        <w:t>Zákon</w:t>
      </w:r>
      <w:r>
        <w:rPr>
          <w:rFonts w:ascii="Times New Roman" w:hAnsi="Times New Roman"/>
          <w:sz w:val="18"/>
          <w:szCs w:val="18"/>
        </w:rPr>
        <w:t>e</w:t>
      </w:r>
      <w:r w:rsidRPr="00D37174">
        <w:rPr>
          <w:rFonts w:ascii="Times New Roman" w:hAnsi="Times New Roman"/>
          <w:sz w:val="18"/>
          <w:szCs w:val="18"/>
        </w:rPr>
        <w:t xml:space="preserve"> č. 431/2002 Z. z.</w:t>
      </w:r>
      <w:r w:rsidR="00FB4010">
        <w:rPr>
          <w:rFonts w:ascii="Times New Roman" w:hAnsi="Times New Roman"/>
          <w:sz w:val="18"/>
          <w:szCs w:val="18"/>
        </w:rPr>
        <w:t xml:space="preserve"> </w:t>
      </w:r>
      <w:r w:rsidRPr="00D37174">
        <w:rPr>
          <w:rFonts w:ascii="Times New Roman" w:hAnsi="Times New Roman"/>
          <w:sz w:val="18"/>
          <w:szCs w:val="18"/>
        </w:rPr>
        <w:t>o účtovníctve</w:t>
      </w:r>
      <w:r>
        <w:rPr>
          <w:rFonts w:ascii="Times New Roman" w:hAnsi="Times New Roman"/>
          <w:sz w:val="18"/>
          <w:szCs w:val="18"/>
        </w:rPr>
        <w:t xml:space="preserve"> </w:t>
      </w:r>
      <w:r w:rsidRPr="00D37174">
        <w:rPr>
          <w:rFonts w:ascii="Times New Roman" w:hAnsi="Times New Roman"/>
          <w:sz w:val="18"/>
          <w:szCs w:val="18"/>
        </w:rPr>
        <w:t>§ 22</w:t>
      </w:r>
      <w:r>
        <w:rPr>
          <w:rFonts w:ascii="Times New Roman" w:hAnsi="Times New Roman"/>
          <w:sz w:val="18"/>
          <w:szCs w:val="18"/>
        </w:rPr>
        <w:t xml:space="preserve"> Odsek (10) a). </w:t>
      </w:r>
    </w:p>
    <w:p w:rsidR="00817072" w:rsidRPr="00105DB1" w:rsidRDefault="00817072" w:rsidP="00817072">
      <w:pPr>
        <w:pStyle w:val="BodyText"/>
        <w:ind w:hanging="426"/>
        <w:rPr>
          <w:rFonts w:ascii="Times New Roman" w:hAnsi="Times New Roman"/>
          <w:color w:val="000000" w:themeColor="text1"/>
          <w:sz w:val="18"/>
          <w:szCs w:val="18"/>
        </w:rPr>
      </w:pPr>
    </w:p>
    <w:p w:rsidR="00C42AA4" w:rsidRPr="00105DB1" w:rsidRDefault="00C42AA4" w:rsidP="004E2272">
      <w:pPr>
        <w:pStyle w:val="Heading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bookmarkStart w:id="3" w:name="_Toc530739899"/>
      <w:r w:rsidRPr="00105DB1">
        <w:rPr>
          <w:rFonts w:ascii="Times New Roman" w:hAnsi="Times New Roman" w:cs="Times New Roman"/>
          <w:szCs w:val="18"/>
        </w:rPr>
        <w:t xml:space="preserve">Informácie o účtovných zásadách a účtovných metódach  </w:t>
      </w:r>
      <w:bookmarkEnd w:id="3"/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Východiská pre zostavenie účtovnej závierky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Účtovná závierka bola zostavená za predpokladu nepretržitého trvania Spoločnosti (going concern).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Účtovné metódy a všeobecné účtovné zásady boli účtovnou jednotkou konzistentne aplikované</w:t>
      </w:r>
      <w:r w:rsidR="00D80C2A">
        <w:rPr>
          <w:rFonts w:ascii="Times New Roman" w:hAnsi="Times New Roman"/>
          <w:sz w:val="18"/>
          <w:szCs w:val="18"/>
        </w:rPr>
        <w:t>,</w:t>
      </w:r>
      <w:r w:rsidRPr="00105DB1">
        <w:rPr>
          <w:rFonts w:ascii="Times New Roman" w:hAnsi="Times New Roman"/>
          <w:sz w:val="18"/>
          <w:szCs w:val="18"/>
        </w:rPr>
        <w:t xml:space="preserve"> </w:t>
      </w:r>
      <w:r w:rsidRPr="00105DB1">
        <w:rPr>
          <w:rFonts w:ascii="Times New Roman" w:hAnsi="Times New Roman"/>
          <w:sz w:val="18"/>
          <w:szCs w:val="18"/>
        </w:rPr>
        <w:t xml:space="preserve">okrem účtovania oceniteľných práv, kde spoločnosť prehodnotila metódu účtovania od 1. januára 2021, ako je popísané v časti </w:t>
      </w:r>
      <w:r w:rsidR="00D80C2A">
        <w:rPr>
          <w:rFonts w:ascii="Times New Roman" w:hAnsi="Times New Roman"/>
          <w:sz w:val="18"/>
          <w:szCs w:val="18"/>
        </w:rPr>
        <w:t>(b)</w:t>
      </w:r>
      <w:r w:rsidR="00D80C2A">
        <w:rPr>
          <w:rFonts w:ascii="Times New Roman" w:hAnsi="Times New Roman"/>
          <w:sz w:val="18"/>
          <w:szCs w:val="18"/>
        </w:rPr>
        <w:tab/>
        <w:t xml:space="preserve">Dlhodobý </w:t>
      </w:r>
      <w:r w:rsidRPr="00105DB1">
        <w:rPr>
          <w:rFonts w:ascii="Times New Roman" w:hAnsi="Times New Roman"/>
          <w:sz w:val="18"/>
          <w:szCs w:val="18"/>
        </w:rPr>
        <w:t xml:space="preserve">nehmotný </w:t>
      </w:r>
      <w:r w:rsidR="00D80C2A">
        <w:rPr>
          <w:rFonts w:ascii="Times New Roman" w:hAnsi="Times New Roman"/>
          <w:sz w:val="18"/>
          <w:szCs w:val="18"/>
        </w:rPr>
        <w:t>m</w:t>
      </w:r>
      <w:r w:rsidRPr="00105DB1">
        <w:rPr>
          <w:rFonts w:ascii="Times New Roman" w:hAnsi="Times New Roman"/>
          <w:sz w:val="18"/>
          <w:szCs w:val="18"/>
        </w:rPr>
        <w:t>ajetok a dlhodobý hmotný majetok.</w:t>
      </w:r>
    </w:p>
    <w:p w:rsidR="00C42AA4" w:rsidRPr="00105DB1" w:rsidRDefault="00C42AA4" w:rsidP="00C42AA4">
      <w:pPr>
        <w:pStyle w:val="BodyText"/>
        <w:ind w:left="450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Dlhodobý nehmotný majetok a dlhodobý hmotný majetok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Súčasťou obstarávacej ceny dlhodobého hmotného a nehmotného majetku nie sú úroky z cudzích zdrojov ani realizované kurzové rozdiely, ktoré vznikli do momentu uvedenia dlhodobého majetku do používania.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</w:t>
      </w:r>
      <w:r w:rsidRPr="00105DB1">
        <w:rPr>
          <w:rFonts w:ascii="Times New Roman" w:hAnsi="Times New Roman"/>
          <w:sz w:val="18"/>
          <w:szCs w:val="18"/>
        </w:rPr>
        <w:t xml:space="preserve">a odpisoval do 31. decembra 2020 </w:t>
      </w:r>
      <w:r w:rsidRPr="00105DB1">
        <w:rPr>
          <w:rFonts w:ascii="Times New Roman" w:hAnsi="Times New Roman"/>
          <w:sz w:val="18"/>
          <w:szCs w:val="18"/>
        </w:rPr>
        <w:t xml:space="preserve">jednorazovo pri uvedení do používania. </w:t>
      </w:r>
      <w:r w:rsidRPr="00105DB1">
        <w:rPr>
          <w:rFonts w:ascii="Times New Roman" w:hAnsi="Times New Roman"/>
          <w:sz w:val="18"/>
          <w:szCs w:val="18"/>
        </w:rPr>
        <w:t>Od 1. januára 2021 sa d</w:t>
      </w:r>
      <w:r w:rsidRPr="00105DB1">
        <w:rPr>
          <w:rFonts w:ascii="Times New Roman" w:hAnsi="Times New Roman"/>
          <w:sz w:val="18"/>
          <w:szCs w:val="18"/>
        </w:rPr>
        <w:t>robný dlhodobý nehmotný majetok, ktorého obstarávacia cena (resp. vlastné náklady) je 2 400 EUR a nižšia</w:t>
      </w:r>
      <w:r w:rsidR="009E54DB">
        <w:rPr>
          <w:rFonts w:ascii="Times New Roman" w:hAnsi="Times New Roman"/>
          <w:sz w:val="18"/>
          <w:szCs w:val="18"/>
        </w:rPr>
        <w:t>,</w:t>
      </w:r>
      <w:r w:rsidRPr="00105DB1">
        <w:rPr>
          <w:rFonts w:ascii="Times New Roman" w:hAnsi="Times New Roman"/>
          <w:sz w:val="18"/>
          <w:szCs w:val="18"/>
        </w:rPr>
        <w:t xml:space="preserve"> zaradil do majetku ako súbor nehmotného majetku. </w:t>
      </w:r>
      <w:r w:rsidRPr="00105DB1">
        <w:rPr>
          <w:rFonts w:ascii="Times New Roman" w:hAnsi="Times New Roman"/>
          <w:sz w:val="18"/>
          <w:szCs w:val="18"/>
        </w:rPr>
        <w:t>Predpokladaná doba používania, metóda odpisovania a odpisová sadzba sú uvedené v nasledujúcej tabuľke: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4"/>
        <w:gridCol w:w="222"/>
        <w:gridCol w:w="1087"/>
        <w:gridCol w:w="404"/>
        <w:gridCol w:w="271"/>
        <w:gridCol w:w="222"/>
        <w:gridCol w:w="1035"/>
        <w:gridCol w:w="218"/>
        <w:gridCol w:w="413"/>
        <w:gridCol w:w="1363"/>
        <w:gridCol w:w="218"/>
        <w:gridCol w:w="1658"/>
      </w:tblGrid>
      <w:tr w:rsidR="00C42AA4" w:rsidRPr="00105DB1" w:rsidTr="00C42AA4">
        <w:trPr>
          <w:trHeight w:val="250"/>
        </w:trPr>
        <w:tc>
          <w:tcPr>
            <w:tcW w:w="3217" w:type="dxa"/>
            <w:gridSpan w:val="4"/>
          </w:tcPr>
          <w:p w:rsidR="00C42AA4" w:rsidRPr="00105DB1" w:rsidRDefault="00C42AA4" w:rsidP="00E575D7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lastRenderedPageBreak/>
              <w:br w:type="page"/>
            </w:r>
          </w:p>
        </w:tc>
        <w:tc>
          <w:tcPr>
            <w:tcW w:w="1528" w:type="dxa"/>
            <w:gridSpan w:val="3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Predpokladaná</w:t>
            </w:r>
          </w:p>
        </w:tc>
        <w:tc>
          <w:tcPr>
            <w:tcW w:w="218" w:type="dxa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76" w:type="dxa"/>
            <w:gridSpan w:val="2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Metóda</w:t>
            </w:r>
          </w:p>
        </w:tc>
        <w:tc>
          <w:tcPr>
            <w:tcW w:w="218" w:type="dxa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58" w:type="dxa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Ročná odpisová</w:t>
            </w:r>
          </w:p>
        </w:tc>
      </w:tr>
      <w:tr w:rsidR="00C42AA4" w:rsidRPr="00105DB1" w:rsidTr="00C42AA4">
        <w:trPr>
          <w:trHeight w:val="250"/>
        </w:trPr>
        <w:tc>
          <w:tcPr>
            <w:tcW w:w="2813" w:type="dxa"/>
            <w:gridSpan w:val="3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404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1528" w:type="dxa"/>
            <w:gridSpan w:val="3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doba používania</w:t>
            </w:r>
            <w:r w:rsidRPr="00105DB1">
              <w:rPr>
                <w:szCs w:val="18"/>
              </w:rPr>
              <w:br/>
              <w:t>v rokoch</w:t>
            </w:r>
          </w:p>
        </w:tc>
        <w:tc>
          <w:tcPr>
            <w:tcW w:w="218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76" w:type="dxa"/>
            <w:gridSpan w:val="2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odpisovania</w:t>
            </w:r>
          </w:p>
        </w:tc>
        <w:tc>
          <w:tcPr>
            <w:tcW w:w="218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58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sadzba v %</w:t>
            </w:r>
          </w:p>
        </w:tc>
      </w:tr>
      <w:tr w:rsidR="00C42AA4" w:rsidRPr="00105DB1" w:rsidTr="00C42AA4">
        <w:trPr>
          <w:trHeight w:val="250"/>
        </w:trPr>
        <w:tc>
          <w:tcPr>
            <w:tcW w:w="3217" w:type="dxa"/>
            <w:gridSpan w:val="4"/>
          </w:tcPr>
          <w:p w:rsidR="00C42AA4" w:rsidRPr="00105DB1" w:rsidRDefault="00C42AA4" w:rsidP="00C42AA4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t>Softvér</w:t>
            </w:r>
          </w:p>
        </w:tc>
        <w:tc>
          <w:tcPr>
            <w:tcW w:w="1528" w:type="dxa"/>
            <w:gridSpan w:val="3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4</w:t>
            </w:r>
          </w:p>
        </w:tc>
        <w:tc>
          <w:tcPr>
            <w:tcW w:w="218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76" w:type="dxa"/>
            <w:gridSpan w:val="2"/>
          </w:tcPr>
          <w:p w:rsidR="00C42AA4" w:rsidRPr="00105DB1" w:rsidRDefault="00C42AA4" w:rsidP="00C42AA4">
            <w:pPr>
              <w:pStyle w:val="Tabulka"/>
              <w:jc w:val="center"/>
              <w:rPr>
                <w:color w:val="FF0000"/>
                <w:szCs w:val="18"/>
              </w:rPr>
            </w:pPr>
            <w:r w:rsidRPr="00105DB1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218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58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25</w:t>
            </w:r>
          </w:p>
        </w:tc>
      </w:tr>
      <w:tr w:rsidR="00C42AA4" w:rsidRPr="00105DB1" w:rsidTr="00C42AA4">
        <w:trPr>
          <w:trHeight w:val="250"/>
        </w:trPr>
        <w:tc>
          <w:tcPr>
            <w:tcW w:w="3217" w:type="dxa"/>
            <w:gridSpan w:val="4"/>
          </w:tcPr>
          <w:p w:rsidR="00C42AA4" w:rsidRPr="00105DB1" w:rsidRDefault="00C42AA4" w:rsidP="00C42AA4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t>Oceniteľné práva</w:t>
            </w:r>
          </w:p>
        </w:tc>
        <w:tc>
          <w:tcPr>
            <w:tcW w:w="1528" w:type="dxa"/>
            <w:gridSpan w:val="3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4</w:t>
            </w:r>
          </w:p>
        </w:tc>
        <w:tc>
          <w:tcPr>
            <w:tcW w:w="218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76" w:type="dxa"/>
            <w:gridSpan w:val="2"/>
          </w:tcPr>
          <w:p w:rsidR="00C42AA4" w:rsidRPr="00105DB1" w:rsidRDefault="00C42AA4" w:rsidP="00C42AA4">
            <w:pPr>
              <w:pStyle w:val="Tabulka"/>
              <w:jc w:val="center"/>
              <w:rPr>
                <w:color w:val="FF0000"/>
                <w:szCs w:val="18"/>
              </w:rPr>
            </w:pPr>
            <w:r w:rsidRPr="00105DB1">
              <w:rPr>
                <w:color w:val="000000" w:themeColor="text1"/>
                <w:szCs w:val="18"/>
              </w:rPr>
              <w:t>lineárna</w:t>
            </w:r>
          </w:p>
        </w:tc>
        <w:tc>
          <w:tcPr>
            <w:tcW w:w="218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58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25</w:t>
            </w:r>
          </w:p>
        </w:tc>
      </w:tr>
      <w:tr w:rsidR="00C42AA4" w:rsidRPr="00105DB1" w:rsidTr="00C42AA4">
        <w:tblPrEx>
          <w:tblCellMar>
            <w:left w:w="108" w:type="dxa"/>
            <w:right w:w="108" w:type="dxa"/>
          </w:tblCellMar>
        </w:tblPrEx>
        <w:trPr>
          <w:gridAfter w:val="3"/>
          <w:wAfter w:w="3239" w:type="dxa"/>
          <w:trHeight w:val="245"/>
        </w:trPr>
        <w:tc>
          <w:tcPr>
            <w:tcW w:w="1504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62" w:type="dxa"/>
            <w:gridSpan w:val="3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6" w:type="dxa"/>
            <w:gridSpan w:val="3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</w:t>
      </w:r>
      <w:r w:rsidR="009E54DB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 xml:space="preserve">do používania. Drobný dlhodobý hmotný majetok, ktorého obstarávacia cena (resp. vlastné náklady) je 1 700 EUR a nižšia, </w:t>
      </w:r>
      <w:r w:rsidR="009E54DB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>sa odpisuje jednorazovo pri uvedení do používania. Pozemky sa neodpisujú. Predpokladaná doba používania, metóda odpisovania a odpisová sadzba sú uvedené v nasledujúcej tabuľke: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42AA4" w:rsidRPr="00105DB1" w:rsidTr="00C42AA4">
        <w:trPr>
          <w:trHeight w:val="250"/>
        </w:trPr>
        <w:tc>
          <w:tcPr>
            <w:tcW w:w="3118" w:type="dxa"/>
            <w:gridSpan w:val="2"/>
          </w:tcPr>
          <w:p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Ročná odpisová</w:t>
            </w:r>
          </w:p>
        </w:tc>
      </w:tr>
      <w:tr w:rsidR="00C42AA4" w:rsidRPr="00105DB1" w:rsidTr="00C42A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sadzba v %</w:t>
            </w:r>
          </w:p>
        </w:tc>
      </w:tr>
      <w:tr w:rsidR="00C42AA4" w:rsidRPr="00105DB1" w:rsidTr="00C42A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C42AA4" w:rsidRPr="00105DB1" w:rsidRDefault="00C42AA4" w:rsidP="00C42AA4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t xml:space="preserve">Samostatne hnuteľné veci a súbory hnuteľných vecí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42AA4" w:rsidRPr="00105DB1" w:rsidRDefault="00C42AA4" w:rsidP="00E575D7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25</w:t>
            </w:r>
          </w:p>
        </w:tc>
      </w:tr>
      <w:tr w:rsidR="00C42AA4" w:rsidRPr="00105DB1" w:rsidTr="00C42AA4">
        <w:trPr>
          <w:trHeight w:val="250"/>
        </w:trPr>
        <w:tc>
          <w:tcPr>
            <w:tcW w:w="3118" w:type="dxa"/>
            <w:gridSpan w:val="2"/>
          </w:tcPr>
          <w:p w:rsidR="00C42AA4" w:rsidRPr="00105DB1" w:rsidRDefault="00C42AA4" w:rsidP="00C42AA4">
            <w:pPr>
              <w:pStyle w:val="Tabulka"/>
              <w:rPr>
                <w:szCs w:val="18"/>
              </w:rPr>
            </w:pPr>
            <w:r w:rsidRPr="00105DB1">
              <w:rPr>
                <w:szCs w:val="18"/>
              </w:rPr>
              <w:t>Ostatný dlhodobý hmotný majetok</w:t>
            </w:r>
          </w:p>
        </w:tc>
        <w:tc>
          <w:tcPr>
            <w:tcW w:w="1985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C42AA4" w:rsidRPr="00105DB1" w:rsidRDefault="00C42AA4" w:rsidP="00C42AA4">
            <w:pPr>
              <w:pStyle w:val="Tabulka"/>
              <w:jc w:val="center"/>
              <w:rPr>
                <w:szCs w:val="18"/>
              </w:rPr>
            </w:pPr>
            <w:r w:rsidRPr="00105DB1">
              <w:rPr>
                <w:szCs w:val="18"/>
              </w:rPr>
              <w:t>25</w:t>
            </w:r>
          </w:p>
        </w:tc>
      </w:tr>
    </w:tbl>
    <w:p w:rsidR="00C42AA4" w:rsidRPr="00105DB1" w:rsidRDefault="00C42AA4" w:rsidP="00C42AA4">
      <w:pPr>
        <w:pStyle w:val="Pismenka"/>
        <w:numPr>
          <w:ilvl w:val="0"/>
          <w:numId w:val="0"/>
        </w:numPr>
        <w:rPr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Posúdenie zníženia hodnoty majetku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Faktory, ktoré sú považované za dôležité pri posudzovaní zníženia hodnoty majetku sú:</w:t>
      </w:r>
    </w:p>
    <w:p w:rsidR="00C42AA4" w:rsidRPr="00105DB1" w:rsidRDefault="00C42AA4" w:rsidP="004E2272">
      <w:pPr>
        <w:pStyle w:val="Body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Významné nedostatočné prevádzkové výsledky v porovnaní s historickými alebo plánovanými prevádzkovými výsledkami</w:t>
      </w:r>
      <w:r w:rsidRPr="00105DB1">
        <w:rPr>
          <w:rFonts w:ascii="Times New Roman" w:hAnsi="Times New Roman"/>
          <w:sz w:val="18"/>
          <w:szCs w:val="18"/>
        </w:rPr>
        <w:t>,</w:t>
      </w:r>
    </w:p>
    <w:p w:rsidR="00C42AA4" w:rsidRPr="00105DB1" w:rsidRDefault="00C42AA4" w:rsidP="004E2272">
      <w:pPr>
        <w:pStyle w:val="Body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Významné zmeny v spôsobe použitia majetku Spoločnosti alebo celkovej zmeny stratégie Spoločnosti.</w:t>
      </w:r>
    </w:p>
    <w:p w:rsidR="00105DB1" w:rsidRPr="00105DB1" w:rsidRDefault="00105DB1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budúcnosti.</w:t>
      </w:r>
    </w:p>
    <w:p w:rsidR="00C42AA4" w:rsidRPr="00105DB1" w:rsidRDefault="00C42AA4" w:rsidP="00C42AA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Pohľadávky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 obstaraním. Toto ocenenie sa znižuje </w:t>
      </w:r>
      <w:r w:rsidR="00105DB1" w:rsidRPr="00105DB1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>o pochybné a nevymožiteľné pohľadávky.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Peňažné prostriedky a ceniny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Peňažné prostriedky a ceniny sa oceňujú ich menovitou hodnotou. Zníženie ich hodnoty sa vyjadruje opravnou položkou.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Náklady budúcich období a príjmy budúcich období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Náklady budúcich období a príjmy budúcich období sa vykazujú vo výške, ktorá je potrebná na dodržanie zásady vecnej </w:t>
      </w:r>
      <w:r w:rsidR="00105DB1" w:rsidRPr="00105DB1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>a časovej súvislosti s účtovným obdobím.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Rezervy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C42AA4" w:rsidRPr="00105DB1" w:rsidRDefault="00C42AA4" w:rsidP="00C42AA4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Záväzky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Dlhodobé, krátkodobé úvery sa vykazujú v menovitej hodnote. Za krátkodobý úver sa považuje aj časť dlhodobých úverov, ktorá je splatná do jedného roka od súvahového dňa.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Daň z príjmov</w:t>
      </w:r>
    </w:p>
    <w:p w:rsidR="00C42AA4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Podľa slovenského zákona o daniach z príjmov sa splatné dane určujú z účtovného zisku pri sadzbe 21%, po úpravách o niektoré položky na daňové účely.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Výdavky budúcich období a výnosy budúcich období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Výdavky budúcich období a výnosy budúcich období sa vykazujú vo výške, ktorá je potrebná na dodržanie zásady vecnej </w:t>
      </w:r>
      <w:r w:rsidR="00105DB1" w:rsidRPr="00105DB1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>a časovej súvislosti s účtovným obdobím.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lastRenderedPageBreak/>
        <w:t>Prenájom (lízing)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Operatívny prenájom. Majetok prenajatý na základe operatívneho prenájmu vykazuje ako svoj majetok jeho vlastník, nie nájomca.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Finančný prenájom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Cudzia mena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Európskou centrálnou bankou alebo Národnou bankou Slovenska v deň, ku ktorému sa zostavuje účtovná závierka, a účtujú </w:t>
      </w:r>
      <w:r w:rsidR="009E54DB">
        <w:rPr>
          <w:rFonts w:ascii="Times New Roman" w:hAnsi="Times New Roman"/>
          <w:sz w:val="18"/>
          <w:szCs w:val="18"/>
        </w:rPr>
        <w:br/>
      </w:r>
      <w:r w:rsidRPr="00105DB1">
        <w:rPr>
          <w:rFonts w:ascii="Times New Roman" w:hAnsi="Times New Roman"/>
          <w:sz w:val="18"/>
          <w:szCs w:val="18"/>
        </w:rPr>
        <w:t xml:space="preserve">sa s vplyvom na výsledok hospodárenia.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deň, predchádzajúci dňu uskutočnenia účtovného prípadu.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Prijaté a poskytnuté preddavky sa ku dňu, ku ktorému sa zostavuje účtovná závierka, na menu euro už neprepočítavajú. 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tabs>
          <w:tab w:val="clear" w:pos="426"/>
        </w:tabs>
        <w:ind w:left="426"/>
        <w:rPr>
          <w:szCs w:val="18"/>
        </w:rPr>
      </w:pPr>
      <w:r w:rsidRPr="00105DB1">
        <w:rPr>
          <w:szCs w:val="18"/>
        </w:rPr>
        <w:t>Výnosy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42AA4" w:rsidRPr="00105DB1" w:rsidRDefault="00C42AA4" w:rsidP="00C42AA4">
      <w:pPr>
        <w:pStyle w:val="BodyText"/>
        <w:rPr>
          <w:rFonts w:ascii="Times New Roman" w:hAnsi="Times New Roman"/>
          <w:sz w:val="18"/>
          <w:szCs w:val="18"/>
        </w:rPr>
      </w:pPr>
    </w:p>
    <w:p w:rsidR="00C42AA4" w:rsidRPr="00105DB1" w:rsidRDefault="00C42AA4" w:rsidP="00C42AA4">
      <w:pPr>
        <w:pStyle w:val="Pismenka"/>
        <w:rPr>
          <w:szCs w:val="18"/>
        </w:rPr>
      </w:pPr>
      <w:r w:rsidRPr="00105DB1">
        <w:rPr>
          <w:szCs w:val="18"/>
        </w:rPr>
        <w:t xml:space="preserve">Uskutočnené významné opravy s vplyvom na minulé výsledky hospodárenia </w:t>
      </w:r>
    </w:p>
    <w:p w:rsidR="00C42AA4" w:rsidRPr="00105DB1" w:rsidRDefault="00C42AA4" w:rsidP="00105DB1">
      <w:pPr>
        <w:pStyle w:val="Pismenka"/>
        <w:numPr>
          <w:ilvl w:val="0"/>
          <w:numId w:val="0"/>
        </w:numPr>
        <w:ind w:left="-66"/>
        <w:rPr>
          <w:b w:val="0"/>
          <w:iCs/>
          <w:szCs w:val="18"/>
        </w:rPr>
      </w:pPr>
      <w:r w:rsidRPr="00105DB1">
        <w:rPr>
          <w:b w:val="0"/>
          <w:iCs/>
          <w:szCs w:val="18"/>
        </w:rPr>
        <w:t xml:space="preserve">Spoločnosť </w:t>
      </w:r>
      <w:r w:rsidR="00105DB1" w:rsidRPr="00105DB1">
        <w:rPr>
          <w:b w:val="0"/>
          <w:iCs/>
          <w:szCs w:val="18"/>
        </w:rPr>
        <w:t>neuskutočnila v súčasnom období</w:t>
      </w:r>
      <w:r w:rsidRPr="00105DB1">
        <w:rPr>
          <w:b w:val="0"/>
          <w:iCs/>
          <w:szCs w:val="18"/>
        </w:rPr>
        <w:t xml:space="preserve"> významné opravy s vplyvom na minulé výsledky hospodárenia.</w:t>
      </w:r>
    </w:p>
    <w:p w:rsidR="00817072" w:rsidRPr="00105DB1" w:rsidRDefault="00817072" w:rsidP="00105DB1">
      <w:pPr>
        <w:pStyle w:val="BodyText"/>
        <w:rPr>
          <w:rFonts w:ascii="Times New Roman" w:hAnsi="Times New Roman"/>
          <w:color w:val="000000" w:themeColor="text1"/>
          <w:sz w:val="18"/>
          <w:szCs w:val="18"/>
        </w:rPr>
      </w:pPr>
    </w:p>
    <w:p w:rsidR="00817072" w:rsidRPr="00105DB1" w:rsidRDefault="00817072" w:rsidP="00817072">
      <w:pPr>
        <w:pStyle w:val="BodyText"/>
        <w:ind w:hanging="426"/>
        <w:rPr>
          <w:rFonts w:ascii="Times New Roman" w:hAnsi="Times New Roman"/>
          <w:color w:val="000000" w:themeColor="text1"/>
          <w:sz w:val="18"/>
          <w:szCs w:val="18"/>
        </w:rPr>
      </w:pPr>
    </w:p>
    <w:p w:rsidR="00C81150" w:rsidRPr="00105DB1" w:rsidRDefault="00105DB1" w:rsidP="004E2272">
      <w:pPr>
        <w:pStyle w:val="Heading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napToGrid w:val="0"/>
          <w:szCs w:val="18"/>
          <w:lang w:eastAsia="sk-SK"/>
        </w:rPr>
      </w:pPr>
      <w:r w:rsidRPr="00105DB1">
        <w:rPr>
          <w:rFonts w:ascii="Times New Roman" w:hAnsi="Times New Roman" w:cs="Times New Roman"/>
          <w:snapToGrid w:val="0"/>
          <w:szCs w:val="18"/>
          <w:lang w:eastAsia="sk-SK"/>
        </w:rPr>
        <w:t>INFORMÁCIE, KTORÉ VYSVETĽUJÚ A DOPĹŇAJÚ SÚVAHU A VÝKAZ ZISKOV A STRÁT</w:t>
      </w:r>
    </w:p>
    <w:p w:rsidR="00105DB1" w:rsidRPr="00105DB1" w:rsidRDefault="00105DB1" w:rsidP="004E2272">
      <w:pPr>
        <w:pStyle w:val="Heading2"/>
        <w:numPr>
          <w:ilvl w:val="0"/>
          <w:numId w:val="4"/>
        </w:numPr>
        <w:tabs>
          <w:tab w:val="clear" w:pos="360"/>
          <w:tab w:val="num" w:pos="426"/>
        </w:tabs>
        <w:jc w:val="left"/>
        <w:rPr>
          <w:rFonts w:ascii="Times New Roman" w:hAnsi="Times New Roman" w:cs="Times New Roman"/>
          <w:sz w:val="18"/>
          <w:szCs w:val="18"/>
        </w:rPr>
      </w:pPr>
      <w:bookmarkStart w:id="4" w:name="_Toc530739909"/>
      <w:r w:rsidRPr="00105DB1">
        <w:rPr>
          <w:rFonts w:ascii="Times New Roman" w:hAnsi="Times New Roman" w:cs="Times New Roman"/>
          <w:sz w:val="18"/>
          <w:szCs w:val="18"/>
        </w:rPr>
        <w:t>Záväzky</w:t>
      </w:r>
      <w:bookmarkEnd w:id="4"/>
    </w:p>
    <w:p w:rsidR="00105DB1" w:rsidRPr="00105DB1" w:rsidRDefault="00105DB1" w:rsidP="00105DB1">
      <w:pPr>
        <w:pStyle w:val="BodyText"/>
        <w:rPr>
          <w:rFonts w:ascii="Times New Roman" w:hAnsi="Times New Roman"/>
          <w:sz w:val="18"/>
          <w:szCs w:val="18"/>
        </w:rPr>
      </w:pPr>
    </w:p>
    <w:p w:rsidR="00105DB1" w:rsidRPr="00105DB1" w:rsidRDefault="00105DB1" w:rsidP="00105DB1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Štruktúra záväzkov (okrem bankových úverov) podľa zostatkovej doby splatnosti je uvedená v nasledujúcom prehľade:</w:t>
      </w:r>
    </w:p>
    <w:p w:rsidR="00105DB1" w:rsidRPr="00105DB1" w:rsidRDefault="00105DB1" w:rsidP="00105DB1">
      <w:pPr>
        <w:pStyle w:val="BodyText"/>
        <w:rPr>
          <w:rFonts w:ascii="Times New Roman" w:hAnsi="Times New Roman"/>
          <w:sz w:val="18"/>
          <w:szCs w:val="18"/>
        </w:rPr>
      </w:pPr>
    </w:p>
    <w:bookmarkStart w:id="5" w:name="_MON_1405948528"/>
    <w:bookmarkEnd w:id="5"/>
    <w:p w:rsidR="00DA1489" w:rsidRPr="00105DB1" w:rsidRDefault="00105DB1" w:rsidP="00105DB1">
      <w:pPr>
        <w:rPr>
          <w:rFonts w:ascii="Times New Roman" w:hAnsi="Times New Roman"/>
          <w:snapToGrid w:val="0"/>
          <w:sz w:val="18"/>
          <w:szCs w:val="18"/>
          <w:lang w:eastAsia="sk-SK"/>
        </w:rPr>
      </w:pPr>
      <w:r w:rsidRPr="00105DB1">
        <w:rPr>
          <w:rFonts w:ascii="Times New Roman" w:hAnsi="Times New Roman"/>
          <w:sz w:val="18"/>
          <w:szCs w:val="18"/>
        </w:rPr>
        <w:object w:dxaOrig="8972" w:dyaOrig="3250">
          <v:shape id="_x0000_i1076" type="#_x0000_t75" style="width:441.75pt;height:164.25pt" o:ole="" o:preferrelative="f">
            <v:imagedata r:id="rId10" o:title="" cropbottom="5632f"/>
            <o:lock v:ext="edit" aspectratio="f"/>
          </v:shape>
          <o:OLEObject Type="Embed" ProgID="Excel.Sheet.12" ShapeID="_x0000_i1076" DrawAspect="Content" ObjectID="_1716190432" r:id="rId11"/>
        </w:object>
      </w:r>
    </w:p>
    <w:p w:rsidR="00105DB1" w:rsidRDefault="00105DB1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:rsidR="00105DB1" w:rsidRDefault="00105DB1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:rsidR="00105DB1" w:rsidRDefault="00105DB1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:rsidR="00105DB1" w:rsidRPr="00105DB1" w:rsidRDefault="00105DB1" w:rsidP="004E2272">
      <w:pPr>
        <w:pStyle w:val="Heading2"/>
        <w:numPr>
          <w:ilvl w:val="0"/>
          <w:numId w:val="4"/>
        </w:numPr>
        <w:tabs>
          <w:tab w:val="clear" w:pos="360"/>
          <w:tab w:val="num" w:pos="426"/>
        </w:tabs>
        <w:jc w:val="left"/>
        <w:rPr>
          <w:rFonts w:ascii="Times New Roman" w:hAnsi="Times New Roman" w:cs="Times New Roman"/>
          <w:sz w:val="18"/>
          <w:szCs w:val="18"/>
        </w:rPr>
      </w:pPr>
      <w:r w:rsidRPr="00105DB1">
        <w:rPr>
          <w:rFonts w:ascii="Times New Roman" w:hAnsi="Times New Roman" w:cs="Times New Roman"/>
          <w:sz w:val="18"/>
          <w:szCs w:val="18"/>
        </w:rPr>
        <w:lastRenderedPageBreak/>
        <w:t>Bankové úvery</w:t>
      </w:r>
    </w:p>
    <w:bookmarkStart w:id="6" w:name="_MON_1385829367"/>
    <w:bookmarkEnd w:id="6"/>
    <w:p w:rsidR="00105DB1" w:rsidRPr="00105DB1" w:rsidRDefault="007F587D" w:rsidP="00105DB1">
      <w:pPr>
        <w:ind w:left="426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object w:dxaOrig="8996" w:dyaOrig="1867">
          <v:shape id="_x0000_i1089" type="#_x0000_t75" style="width:430.5pt;height:97.5pt" o:ole="" o:preferrelative="f">
            <v:imagedata r:id="rId12" o:title=""/>
            <o:lock v:ext="edit" aspectratio="f"/>
          </v:shape>
          <o:OLEObject Type="Embed" ProgID="Excel.Sheet.12" ShapeID="_x0000_i1089" DrawAspect="Content" ObjectID="_1716190433" r:id="rId13"/>
        </w:object>
      </w:r>
    </w:p>
    <w:p w:rsidR="00105DB1" w:rsidRPr="00105DB1" w:rsidRDefault="00105DB1" w:rsidP="00105DB1">
      <w:pPr>
        <w:rPr>
          <w:rFonts w:ascii="Times New Roman" w:hAnsi="Times New Roman"/>
          <w:sz w:val="18"/>
          <w:szCs w:val="18"/>
        </w:rPr>
      </w:pPr>
    </w:p>
    <w:p w:rsidR="00105DB1" w:rsidRPr="00105DB1" w:rsidRDefault="00105DB1" w:rsidP="00105DB1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Spoločnosť dň</w:t>
      </w:r>
      <w:r w:rsidR="007F587D">
        <w:rPr>
          <w:rFonts w:ascii="Times New Roman" w:hAnsi="Times New Roman"/>
          <w:sz w:val="18"/>
          <w:szCs w:val="18"/>
        </w:rPr>
        <w:t>a 7</w:t>
      </w:r>
      <w:r w:rsidRPr="00105DB1">
        <w:rPr>
          <w:rFonts w:ascii="Times New Roman" w:hAnsi="Times New Roman"/>
          <w:sz w:val="18"/>
          <w:szCs w:val="18"/>
        </w:rPr>
        <w:t xml:space="preserve">. </w:t>
      </w:r>
      <w:r w:rsidR="007F587D">
        <w:rPr>
          <w:rFonts w:ascii="Times New Roman" w:hAnsi="Times New Roman"/>
          <w:sz w:val="18"/>
          <w:szCs w:val="18"/>
        </w:rPr>
        <w:t>októbra 2014</w:t>
      </w:r>
      <w:r w:rsidRPr="00105DB1">
        <w:rPr>
          <w:rFonts w:ascii="Times New Roman" w:hAnsi="Times New Roman"/>
          <w:sz w:val="18"/>
          <w:szCs w:val="18"/>
        </w:rPr>
        <w:t xml:space="preserve"> podpísala zmluvu o úvere č. </w:t>
      </w:r>
      <w:r w:rsidR="007F587D">
        <w:rPr>
          <w:rFonts w:ascii="Times New Roman" w:hAnsi="Times New Roman"/>
          <w:sz w:val="18"/>
          <w:szCs w:val="18"/>
        </w:rPr>
        <w:t xml:space="preserve">S03223/2014 </w:t>
      </w:r>
      <w:r w:rsidR="00D057BF">
        <w:rPr>
          <w:rFonts w:ascii="Times New Roman" w:hAnsi="Times New Roman"/>
          <w:sz w:val="18"/>
          <w:szCs w:val="18"/>
        </w:rPr>
        <w:t>s</w:t>
      </w:r>
      <w:r w:rsidRPr="00105DB1">
        <w:rPr>
          <w:rFonts w:ascii="Times New Roman" w:hAnsi="Times New Roman"/>
          <w:sz w:val="18"/>
          <w:szCs w:val="18"/>
        </w:rPr>
        <w:t xml:space="preserve"> </w:t>
      </w:r>
      <w:r w:rsidR="007F587D" w:rsidRPr="007F587D">
        <w:rPr>
          <w:rFonts w:ascii="Times New Roman" w:hAnsi="Times New Roman"/>
          <w:sz w:val="18"/>
          <w:szCs w:val="18"/>
        </w:rPr>
        <w:t>Tatra banka, a.s.</w:t>
      </w:r>
      <w:r w:rsidR="007F587D">
        <w:rPr>
          <w:rFonts w:ascii="Times New Roman" w:hAnsi="Times New Roman"/>
          <w:sz w:val="18"/>
          <w:szCs w:val="18"/>
        </w:rPr>
        <w:t>.</w:t>
      </w:r>
    </w:p>
    <w:p w:rsidR="007F587D" w:rsidRDefault="007F587D" w:rsidP="00AC0AFC">
      <w:pPr>
        <w:pStyle w:val="BodyTex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Na základe dodatku č.7 k zmluve</w:t>
      </w:r>
      <w:r w:rsidRPr="00105DB1">
        <w:rPr>
          <w:rFonts w:ascii="Times New Roman" w:hAnsi="Times New Roman"/>
          <w:sz w:val="18"/>
          <w:szCs w:val="18"/>
        </w:rPr>
        <w:t xml:space="preserve"> o úvere č. </w:t>
      </w:r>
      <w:r>
        <w:rPr>
          <w:rFonts w:ascii="Times New Roman" w:hAnsi="Times New Roman"/>
          <w:sz w:val="18"/>
          <w:szCs w:val="18"/>
        </w:rPr>
        <w:t>S03223/2014</w:t>
      </w:r>
      <w:r>
        <w:rPr>
          <w:rFonts w:ascii="Times New Roman" w:hAnsi="Times New Roman"/>
          <w:sz w:val="18"/>
          <w:szCs w:val="18"/>
        </w:rPr>
        <w:t xml:space="preserve"> z 19. septembra 2019 sa Dlžník</w:t>
      </w:r>
      <w:r w:rsidR="0037564D">
        <w:rPr>
          <w:rFonts w:ascii="Times New Roman" w:hAnsi="Times New Roman"/>
          <w:sz w:val="18"/>
          <w:szCs w:val="18"/>
        </w:rPr>
        <w:t xml:space="preserve"> zaviazal zabez</w:t>
      </w:r>
      <w:r>
        <w:rPr>
          <w:rFonts w:ascii="Times New Roman" w:hAnsi="Times New Roman"/>
          <w:sz w:val="18"/>
          <w:szCs w:val="18"/>
        </w:rPr>
        <w:t>pečiť, aby hodnota ukazovateľa Upravené vlastné imanie nebola nižšia ako 150 tis. EUR.</w:t>
      </w:r>
      <w:r w:rsidR="00AC0AFC">
        <w:rPr>
          <w:rFonts w:ascii="Times New Roman" w:hAnsi="Times New Roman"/>
          <w:sz w:val="18"/>
          <w:szCs w:val="18"/>
        </w:rPr>
        <w:t xml:space="preserve"> </w:t>
      </w:r>
      <w:r w:rsidR="0037564D">
        <w:rPr>
          <w:rFonts w:ascii="Times New Roman" w:hAnsi="Times New Roman"/>
          <w:sz w:val="18"/>
          <w:szCs w:val="18"/>
        </w:rPr>
        <w:t>Spoločnosť k 31. decembru 2021 tento ukazovateľ sp</w:t>
      </w:r>
      <w:r w:rsidR="00AC0AFC">
        <w:rPr>
          <w:rFonts w:ascii="Times New Roman" w:hAnsi="Times New Roman"/>
          <w:sz w:val="18"/>
          <w:szCs w:val="18"/>
        </w:rPr>
        <w:t>ĺ</w:t>
      </w:r>
      <w:r w:rsidR="0037564D">
        <w:rPr>
          <w:rFonts w:ascii="Times New Roman" w:hAnsi="Times New Roman"/>
          <w:sz w:val="18"/>
          <w:szCs w:val="18"/>
        </w:rPr>
        <w:t>ňala.</w:t>
      </w:r>
    </w:p>
    <w:p w:rsidR="00AC0AFC" w:rsidRDefault="00AC0AFC" w:rsidP="00AC0AFC">
      <w:pPr>
        <w:pStyle w:val="BodyText"/>
        <w:rPr>
          <w:rFonts w:ascii="Times New Roman" w:hAnsi="Times New Roman"/>
          <w:sz w:val="18"/>
          <w:szCs w:val="18"/>
        </w:rPr>
      </w:pPr>
    </w:p>
    <w:p w:rsidR="00AC0AFC" w:rsidRPr="00105DB1" w:rsidRDefault="00AC0AFC" w:rsidP="00AC0AFC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Zoznam zabezpečenia:</w:t>
      </w:r>
    </w:p>
    <w:p w:rsidR="00AC0AFC" w:rsidRDefault="00AC0AFC" w:rsidP="004E2272">
      <w:pPr>
        <w:pStyle w:val="BodyText"/>
        <w:numPr>
          <w:ilvl w:val="1"/>
          <w:numId w:val="5"/>
        </w:numPr>
        <w:ind w:left="426"/>
        <w:rPr>
          <w:rFonts w:ascii="Times New Roman" w:hAnsi="Times New Roman"/>
          <w:sz w:val="18"/>
          <w:szCs w:val="18"/>
        </w:rPr>
      </w:pPr>
      <w:r w:rsidRPr="007F587D">
        <w:rPr>
          <w:rFonts w:ascii="Times New Roman" w:hAnsi="Times New Roman"/>
          <w:sz w:val="18"/>
          <w:szCs w:val="18"/>
        </w:rPr>
        <w:t>Záložné právo k</w:t>
      </w:r>
      <w:r>
        <w:rPr>
          <w:rFonts w:ascii="Times New Roman" w:hAnsi="Times New Roman"/>
          <w:sz w:val="18"/>
          <w:szCs w:val="18"/>
        </w:rPr>
        <w:t> </w:t>
      </w:r>
      <w:r w:rsidRPr="007F587D">
        <w:rPr>
          <w:rFonts w:ascii="Times New Roman" w:hAnsi="Times New Roman"/>
          <w:sz w:val="18"/>
          <w:szCs w:val="18"/>
        </w:rPr>
        <w:t>pohľadávkam</w:t>
      </w:r>
      <w:r>
        <w:rPr>
          <w:rFonts w:ascii="Times New Roman" w:hAnsi="Times New Roman"/>
          <w:sz w:val="18"/>
          <w:szCs w:val="18"/>
        </w:rPr>
        <w:t xml:space="preserve"> </w:t>
      </w:r>
      <w:r w:rsidRPr="007F587D">
        <w:rPr>
          <w:rFonts w:ascii="Times New Roman" w:hAnsi="Times New Roman"/>
          <w:sz w:val="18"/>
          <w:szCs w:val="18"/>
        </w:rPr>
        <w:t>– zriadenie a vznik záložného práva k pohľadávkam Dlžníka uzatvorením Záložnej zmluvy a registráciou záložného práva v Notárskom centrálnom registri záložných práv</w:t>
      </w:r>
      <w:r>
        <w:rPr>
          <w:rFonts w:ascii="Times New Roman" w:hAnsi="Times New Roman"/>
          <w:sz w:val="18"/>
          <w:szCs w:val="18"/>
        </w:rPr>
        <w:t xml:space="preserve">. </w:t>
      </w:r>
      <w:r w:rsidRPr="007F587D">
        <w:rPr>
          <w:rFonts w:ascii="Times New Roman" w:hAnsi="Times New Roman"/>
          <w:sz w:val="18"/>
          <w:szCs w:val="18"/>
        </w:rPr>
        <w:t>Najvyššia hodnota istiny</w:t>
      </w:r>
      <w:r>
        <w:rPr>
          <w:rFonts w:ascii="Times New Roman" w:hAnsi="Times New Roman"/>
          <w:sz w:val="18"/>
          <w:szCs w:val="18"/>
        </w:rPr>
        <w:br/>
        <w:t>je</w:t>
      </w:r>
      <w:r w:rsidRPr="007F587D">
        <w:rPr>
          <w:rFonts w:ascii="Times New Roman" w:hAnsi="Times New Roman"/>
          <w:sz w:val="18"/>
          <w:szCs w:val="18"/>
        </w:rPr>
        <w:t xml:space="preserve"> 300 </w:t>
      </w:r>
      <w:r>
        <w:rPr>
          <w:rFonts w:ascii="Times New Roman" w:hAnsi="Times New Roman"/>
          <w:sz w:val="18"/>
          <w:szCs w:val="18"/>
        </w:rPr>
        <w:t>tis.</w:t>
      </w:r>
      <w:r w:rsidRPr="007F587D">
        <w:rPr>
          <w:rFonts w:ascii="Times New Roman" w:hAnsi="Times New Roman"/>
          <w:sz w:val="18"/>
          <w:szCs w:val="18"/>
        </w:rPr>
        <w:t xml:space="preserve"> EUR</w:t>
      </w:r>
      <w:r>
        <w:rPr>
          <w:rFonts w:ascii="Times New Roman" w:hAnsi="Times New Roman"/>
          <w:sz w:val="18"/>
          <w:szCs w:val="18"/>
        </w:rPr>
        <w:t>.</w:t>
      </w:r>
    </w:p>
    <w:p w:rsidR="007F587D" w:rsidRPr="00105DB1" w:rsidRDefault="007F587D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:rsidR="0037564D" w:rsidRPr="00105DB1" w:rsidRDefault="0037564D" w:rsidP="004E2272">
      <w:pPr>
        <w:pStyle w:val="Heading2"/>
        <w:numPr>
          <w:ilvl w:val="0"/>
          <w:numId w:val="4"/>
        </w:numPr>
        <w:tabs>
          <w:tab w:val="clear" w:pos="360"/>
          <w:tab w:val="num" w:pos="426"/>
        </w:tabs>
        <w:jc w:val="lef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Krátkodobé finančné výpomoci</w:t>
      </w:r>
    </w:p>
    <w:p w:rsidR="0037564D" w:rsidRDefault="00105DB1" w:rsidP="00105DB1">
      <w:pPr>
        <w:pStyle w:val="BodyText"/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 xml:space="preserve">Spoločnosť eviduje </w:t>
      </w:r>
      <w:r w:rsidR="0037564D">
        <w:rPr>
          <w:rFonts w:ascii="Times New Roman" w:hAnsi="Times New Roman"/>
          <w:sz w:val="18"/>
          <w:szCs w:val="18"/>
        </w:rPr>
        <w:t>krátkodobé záväzky z pôžičky</w:t>
      </w:r>
      <w:r w:rsidRPr="00105DB1">
        <w:rPr>
          <w:rFonts w:ascii="Times New Roman" w:hAnsi="Times New Roman"/>
          <w:sz w:val="18"/>
          <w:szCs w:val="18"/>
        </w:rPr>
        <w:t xml:space="preserve"> voči </w:t>
      </w:r>
      <w:r w:rsidR="0037564D">
        <w:rPr>
          <w:rFonts w:ascii="Times New Roman" w:hAnsi="Times New Roman"/>
          <w:sz w:val="18"/>
          <w:szCs w:val="18"/>
        </w:rPr>
        <w:t>členovi dozornej rady Ing. Igor Grošaft (istina 55 tis. EUR)  s úrokovou sadzbou 8,9% p.a. splatnú 15. septembra 2021.</w:t>
      </w:r>
    </w:p>
    <w:p w:rsidR="00105DB1" w:rsidRPr="00105DB1" w:rsidRDefault="00105DB1" w:rsidP="00DA1489">
      <w:pPr>
        <w:rPr>
          <w:rFonts w:ascii="Times New Roman" w:hAnsi="Times New Roman"/>
          <w:snapToGrid w:val="0"/>
          <w:sz w:val="18"/>
          <w:szCs w:val="18"/>
          <w:lang w:eastAsia="sk-SK"/>
        </w:rPr>
      </w:pPr>
    </w:p>
    <w:p w:rsidR="00CE3EA3" w:rsidRPr="00105DB1" w:rsidRDefault="00CE3EA3" w:rsidP="004E2272">
      <w:pPr>
        <w:pStyle w:val="Heading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r w:rsidRPr="0037564D">
        <w:rPr>
          <w:rFonts w:ascii="Times New Roman" w:hAnsi="Times New Roman" w:cs="Times New Roman"/>
          <w:snapToGrid w:val="0"/>
          <w:szCs w:val="18"/>
          <w:lang w:eastAsia="sk-SK"/>
        </w:rPr>
        <w:t>Informácie</w:t>
      </w:r>
      <w:r w:rsidRPr="00105DB1">
        <w:rPr>
          <w:rFonts w:ascii="Times New Roman" w:hAnsi="Times New Roman" w:cs="Times New Roman"/>
          <w:szCs w:val="18"/>
        </w:rPr>
        <w:t xml:space="preserve"> o údajoch na podsúvahových  účtoch</w:t>
      </w:r>
    </w:p>
    <w:p w:rsidR="00CE3EA3" w:rsidRPr="00105DB1" w:rsidRDefault="00CE3EA3" w:rsidP="00CE3EA3">
      <w:pPr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Spoločnosť neeviduje majetok a záväzky na podsúvahových účtoch.</w:t>
      </w:r>
    </w:p>
    <w:p w:rsidR="00F43A1F" w:rsidRPr="00105DB1" w:rsidRDefault="00F43A1F" w:rsidP="00F43A1F">
      <w:pPr>
        <w:ind w:left="283"/>
        <w:rPr>
          <w:rFonts w:ascii="Times New Roman" w:hAnsi="Times New Roman"/>
          <w:b/>
          <w:snapToGrid w:val="0"/>
          <w:sz w:val="18"/>
          <w:szCs w:val="18"/>
          <w:lang w:eastAsia="sk-SK"/>
        </w:rPr>
      </w:pPr>
    </w:p>
    <w:p w:rsidR="00CE3EA3" w:rsidRPr="00105DB1" w:rsidRDefault="00CE3EA3" w:rsidP="004E2272">
      <w:pPr>
        <w:pStyle w:val="Heading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jc w:val="left"/>
        <w:rPr>
          <w:rFonts w:ascii="Times New Roman" w:hAnsi="Times New Roman" w:cs="Times New Roman"/>
          <w:szCs w:val="18"/>
        </w:rPr>
      </w:pPr>
      <w:r w:rsidRPr="00105DB1">
        <w:rPr>
          <w:rFonts w:ascii="Times New Roman" w:hAnsi="Times New Roman" w:cs="Times New Roman"/>
          <w:szCs w:val="18"/>
        </w:rPr>
        <w:t>Informácie o iných aktívach a iných pasívach</w:t>
      </w:r>
    </w:p>
    <w:p w:rsidR="00A636FC" w:rsidRPr="005C2C15" w:rsidRDefault="00A636FC" w:rsidP="005C2C15">
      <w:pPr>
        <w:pStyle w:val="BodyText"/>
        <w:rPr>
          <w:rFonts w:ascii="Times New Roman" w:hAnsi="Times New Roman"/>
          <w:sz w:val="18"/>
          <w:szCs w:val="18"/>
        </w:rPr>
      </w:pPr>
      <w:bookmarkStart w:id="7" w:name="_Toc530739921"/>
      <w:r w:rsidRPr="005C2C15">
        <w:rPr>
          <w:rFonts w:ascii="Times New Roman" w:hAnsi="Times New Roman"/>
          <w:sz w:val="18"/>
          <w:szCs w:val="18"/>
        </w:rPr>
        <w:t xml:space="preserve">Spoločnosť neeviduje </w:t>
      </w:r>
      <w:r w:rsidR="005C2C15" w:rsidRPr="005C2C15">
        <w:rPr>
          <w:rFonts w:ascii="Times New Roman" w:hAnsi="Times New Roman"/>
          <w:sz w:val="18"/>
          <w:szCs w:val="18"/>
        </w:rPr>
        <w:t xml:space="preserve">podmienený majetok, </w:t>
      </w:r>
      <w:bookmarkEnd w:id="7"/>
      <w:r w:rsidR="005C2C15" w:rsidRPr="005C2C15">
        <w:rPr>
          <w:rFonts w:ascii="Times New Roman" w:hAnsi="Times New Roman"/>
          <w:sz w:val="18"/>
          <w:szCs w:val="18"/>
        </w:rPr>
        <w:t xml:space="preserve">podmienené záväzky, ani </w:t>
      </w:r>
      <w:r w:rsidRPr="005C2C15">
        <w:rPr>
          <w:rFonts w:ascii="Times New Roman" w:hAnsi="Times New Roman"/>
          <w:sz w:val="18"/>
          <w:szCs w:val="18"/>
        </w:rPr>
        <w:t>ostatné finančné povinnosti</w:t>
      </w:r>
      <w:r w:rsidR="005C2C15" w:rsidRPr="005C2C15">
        <w:rPr>
          <w:rFonts w:ascii="Times New Roman" w:hAnsi="Times New Roman"/>
          <w:sz w:val="18"/>
          <w:szCs w:val="18"/>
        </w:rPr>
        <w:t xml:space="preserve">, ktoré sa nevykazujú </w:t>
      </w:r>
      <w:r w:rsidR="005C2C15">
        <w:rPr>
          <w:rFonts w:ascii="Times New Roman" w:hAnsi="Times New Roman"/>
          <w:sz w:val="18"/>
          <w:szCs w:val="18"/>
        </w:rPr>
        <w:br/>
      </w:r>
      <w:r w:rsidR="005C2C15" w:rsidRPr="005C2C15">
        <w:rPr>
          <w:rFonts w:ascii="Times New Roman" w:hAnsi="Times New Roman"/>
          <w:sz w:val="18"/>
          <w:szCs w:val="18"/>
        </w:rPr>
        <w:t xml:space="preserve">v </w:t>
      </w:r>
      <w:r w:rsidRPr="005C2C15">
        <w:rPr>
          <w:rFonts w:ascii="Times New Roman" w:hAnsi="Times New Roman"/>
          <w:sz w:val="18"/>
          <w:szCs w:val="18"/>
        </w:rPr>
        <w:t>účtovných výkazoch.</w:t>
      </w:r>
    </w:p>
    <w:p w:rsidR="00DA1489" w:rsidRPr="00105DB1" w:rsidRDefault="00DA1489" w:rsidP="00DA1489">
      <w:pPr>
        <w:rPr>
          <w:rFonts w:ascii="Times New Roman" w:hAnsi="Times New Roman"/>
          <w:b/>
          <w:bCs/>
          <w:snapToGrid w:val="0"/>
          <w:sz w:val="18"/>
          <w:szCs w:val="18"/>
          <w:lang w:eastAsia="sk-SK"/>
        </w:rPr>
      </w:pPr>
    </w:p>
    <w:p w:rsidR="00CE3EA3" w:rsidRPr="00105DB1" w:rsidRDefault="00CE3EA3" w:rsidP="004E2272">
      <w:pPr>
        <w:pStyle w:val="Heading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rPr>
          <w:rFonts w:ascii="Times New Roman" w:hAnsi="Times New Roman" w:cs="Times New Roman"/>
          <w:szCs w:val="18"/>
        </w:rPr>
      </w:pPr>
      <w:bookmarkStart w:id="8" w:name="_Toc530739923"/>
      <w:r w:rsidRPr="00105DB1">
        <w:rPr>
          <w:rFonts w:ascii="Times New Roman" w:hAnsi="Times New Roman" w:cs="Times New Roman"/>
          <w:szCs w:val="18"/>
        </w:rPr>
        <w:t>Informácie o príjmoch a výhodách členov štatutárnych orgánov, dozorných orgánov</w:t>
      </w:r>
      <w:bookmarkEnd w:id="8"/>
      <w:r w:rsidRPr="00105DB1">
        <w:rPr>
          <w:rFonts w:ascii="Times New Roman" w:hAnsi="Times New Roman" w:cs="Times New Roman"/>
          <w:szCs w:val="18"/>
        </w:rPr>
        <w:t xml:space="preserve"> a iných orgánov účtovnej jednotky</w:t>
      </w:r>
    </w:p>
    <w:p w:rsidR="00CE3EA3" w:rsidRPr="00105DB1" w:rsidRDefault="00CE3EA3" w:rsidP="00CE3EA3">
      <w:pPr>
        <w:rPr>
          <w:rFonts w:ascii="Times New Roman" w:hAnsi="Times New Roman"/>
          <w:sz w:val="18"/>
          <w:szCs w:val="18"/>
        </w:rPr>
      </w:pPr>
      <w:r w:rsidRPr="00105DB1">
        <w:rPr>
          <w:rFonts w:ascii="Times New Roman" w:hAnsi="Times New Roman"/>
          <w:sz w:val="18"/>
          <w:szCs w:val="18"/>
        </w:rPr>
        <w:t>Spoločnosť nevyplatila žiadne príjmy ani neposkytla iné výhody členom štatutárnych orgánov.</w:t>
      </w:r>
    </w:p>
    <w:p w:rsidR="00B83FFA" w:rsidRPr="00105DB1" w:rsidRDefault="00B83FFA" w:rsidP="00DA1489">
      <w:pPr>
        <w:rPr>
          <w:rFonts w:ascii="Times New Roman" w:hAnsi="Times New Roman"/>
          <w:b/>
          <w:bCs/>
          <w:snapToGrid w:val="0"/>
          <w:sz w:val="18"/>
          <w:szCs w:val="18"/>
          <w:lang w:eastAsia="sk-SK"/>
        </w:rPr>
      </w:pPr>
    </w:p>
    <w:p w:rsidR="00B83FFA" w:rsidRPr="00105DB1" w:rsidRDefault="00CE3EA3" w:rsidP="004E2272">
      <w:pPr>
        <w:pStyle w:val="Heading1"/>
        <w:numPr>
          <w:ilvl w:val="0"/>
          <w:numId w:val="3"/>
        </w:numPr>
        <w:tabs>
          <w:tab w:val="clear" w:pos="450"/>
          <w:tab w:val="num" w:pos="360"/>
        </w:tabs>
        <w:spacing w:before="120" w:after="60"/>
        <w:ind w:left="360"/>
        <w:rPr>
          <w:rFonts w:ascii="Times New Roman" w:hAnsi="Times New Roman" w:cs="Times New Roman"/>
          <w:b w:val="0"/>
          <w:bCs w:val="0"/>
          <w:snapToGrid w:val="0"/>
          <w:szCs w:val="18"/>
          <w:lang w:eastAsia="sk-SK"/>
        </w:rPr>
      </w:pPr>
      <w:r w:rsidRPr="00105DB1">
        <w:rPr>
          <w:rFonts w:ascii="Times New Roman" w:hAnsi="Times New Roman" w:cs="Times New Roman"/>
          <w:szCs w:val="18"/>
        </w:rPr>
        <w:t>INFORMÁCIE</w:t>
      </w:r>
      <w:r w:rsidRPr="00105DB1">
        <w:rPr>
          <w:rFonts w:ascii="Times New Roman" w:hAnsi="Times New Roman" w:cs="Times New Roman"/>
          <w:snapToGrid w:val="0"/>
          <w:szCs w:val="18"/>
          <w:lang w:eastAsia="sk-SK"/>
        </w:rPr>
        <w:t xml:space="preserve"> O SKUTOČNOSTIACH, KTORÉ NASTALI PO DNI, KU KTORÉMU SA ZOSTAVUJE ÚČTOVNÁ ZÁVIERKA, DO DŇA ZOSTAVENIA ÚČTOVNEJ ZÁVIERKY</w:t>
      </w:r>
    </w:p>
    <w:p w:rsidR="00CE3EA3" w:rsidRPr="00105DB1" w:rsidRDefault="00CE3EA3" w:rsidP="00CE3EA3">
      <w:pPr>
        <w:rPr>
          <w:rFonts w:ascii="Times New Roman" w:hAnsi="Times New Roman"/>
          <w:bCs/>
          <w:snapToGrid w:val="0"/>
          <w:sz w:val="18"/>
          <w:szCs w:val="18"/>
          <w:lang w:eastAsia="sk-SK"/>
        </w:rPr>
      </w:pPr>
      <w:r w:rsidRPr="00105DB1">
        <w:rPr>
          <w:rFonts w:ascii="Times New Roman" w:hAnsi="Times New Roman"/>
          <w:bCs/>
          <w:snapToGrid w:val="0"/>
          <w:sz w:val="18"/>
          <w:szCs w:val="18"/>
          <w:lang w:eastAsia="sk-SK"/>
        </w:rPr>
        <w:t>Celosvetová pandémia vírusu COVID-19 sa dotkla po</w:t>
      </w:r>
      <w:r w:rsidR="00D37174">
        <w:rPr>
          <w:rFonts w:ascii="Times New Roman" w:hAnsi="Times New Roman"/>
          <w:bCs/>
          <w:snapToGrid w:val="0"/>
          <w:sz w:val="18"/>
          <w:szCs w:val="18"/>
          <w:lang w:eastAsia="sk-SK"/>
        </w:rPr>
        <w:t>dnikania spoločnosti</w:t>
      </w:r>
      <w:r w:rsidRPr="00105DB1">
        <w:rPr>
          <w:rFonts w:ascii="Times New Roman" w:hAnsi="Times New Roman"/>
          <w:bCs/>
          <w:snapToGrid w:val="0"/>
          <w:sz w:val="18"/>
          <w:szCs w:val="18"/>
          <w:lang w:eastAsia="sk-SK"/>
        </w:rPr>
        <w:t>. Manažment spoločnosti neustále aplikuje všetky dostupné možnosti k zabezpečeniu plynulej aktivite a ochrane zamestnancov a aj naďalej bude pokračovať v monitorovaní potenciálneho dopadu a podnikne kroky na zmiernenie prípadných negatívnych účinkov na spoločnosť a jej zamestnancov.</w:t>
      </w:r>
    </w:p>
    <w:p w:rsidR="00CE3EA3" w:rsidRPr="00105DB1" w:rsidRDefault="00CE3EA3" w:rsidP="00CE3EA3">
      <w:pPr>
        <w:rPr>
          <w:rFonts w:ascii="Times New Roman" w:hAnsi="Times New Roman"/>
          <w:bCs/>
          <w:snapToGrid w:val="0"/>
          <w:sz w:val="18"/>
          <w:szCs w:val="18"/>
          <w:lang w:eastAsia="sk-SK"/>
        </w:rPr>
      </w:pPr>
    </w:p>
    <w:p w:rsidR="001E2635" w:rsidRDefault="00CE3EA3" w:rsidP="00CE3EA3">
      <w:pPr>
        <w:rPr>
          <w:rFonts w:ascii="Times New Roman" w:hAnsi="Times New Roman"/>
          <w:bCs/>
          <w:snapToGrid w:val="0"/>
          <w:sz w:val="18"/>
          <w:szCs w:val="18"/>
          <w:lang w:eastAsia="sk-SK"/>
        </w:rPr>
      </w:pPr>
      <w:r w:rsidRPr="00105DB1">
        <w:rPr>
          <w:rFonts w:ascii="Times New Roman" w:hAnsi="Times New Roman"/>
          <w:bCs/>
          <w:snapToGrid w:val="0"/>
          <w:sz w:val="18"/>
          <w:szCs w:val="18"/>
          <w:lang w:eastAsia="sk-SK"/>
        </w:rPr>
        <w:t xml:space="preserve">Dňa 24. februára 2022 sa spoločnosť prostredníctvom informácií z masmédií dozvedela o začiatku vojenského konfliktu </w:t>
      </w:r>
      <w:r w:rsidR="00AC0AFC">
        <w:rPr>
          <w:rFonts w:ascii="Times New Roman" w:hAnsi="Times New Roman"/>
          <w:bCs/>
          <w:snapToGrid w:val="0"/>
          <w:sz w:val="18"/>
          <w:szCs w:val="18"/>
          <w:lang w:eastAsia="sk-SK"/>
        </w:rPr>
        <w:br/>
      </w:r>
      <w:r w:rsidRPr="00105DB1">
        <w:rPr>
          <w:rFonts w:ascii="Times New Roman" w:hAnsi="Times New Roman"/>
          <w:bCs/>
          <w:snapToGrid w:val="0"/>
          <w:sz w:val="18"/>
          <w:szCs w:val="18"/>
          <w:lang w:eastAsia="sk-SK"/>
        </w:rPr>
        <w:t xml:space="preserve">na Ukrajine. Už počas prvých týždňov konfliktu zaznamenáva negatívny vplyv na rast a napredovanie nielen európska, </w:t>
      </w:r>
      <w:r w:rsidR="00AC0AFC">
        <w:rPr>
          <w:rFonts w:ascii="Times New Roman" w:hAnsi="Times New Roman"/>
          <w:bCs/>
          <w:snapToGrid w:val="0"/>
          <w:sz w:val="18"/>
          <w:szCs w:val="18"/>
          <w:lang w:eastAsia="sk-SK"/>
        </w:rPr>
        <w:br/>
      </w:r>
      <w:r w:rsidRPr="00105DB1">
        <w:rPr>
          <w:rFonts w:ascii="Times New Roman" w:hAnsi="Times New Roman"/>
          <w:bCs/>
          <w:snapToGrid w:val="0"/>
          <w:sz w:val="18"/>
          <w:szCs w:val="18"/>
          <w:lang w:eastAsia="sk-SK"/>
        </w:rPr>
        <w:t>ale aj svetová ekonomika. V čase zverejnenia tejto účtovnej závierky nie je možné predpovedať mieru potenciálneho dopadu na podnikanie spoločnosti. Manažment bude intenzívne pokračovať v monitorovaní situácie a podnikne kroky na zmiernenie akýchkoľvek negatívnych účinkov na spoločnosť a jej zamestnancov.</w:t>
      </w:r>
    </w:p>
    <w:p w:rsidR="005C2C15" w:rsidRDefault="005C2C15" w:rsidP="00CE3EA3">
      <w:pPr>
        <w:rPr>
          <w:rFonts w:ascii="Times New Roman" w:hAnsi="Times New Roman"/>
          <w:bCs/>
          <w:snapToGrid w:val="0"/>
          <w:sz w:val="18"/>
          <w:szCs w:val="18"/>
          <w:lang w:eastAsia="sk-SK"/>
        </w:rPr>
      </w:pPr>
    </w:p>
    <w:p w:rsidR="005C2C15" w:rsidRDefault="005C2C15" w:rsidP="005C2C15">
      <w:pPr>
        <w:rPr>
          <w:rFonts w:ascii="Times New Roman" w:hAnsi="Times New Roman"/>
          <w:bCs/>
          <w:snapToGrid w:val="0"/>
          <w:sz w:val="18"/>
          <w:szCs w:val="18"/>
          <w:lang w:eastAsia="sk-SK"/>
        </w:rPr>
      </w:pPr>
      <w:r>
        <w:rPr>
          <w:rFonts w:ascii="Times New Roman" w:hAnsi="Times New Roman"/>
          <w:bCs/>
          <w:snapToGrid w:val="0"/>
          <w:sz w:val="18"/>
          <w:szCs w:val="18"/>
          <w:lang w:eastAsia="sk-SK"/>
        </w:rPr>
        <w:t xml:space="preserve">Dcérska účtovná jednotka </w:t>
      </w:r>
      <w:r w:rsidRPr="005C2C15">
        <w:rPr>
          <w:rFonts w:ascii="Times New Roman" w:hAnsi="Times New Roman"/>
          <w:bCs/>
          <w:snapToGrid w:val="0"/>
          <w:sz w:val="18"/>
          <w:szCs w:val="18"/>
          <w:lang w:eastAsia="sk-SK"/>
        </w:rPr>
        <w:t>Slovenská monitorovacia agentúra a. s.</w:t>
      </w:r>
      <w:r>
        <w:rPr>
          <w:rFonts w:ascii="Times New Roman" w:hAnsi="Times New Roman"/>
          <w:bCs/>
          <w:snapToGrid w:val="0"/>
          <w:sz w:val="18"/>
          <w:szCs w:val="18"/>
          <w:lang w:eastAsia="sk-SK"/>
        </w:rPr>
        <w:t xml:space="preserve">, v ktorej Spoločnosť vlastnila 100% akcií bola </w:t>
      </w:r>
      <w:r w:rsidR="00AC0AFC">
        <w:rPr>
          <w:rFonts w:ascii="Times New Roman" w:hAnsi="Times New Roman"/>
          <w:bCs/>
          <w:snapToGrid w:val="0"/>
          <w:sz w:val="18"/>
          <w:szCs w:val="18"/>
          <w:lang w:eastAsia="sk-SK"/>
        </w:rPr>
        <w:br/>
      </w:r>
      <w:r>
        <w:rPr>
          <w:rFonts w:ascii="Times New Roman" w:hAnsi="Times New Roman"/>
          <w:bCs/>
          <w:snapToGrid w:val="0"/>
          <w:sz w:val="18"/>
          <w:szCs w:val="18"/>
          <w:lang w:eastAsia="sk-SK"/>
        </w:rPr>
        <w:t>d</w:t>
      </w:r>
      <w:r w:rsidR="00AC0AFC">
        <w:rPr>
          <w:rFonts w:ascii="Times New Roman" w:hAnsi="Times New Roman"/>
          <w:bCs/>
          <w:snapToGrid w:val="0"/>
          <w:sz w:val="18"/>
          <w:szCs w:val="18"/>
          <w:lang w:eastAsia="sk-SK"/>
        </w:rPr>
        <w:t xml:space="preserve">ňa </w:t>
      </w:r>
      <w:r>
        <w:rPr>
          <w:rFonts w:ascii="Times New Roman" w:hAnsi="Times New Roman"/>
          <w:bCs/>
          <w:snapToGrid w:val="0"/>
          <w:sz w:val="18"/>
          <w:szCs w:val="18"/>
          <w:lang w:eastAsia="sk-SK"/>
        </w:rPr>
        <w:t xml:space="preserve">8. apríla 2022 </w:t>
      </w:r>
      <w:r w:rsidR="00A204BE">
        <w:rPr>
          <w:rFonts w:ascii="Times New Roman" w:hAnsi="Times New Roman"/>
          <w:bCs/>
          <w:snapToGrid w:val="0"/>
          <w:sz w:val="18"/>
          <w:szCs w:val="18"/>
          <w:lang w:eastAsia="sk-SK"/>
        </w:rPr>
        <w:t>vymazaná z Obchodného registra</w:t>
      </w:r>
      <w:r w:rsidR="00A204BE">
        <w:t xml:space="preserve"> </w:t>
      </w:r>
      <w:r w:rsidR="00A204BE" w:rsidRPr="00A204BE">
        <w:rPr>
          <w:rFonts w:ascii="Times New Roman" w:hAnsi="Times New Roman"/>
          <w:bCs/>
          <w:snapToGrid w:val="0"/>
          <w:sz w:val="18"/>
          <w:szCs w:val="18"/>
          <w:lang w:eastAsia="sk-SK"/>
        </w:rPr>
        <w:t>Okresného súdu Bratislava I</w:t>
      </w:r>
      <w:r w:rsidR="00A204BE">
        <w:rPr>
          <w:rFonts w:ascii="Times New Roman" w:hAnsi="Times New Roman"/>
          <w:bCs/>
          <w:snapToGrid w:val="0"/>
          <w:sz w:val="18"/>
          <w:szCs w:val="18"/>
          <w:lang w:eastAsia="sk-SK"/>
        </w:rPr>
        <w:t xml:space="preserve">, podľa </w:t>
      </w:r>
      <w:r w:rsidR="00A204BE" w:rsidRPr="00A204BE">
        <w:rPr>
          <w:rFonts w:ascii="Times New Roman" w:hAnsi="Times New Roman"/>
          <w:bCs/>
          <w:snapToGrid w:val="0"/>
          <w:sz w:val="18"/>
          <w:szCs w:val="18"/>
          <w:lang w:eastAsia="sk-SK"/>
        </w:rPr>
        <w:t xml:space="preserve">§ 768s ods. 2 zákona č. 513/1991 Zb. </w:t>
      </w:r>
      <w:r w:rsidR="00A204BE">
        <w:rPr>
          <w:rFonts w:ascii="Times New Roman" w:hAnsi="Times New Roman"/>
          <w:bCs/>
          <w:snapToGrid w:val="0"/>
          <w:sz w:val="18"/>
          <w:szCs w:val="18"/>
          <w:lang w:eastAsia="sk-SK"/>
        </w:rPr>
        <w:br/>
      </w:r>
      <w:r w:rsidR="00A204BE" w:rsidRPr="00A204BE">
        <w:rPr>
          <w:rFonts w:ascii="Times New Roman" w:hAnsi="Times New Roman"/>
          <w:bCs/>
          <w:snapToGrid w:val="0"/>
          <w:sz w:val="18"/>
          <w:szCs w:val="18"/>
          <w:lang w:eastAsia="sk-SK"/>
        </w:rPr>
        <w:t>v znení zákona č. 390/2019 Z.z.</w:t>
      </w:r>
      <w:r w:rsidR="00A204BE">
        <w:rPr>
          <w:rFonts w:ascii="Times New Roman" w:hAnsi="Times New Roman"/>
          <w:bCs/>
          <w:snapToGrid w:val="0"/>
          <w:sz w:val="18"/>
          <w:szCs w:val="18"/>
          <w:lang w:eastAsia="sk-SK"/>
        </w:rPr>
        <w:t>.</w:t>
      </w:r>
      <w:bookmarkStart w:id="9" w:name="_GoBack"/>
      <w:bookmarkEnd w:id="9"/>
    </w:p>
    <w:p w:rsidR="005C2C15" w:rsidRPr="005C2C15" w:rsidRDefault="005C2C15" w:rsidP="005C2C15">
      <w:pPr>
        <w:rPr>
          <w:rFonts w:ascii="Times New Roman" w:hAnsi="Times New Roman"/>
          <w:sz w:val="24"/>
          <w:szCs w:val="24"/>
          <w:lang w:eastAsia="sk-SK"/>
        </w:rPr>
      </w:pPr>
    </w:p>
    <w:p w:rsidR="005C2C15" w:rsidRPr="00105DB1" w:rsidRDefault="005C2C15" w:rsidP="00CE3EA3">
      <w:pPr>
        <w:rPr>
          <w:rFonts w:ascii="Times New Roman" w:hAnsi="Times New Roman"/>
          <w:bCs/>
          <w:snapToGrid w:val="0"/>
          <w:sz w:val="18"/>
          <w:szCs w:val="18"/>
          <w:lang w:eastAsia="sk-SK"/>
        </w:rPr>
      </w:pPr>
    </w:p>
    <w:sectPr w:rsidR="005C2C15" w:rsidRPr="00105DB1" w:rsidSect="008E3271">
      <w:headerReference w:type="default" r:id="rId14"/>
      <w:footerReference w:type="default" r:id="rId15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2272" w:rsidRDefault="004E2272">
      <w:r>
        <w:separator/>
      </w:r>
    </w:p>
  </w:endnote>
  <w:endnote w:type="continuationSeparator" w:id="0">
    <w:p w:rsidR="004E2272" w:rsidRDefault="004E22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75FC" w:rsidRDefault="00BB75FC" w:rsidP="001B30A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C0AFC">
      <w:rPr>
        <w:rStyle w:val="PageNumber"/>
        <w:noProof/>
      </w:rPr>
      <w:t>2</w:t>
    </w:r>
    <w:r>
      <w:rPr>
        <w:rStyle w:val="PageNumber"/>
      </w:rPr>
      <w:fldChar w:fldCharType="end"/>
    </w:r>
  </w:p>
  <w:p w:rsidR="00BB75FC" w:rsidRDefault="00BB75FC" w:rsidP="00C81150">
    <w:pPr>
      <w:pStyle w:val="Footer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2272" w:rsidRDefault="004E2272">
      <w:r>
        <w:separator/>
      </w:r>
    </w:p>
  </w:footnote>
  <w:footnote w:type="continuationSeparator" w:id="0">
    <w:p w:rsidR="004E2272" w:rsidRDefault="004E22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17072" w:rsidRPr="00817072" w:rsidRDefault="00817072" w:rsidP="00817072">
    <w:pPr>
      <w:pStyle w:val="Header"/>
      <w:tabs>
        <w:tab w:val="center" w:pos="3969"/>
        <w:tab w:val="right" w:pos="9214"/>
      </w:tabs>
      <w:rPr>
        <w:rFonts w:ascii="Times New Roman" w:hAnsi="Times New Roman"/>
        <w:color w:val="000000" w:themeColor="text1"/>
        <w:sz w:val="18"/>
      </w:rPr>
    </w:pPr>
    <w:r w:rsidRPr="00817072">
      <w:rPr>
        <w:rFonts w:ascii="Times New Roman" w:hAnsi="Times New Roman"/>
        <w:color w:val="000000" w:themeColor="text1"/>
        <w:sz w:val="18"/>
      </w:rPr>
      <w:tab/>
    </w:r>
  </w:p>
  <w:p w:rsidR="00817072" w:rsidRDefault="00817072" w:rsidP="00817072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rFonts w:ascii="Times New Roman" w:hAnsi="Times New Roman"/>
        <w:color w:val="000000" w:themeColor="text1"/>
        <w:sz w:val="18"/>
      </w:rPr>
    </w:pPr>
    <w:r w:rsidRPr="00817072">
      <w:rPr>
        <w:rFonts w:ascii="Times New Roman" w:hAnsi="Times New Roman"/>
        <w:color w:val="000000" w:themeColor="text1"/>
        <w:sz w:val="18"/>
      </w:rPr>
      <w:t>SITA Slovenská tlačová agentúra a.s.</w:t>
    </w:r>
  </w:p>
  <w:p w:rsidR="00817072" w:rsidRPr="00817072" w:rsidRDefault="00817072" w:rsidP="00817072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rFonts w:ascii="Times New Roman" w:hAnsi="Times New Roman"/>
        <w:b w:val="0"/>
        <w:color w:val="FF0000"/>
        <w:sz w:val="18"/>
        <w:szCs w:val="18"/>
      </w:rPr>
    </w:pPr>
    <w:r w:rsidRPr="00817072">
      <w:rPr>
        <w:rFonts w:ascii="Times New Roman" w:hAnsi="Times New Roman"/>
        <w:sz w:val="18"/>
        <w:szCs w:val="18"/>
      </w:rPr>
      <w:t xml:space="preserve">Poznámky </w:t>
    </w:r>
    <w:r w:rsidRPr="00817072">
      <w:rPr>
        <w:rFonts w:ascii="Times New Roman" w:hAnsi="Times New Roman"/>
      </w:rPr>
      <w:t>Úč POD 3-01</w:t>
    </w:r>
    <w:r w:rsidRPr="00817072">
      <w:rPr>
        <w:rFonts w:ascii="Times New Roman" w:hAnsi="Times New Roman"/>
        <w:sz w:val="18"/>
        <w:szCs w:val="18"/>
      </w:rPr>
      <w:t xml:space="preserve">                                                                                                                           </w:t>
    </w:r>
    <w:r w:rsidRPr="00817072">
      <w:rPr>
        <w:rFonts w:ascii="Times New Roman" w:hAnsi="Times New Roman"/>
        <w:color w:val="000000" w:themeColor="text1"/>
        <w:sz w:val="18"/>
        <w:szCs w:val="18"/>
      </w:rPr>
      <w:t>IČO:</w:t>
    </w:r>
    <w:r>
      <w:rPr>
        <w:rFonts w:ascii="Times New Roman" w:hAnsi="Times New Roman"/>
        <w:color w:val="000000" w:themeColor="text1"/>
        <w:sz w:val="18"/>
        <w:szCs w:val="18"/>
      </w:rPr>
      <w:t xml:space="preserve"> 357 452 74</w:t>
    </w:r>
  </w:p>
  <w:p w:rsidR="00817072" w:rsidRPr="00817072" w:rsidRDefault="00817072" w:rsidP="00817072">
    <w:pPr>
      <w:pStyle w:val="Header"/>
      <w:rPr>
        <w:rFonts w:ascii="Times New Roman" w:hAnsi="Times New Roman"/>
        <w:sz w:val="24"/>
      </w:rPr>
    </w:pPr>
    <w:r w:rsidRPr="00817072">
      <w:rPr>
        <w:rFonts w:ascii="Times New Roman" w:hAnsi="Times New Roman"/>
        <w:b w:val="0"/>
        <w:sz w:val="18"/>
        <w:szCs w:val="18"/>
      </w:rPr>
      <w:t>individuálnej účtovnej závierky zostavenej k</w:t>
    </w:r>
    <w:r w:rsidRPr="00817072">
      <w:rPr>
        <w:rFonts w:ascii="Times New Roman" w:hAnsi="Times New Roman"/>
        <w:b w:val="0"/>
        <w:bCs/>
        <w:sz w:val="18"/>
        <w:szCs w:val="18"/>
      </w:rPr>
      <w:t xml:space="preserve"> </w:t>
    </w:r>
    <w:r w:rsidRPr="00817072">
      <w:rPr>
        <w:rFonts w:ascii="Times New Roman" w:hAnsi="Times New Roman"/>
        <w:b w:val="0"/>
        <w:sz w:val="18"/>
        <w:szCs w:val="18"/>
      </w:rPr>
      <w:t>31. decembru</w:t>
    </w:r>
    <w:r>
      <w:rPr>
        <w:rFonts w:ascii="Times New Roman" w:hAnsi="Times New Roman"/>
        <w:b w:val="0"/>
        <w:sz w:val="18"/>
        <w:szCs w:val="18"/>
      </w:rPr>
      <w:t xml:space="preserve"> 2021 </w:t>
    </w:r>
    <w:r w:rsidRPr="00817072">
      <w:rPr>
        <w:rFonts w:ascii="Times New Roman" w:hAnsi="Times New Roman"/>
        <w:color w:val="000000" w:themeColor="text1"/>
        <w:sz w:val="18"/>
        <w:szCs w:val="18"/>
      </w:rPr>
      <w:t xml:space="preserve">                                                           DIČ:</w:t>
    </w:r>
    <w:r>
      <w:rPr>
        <w:rFonts w:ascii="Times New Roman" w:hAnsi="Times New Roman"/>
        <w:color w:val="000000" w:themeColor="text1"/>
        <w:sz w:val="18"/>
        <w:szCs w:val="18"/>
      </w:rPr>
      <w:t>2021406475</w:t>
    </w:r>
  </w:p>
  <w:p w:rsidR="00BB75FC" w:rsidRDefault="00BB75FC" w:rsidP="00C811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multilevel"/>
    <w:tmpl w:val="6450AE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79686D7C"/>
    <w:multiLevelType w:val="multilevel"/>
    <w:tmpl w:val="67C8E190"/>
    <w:lvl w:ilvl="0">
      <w:start w:val="1"/>
      <w:numFmt w:val="upperRoman"/>
      <w:pStyle w:val="Heading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Heading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  <w:lvlOverride w:ilvl="0">
      <w:startOverride w:val="1"/>
    </w:lvlOverride>
  </w:num>
  <w:num w:numId="5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1636"/>
    <w:rsid w:val="00002298"/>
    <w:rsid w:val="0000330F"/>
    <w:rsid w:val="00011855"/>
    <w:rsid w:val="00015094"/>
    <w:rsid w:val="0001515D"/>
    <w:rsid w:val="000152FD"/>
    <w:rsid w:val="0002745C"/>
    <w:rsid w:val="00030FB9"/>
    <w:rsid w:val="00031812"/>
    <w:rsid w:val="0003554D"/>
    <w:rsid w:val="00036C64"/>
    <w:rsid w:val="0003701A"/>
    <w:rsid w:val="00042DF7"/>
    <w:rsid w:val="00043634"/>
    <w:rsid w:val="00046E42"/>
    <w:rsid w:val="00050A1F"/>
    <w:rsid w:val="00061A44"/>
    <w:rsid w:val="0007255E"/>
    <w:rsid w:val="00074078"/>
    <w:rsid w:val="000766EF"/>
    <w:rsid w:val="00076D86"/>
    <w:rsid w:val="000909F9"/>
    <w:rsid w:val="00094FB1"/>
    <w:rsid w:val="000B32E2"/>
    <w:rsid w:val="000B6FB9"/>
    <w:rsid w:val="000D5873"/>
    <w:rsid w:val="000D6844"/>
    <w:rsid w:val="000E2F4B"/>
    <w:rsid w:val="000E4315"/>
    <w:rsid w:val="000E62C7"/>
    <w:rsid w:val="000F0159"/>
    <w:rsid w:val="000F2546"/>
    <w:rsid w:val="000F3D4D"/>
    <w:rsid w:val="00102E76"/>
    <w:rsid w:val="00105DB1"/>
    <w:rsid w:val="00111C30"/>
    <w:rsid w:val="00112165"/>
    <w:rsid w:val="00113235"/>
    <w:rsid w:val="001136FE"/>
    <w:rsid w:val="001145C2"/>
    <w:rsid w:val="00116001"/>
    <w:rsid w:val="00120889"/>
    <w:rsid w:val="00122C47"/>
    <w:rsid w:val="00131831"/>
    <w:rsid w:val="00134C67"/>
    <w:rsid w:val="001357CA"/>
    <w:rsid w:val="001364DE"/>
    <w:rsid w:val="00144DE5"/>
    <w:rsid w:val="00150CFF"/>
    <w:rsid w:val="00153FAB"/>
    <w:rsid w:val="001559B4"/>
    <w:rsid w:val="00155D5E"/>
    <w:rsid w:val="00156B6C"/>
    <w:rsid w:val="00162043"/>
    <w:rsid w:val="001632B1"/>
    <w:rsid w:val="001635B3"/>
    <w:rsid w:val="00165574"/>
    <w:rsid w:val="00171F23"/>
    <w:rsid w:val="00172B11"/>
    <w:rsid w:val="0017670A"/>
    <w:rsid w:val="001767B3"/>
    <w:rsid w:val="00181749"/>
    <w:rsid w:val="00182445"/>
    <w:rsid w:val="00182674"/>
    <w:rsid w:val="00183410"/>
    <w:rsid w:val="00187B0A"/>
    <w:rsid w:val="0019050E"/>
    <w:rsid w:val="0019430E"/>
    <w:rsid w:val="001944F7"/>
    <w:rsid w:val="00194548"/>
    <w:rsid w:val="00195118"/>
    <w:rsid w:val="001A0E29"/>
    <w:rsid w:val="001A754A"/>
    <w:rsid w:val="001B30A4"/>
    <w:rsid w:val="001B4342"/>
    <w:rsid w:val="001B46CD"/>
    <w:rsid w:val="001B64D2"/>
    <w:rsid w:val="001C4443"/>
    <w:rsid w:val="001C74DE"/>
    <w:rsid w:val="001D1F2F"/>
    <w:rsid w:val="001D2C69"/>
    <w:rsid w:val="001D493A"/>
    <w:rsid w:val="001D504C"/>
    <w:rsid w:val="001E01F8"/>
    <w:rsid w:val="001E0349"/>
    <w:rsid w:val="001E2635"/>
    <w:rsid w:val="001E6FA6"/>
    <w:rsid w:val="00202131"/>
    <w:rsid w:val="00211884"/>
    <w:rsid w:val="00212BDF"/>
    <w:rsid w:val="00216324"/>
    <w:rsid w:val="00220B87"/>
    <w:rsid w:val="00222492"/>
    <w:rsid w:val="0022293F"/>
    <w:rsid w:val="00230AB9"/>
    <w:rsid w:val="0023693E"/>
    <w:rsid w:val="0024015E"/>
    <w:rsid w:val="00245D06"/>
    <w:rsid w:val="00247993"/>
    <w:rsid w:val="0025057D"/>
    <w:rsid w:val="00250AC8"/>
    <w:rsid w:val="0026117A"/>
    <w:rsid w:val="00263504"/>
    <w:rsid w:val="00264D66"/>
    <w:rsid w:val="00264F50"/>
    <w:rsid w:val="00267E51"/>
    <w:rsid w:val="002747FF"/>
    <w:rsid w:val="002760B1"/>
    <w:rsid w:val="0028631C"/>
    <w:rsid w:val="0029336D"/>
    <w:rsid w:val="00295DB1"/>
    <w:rsid w:val="002A0983"/>
    <w:rsid w:val="002A11A5"/>
    <w:rsid w:val="002A472F"/>
    <w:rsid w:val="002A6E9F"/>
    <w:rsid w:val="002C1336"/>
    <w:rsid w:val="002C3568"/>
    <w:rsid w:val="002C3655"/>
    <w:rsid w:val="002C4095"/>
    <w:rsid w:val="002C437F"/>
    <w:rsid w:val="002D28D9"/>
    <w:rsid w:val="002D6583"/>
    <w:rsid w:val="002E19BA"/>
    <w:rsid w:val="002E7E87"/>
    <w:rsid w:val="002F3980"/>
    <w:rsid w:val="002F649F"/>
    <w:rsid w:val="002F78A4"/>
    <w:rsid w:val="00301AF5"/>
    <w:rsid w:val="00306504"/>
    <w:rsid w:val="00311390"/>
    <w:rsid w:val="0031154A"/>
    <w:rsid w:val="003172C6"/>
    <w:rsid w:val="00317876"/>
    <w:rsid w:val="00320EF4"/>
    <w:rsid w:val="00321F75"/>
    <w:rsid w:val="00327266"/>
    <w:rsid w:val="003276C4"/>
    <w:rsid w:val="00330AB2"/>
    <w:rsid w:val="00332B4B"/>
    <w:rsid w:val="00336651"/>
    <w:rsid w:val="003407DC"/>
    <w:rsid w:val="00341A18"/>
    <w:rsid w:val="00347960"/>
    <w:rsid w:val="00351C91"/>
    <w:rsid w:val="00354434"/>
    <w:rsid w:val="003551C8"/>
    <w:rsid w:val="00356084"/>
    <w:rsid w:val="003625E1"/>
    <w:rsid w:val="00363103"/>
    <w:rsid w:val="00365301"/>
    <w:rsid w:val="003661CA"/>
    <w:rsid w:val="00370B93"/>
    <w:rsid w:val="00374610"/>
    <w:rsid w:val="0037564D"/>
    <w:rsid w:val="003772F6"/>
    <w:rsid w:val="003808BC"/>
    <w:rsid w:val="00381164"/>
    <w:rsid w:val="003819E4"/>
    <w:rsid w:val="00382AED"/>
    <w:rsid w:val="0038637A"/>
    <w:rsid w:val="00386705"/>
    <w:rsid w:val="00394CF8"/>
    <w:rsid w:val="003A28A0"/>
    <w:rsid w:val="003A661C"/>
    <w:rsid w:val="003A6DD6"/>
    <w:rsid w:val="003B3C94"/>
    <w:rsid w:val="003B4DD7"/>
    <w:rsid w:val="003B6130"/>
    <w:rsid w:val="003B66C9"/>
    <w:rsid w:val="003C0DDB"/>
    <w:rsid w:val="003C1693"/>
    <w:rsid w:val="003C6448"/>
    <w:rsid w:val="003D0DC9"/>
    <w:rsid w:val="003D1EE2"/>
    <w:rsid w:val="003D76C3"/>
    <w:rsid w:val="003E1817"/>
    <w:rsid w:val="003E56C8"/>
    <w:rsid w:val="003E581A"/>
    <w:rsid w:val="003F00BD"/>
    <w:rsid w:val="003F0FCA"/>
    <w:rsid w:val="003F483C"/>
    <w:rsid w:val="0040240A"/>
    <w:rsid w:val="004026F7"/>
    <w:rsid w:val="004032CB"/>
    <w:rsid w:val="004057E4"/>
    <w:rsid w:val="004060AA"/>
    <w:rsid w:val="00407215"/>
    <w:rsid w:val="004073B1"/>
    <w:rsid w:val="004123C2"/>
    <w:rsid w:val="0041301E"/>
    <w:rsid w:val="00417846"/>
    <w:rsid w:val="004222FE"/>
    <w:rsid w:val="00422657"/>
    <w:rsid w:val="00425DB7"/>
    <w:rsid w:val="00425F00"/>
    <w:rsid w:val="0043110A"/>
    <w:rsid w:val="00432CC6"/>
    <w:rsid w:val="00441021"/>
    <w:rsid w:val="00442948"/>
    <w:rsid w:val="004431DF"/>
    <w:rsid w:val="004445DF"/>
    <w:rsid w:val="004512B1"/>
    <w:rsid w:val="00453985"/>
    <w:rsid w:val="004571A0"/>
    <w:rsid w:val="0046057E"/>
    <w:rsid w:val="00460592"/>
    <w:rsid w:val="0046281B"/>
    <w:rsid w:val="0046379A"/>
    <w:rsid w:val="00465890"/>
    <w:rsid w:val="0047248B"/>
    <w:rsid w:val="00473947"/>
    <w:rsid w:val="00477E08"/>
    <w:rsid w:val="00477F62"/>
    <w:rsid w:val="00483D73"/>
    <w:rsid w:val="00487854"/>
    <w:rsid w:val="0049088A"/>
    <w:rsid w:val="004911E0"/>
    <w:rsid w:val="0049351E"/>
    <w:rsid w:val="004964F5"/>
    <w:rsid w:val="004979AC"/>
    <w:rsid w:val="004979BD"/>
    <w:rsid w:val="004B1BC7"/>
    <w:rsid w:val="004B48AA"/>
    <w:rsid w:val="004B4E67"/>
    <w:rsid w:val="004B5701"/>
    <w:rsid w:val="004D024A"/>
    <w:rsid w:val="004D3D2E"/>
    <w:rsid w:val="004E1CB2"/>
    <w:rsid w:val="004E2272"/>
    <w:rsid w:val="004E32C6"/>
    <w:rsid w:val="004E7708"/>
    <w:rsid w:val="004F1A12"/>
    <w:rsid w:val="005009EF"/>
    <w:rsid w:val="00501555"/>
    <w:rsid w:val="00502FB9"/>
    <w:rsid w:val="00503DAA"/>
    <w:rsid w:val="00504425"/>
    <w:rsid w:val="00507587"/>
    <w:rsid w:val="00510D45"/>
    <w:rsid w:val="00510F34"/>
    <w:rsid w:val="00511BA5"/>
    <w:rsid w:val="00511DA2"/>
    <w:rsid w:val="00513CD3"/>
    <w:rsid w:val="00516294"/>
    <w:rsid w:val="00516FB6"/>
    <w:rsid w:val="00521BEB"/>
    <w:rsid w:val="00527746"/>
    <w:rsid w:val="005278F0"/>
    <w:rsid w:val="005301C0"/>
    <w:rsid w:val="0053243B"/>
    <w:rsid w:val="005333BB"/>
    <w:rsid w:val="00535EA4"/>
    <w:rsid w:val="00536D18"/>
    <w:rsid w:val="00541067"/>
    <w:rsid w:val="0054112A"/>
    <w:rsid w:val="00542472"/>
    <w:rsid w:val="00542B27"/>
    <w:rsid w:val="0055258C"/>
    <w:rsid w:val="005566B2"/>
    <w:rsid w:val="00557FE4"/>
    <w:rsid w:val="005617FF"/>
    <w:rsid w:val="00561D6C"/>
    <w:rsid w:val="005626F1"/>
    <w:rsid w:val="0056440F"/>
    <w:rsid w:val="00566707"/>
    <w:rsid w:val="00570132"/>
    <w:rsid w:val="00570C4B"/>
    <w:rsid w:val="00573D9C"/>
    <w:rsid w:val="00575052"/>
    <w:rsid w:val="00576A7B"/>
    <w:rsid w:val="00577700"/>
    <w:rsid w:val="00583B15"/>
    <w:rsid w:val="00583F26"/>
    <w:rsid w:val="00584733"/>
    <w:rsid w:val="00585AD0"/>
    <w:rsid w:val="005916FF"/>
    <w:rsid w:val="0059478A"/>
    <w:rsid w:val="005A6A34"/>
    <w:rsid w:val="005A6FBB"/>
    <w:rsid w:val="005B3987"/>
    <w:rsid w:val="005B57EA"/>
    <w:rsid w:val="005B6728"/>
    <w:rsid w:val="005C1300"/>
    <w:rsid w:val="005C2C15"/>
    <w:rsid w:val="005C33EF"/>
    <w:rsid w:val="005C501F"/>
    <w:rsid w:val="005C6AA3"/>
    <w:rsid w:val="005E2ECA"/>
    <w:rsid w:val="005F07B4"/>
    <w:rsid w:val="00601B76"/>
    <w:rsid w:val="00602C59"/>
    <w:rsid w:val="00605792"/>
    <w:rsid w:val="00612B6F"/>
    <w:rsid w:val="00614C42"/>
    <w:rsid w:val="00617453"/>
    <w:rsid w:val="006204AE"/>
    <w:rsid w:val="00620ED1"/>
    <w:rsid w:val="00621694"/>
    <w:rsid w:val="00622A31"/>
    <w:rsid w:val="00626BD5"/>
    <w:rsid w:val="006307C8"/>
    <w:rsid w:val="00630963"/>
    <w:rsid w:val="006310BA"/>
    <w:rsid w:val="006473B9"/>
    <w:rsid w:val="0065127C"/>
    <w:rsid w:val="00660D74"/>
    <w:rsid w:val="006636E0"/>
    <w:rsid w:val="006673E0"/>
    <w:rsid w:val="00670CB7"/>
    <w:rsid w:val="006762BE"/>
    <w:rsid w:val="00681D3E"/>
    <w:rsid w:val="00682402"/>
    <w:rsid w:val="0068249F"/>
    <w:rsid w:val="00683DD2"/>
    <w:rsid w:val="006928BF"/>
    <w:rsid w:val="00692C72"/>
    <w:rsid w:val="00694316"/>
    <w:rsid w:val="006952D1"/>
    <w:rsid w:val="006A112E"/>
    <w:rsid w:val="006A335F"/>
    <w:rsid w:val="006A34C2"/>
    <w:rsid w:val="006A43C6"/>
    <w:rsid w:val="006A49A3"/>
    <w:rsid w:val="006B4DBD"/>
    <w:rsid w:val="006B72BF"/>
    <w:rsid w:val="006B7EFB"/>
    <w:rsid w:val="006C399F"/>
    <w:rsid w:val="006D785A"/>
    <w:rsid w:val="006E0C17"/>
    <w:rsid w:val="006E150C"/>
    <w:rsid w:val="006E6861"/>
    <w:rsid w:val="006E6AFB"/>
    <w:rsid w:val="006F00F2"/>
    <w:rsid w:val="006F1C45"/>
    <w:rsid w:val="006F4805"/>
    <w:rsid w:val="006F4D01"/>
    <w:rsid w:val="00703126"/>
    <w:rsid w:val="0071066B"/>
    <w:rsid w:val="00713309"/>
    <w:rsid w:val="007137B5"/>
    <w:rsid w:val="00715E9D"/>
    <w:rsid w:val="00723626"/>
    <w:rsid w:val="00730659"/>
    <w:rsid w:val="00731964"/>
    <w:rsid w:val="00733C99"/>
    <w:rsid w:val="00734052"/>
    <w:rsid w:val="00744079"/>
    <w:rsid w:val="0074448F"/>
    <w:rsid w:val="0074625E"/>
    <w:rsid w:val="00746D97"/>
    <w:rsid w:val="00751B5B"/>
    <w:rsid w:val="007550D8"/>
    <w:rsid w:val="007603B5"/>
    <w:rsid w:val="00760803"/>
    <w:rsid w:val="00760EE4"/>
    <w:rsid w:val="007612A8"/>
    <w:rsid w:val="00761720"/>
    <w:rsid w:val="0076510D"/>
    <w:rsid w:val="007667A8"/>
    <w:rsid w:val="00767261"/>
    <w:rsid w:val="00770369"/>
    <w:rsid w:val="00771111"/>
    <w:rsid w:val="00771B59"/>
    <w:rsid w:val="007737E9"/>
    <w:rsid w:val="00774339"/>
    <w:rsid w:val="00776789"/>
    <w:rsid w:val="00777B58"/>
    <w:rsid w:val="0078116A"/>
    <w:rsid w:val="00793616"/>
    <w:rsid w:val="00793BD6"/>
    <w:rsid w:val="00795403"/>
    <w:rsid w:val="007978F7"/>
    <w:rsid w:val="007A11FB"/>
    <w:rsid w:val="007A4E31"/>
    <w:rsid w:val="007A7AAE"/>
    <w:rsid w:val="007B3ADC"/>
    <w:rsid w:val="007B6E6A"/>
    <w:rsid w:val="007C4056"/>
    <w:rsid w:val="007C6D77"/>
    <w:rsid w:val="007D0C62"/>
    <w:rsid w:val="007D506E"/>
    <w:rsid w:val="007D6C8D"/>
    <w:rsid w:val="007D763E"/>
    <w:rsid w:val="007D77C0"/>
    <w:rsid w:val="007E0B3D"/>
    <w:rsid w:val="007E0D57"/>
    <w:rsid w:val="007E6482"/>
    <w:rsid w:val="007E693E"/>
    <w:rsid w:val="007F1711"/>
    <w:rsid w:val="007F2B64"/>
    <w:rsid w:val="007F4C46"/>
    <w:rsid w:val="007F587D"/>
    <w:rsid w:val="007F5F83"/>
    <w:rsid w:val="007F6BA6"/>
    <w:rsid w:val="007F78F7"/>
    <w:rsid w:val="007F7E32"/>
    <w:rsid w:val="008003EA"/>
    <w:rsid w:val="00800D02"/>
    <w:rsid w:val="0080235D"/>
    <w:rsid w:val="0080288F"/>
    <w:rsid w:val="0080303C"/>
    <w:rsid w:val="0080344C"/>
    <w:rsid w:val="00807800"/>
    <w:rsid w:val="008124A9"/>
    <w:rsid w:val="00816B1F"/>
    <w:rsid w:val="00817072"/>
    <w:rsid w:val="008204A6"/>
    <w:rsid w:val="00821F74"/>
    <w:rsid w:val="0082283A"/>
    <w:rsid w:val="00824C92"/>
    <w:rsid w:val="00834C8F"/>
    <w:rsid w:val="00837319"/>
    <w:rsid w:val="00837819"/>
    <w:rsid w:val="008405E3"/>
    <w:rsid w:val="00842399"/>
    <w:rsid w:val="00843C8E"/>
    <w:rsid w:val="00844AD1"/>
    <w:rsid w:val="00844D0E"/>
    <w:rsid w:val="00845D8F"/>
    <w:rsid w:val="00846873"/>
    <w:rsid w:val="00853C59"/>
    <w:rsid w:val="008561C1"/>
    <w:rsid w:val="00862276"/>
    <w:rsid w:val="00866EEE"/>
    <w:rsid w:val="008711DF"/>
    <w:rsid w:val="008742A3"/>
    <w:rsid w:val="00874789"/>
    <w:rsid w:val="008774FE"/>
    <w:rsid w:val="00892D69"/>
    <w:rsid w:val="00892FA3"/>
    <w:rsid w:val="00894784"/>
    <w:rsid w:val="00894E0B"/>
    <w:rsid w:val="008959FA"/>
    <w:rsid w:val="008A3747"/>
    <w:rsid w:val="008A75C5"/>
    <w:rsid w:val="008B24BD"/>
    <w:rsid w:val="008B33B1"/>
    <w:rsid w:val="008B4169"/>
    <w:rsid w:val="008B54DE"/>
    <w:rsid w:val="008B6566"/>
    <w:rsid w:val="008B68B9"/>
    <w:rsid w:val="008C09A5"/>
    <w:rsid w:val="008C1E5E"/>
    <w:rsid w:val="008D02C3"/>
    <w:rsid w:val="008D3505"/>
    <w:rsid w:val="008D4449"/>
    <w:rsid w:val="008D4CF5"/>
    <w:rsid w:val="008D4CF7"/>
    <w:rsid w:val="008D4ED9"/>
    <w:rsid w:val="008D68F0"/>
    <w:rsid w:val="008E013F"/>
    <w:rsid w:val="008E046F"/>
    <w:rsid w:val="008E0C14"/>
    <w:rsid w:val="008E3271"/>
    <w:rsid w:val="008E598B"/>
    <w:rsid w:val="008F07EC"/>
    <w:rsid w:val="008F103E"/>
    <w:rsid w:val="008F1958"/>
    <w:rsid w:val="008F4690"/>
    <w:rsid w:val="008F57AE"/>
    <w:rsid w:val="008F68A9"/>
    <w:rsid w:val="008F6B85"/>
    <w:rsid w:val="00900A39"/>
    <w:rsid w:val="00904FDA"/>
    <w:rsid w:val="00914918"/>
    <w:rsid w:val="0091683C"/>
    <w:rsid w:val="00923159"/>
    <w:rsid w:val="00926F2B"/>
    <w:rsid w:val="00936F55"/>
    <w:rsid w:val="00940777"/>
    <w:rsid w:val="0094224B"/>
    <w:rsid w:val="0094772F"/>
    <w:rsid w:val="00947C3F"/>
    <w:rsid w:val="00950360"/>
    <w:rsid w:val="00951819"/>
    <w:rsid w:val="009522B7"/>
    <w:rsid w:val="00955F1D"/>
    <w:rsid w:val="00957CE4"/>
    <w:rsid w:val="009612D1"/>
    <w:rsid w:val="00963D66"/>
    <w:rsid w:val="00965008"/>
    <w:rsid w:val="00966DF7"/>
    <w:rsid w:val="00971545"/>
    <w:rsid w:val="009741C2"/>
    <w:rsid w:val="00976E6D"/>
    <w:rsid w:val="00983DBD"/>
    <w:rsid w:val="0098481C"/>
    <w:rsid w:val="00986D97"/>
    <w:rsid w:val="009874B3"/>
    <w:rsid w:val="009941BF"/>
    <w:rsid w:val="00996F4A"/>
    <w:rsid w:val="00997240"/>
    <w:rsid w:val="009A23A6"/>
    <w:rsid w:val="009A4CFF"/>
    <w:rsid w:val="009A69DE"/>
    <w:rsid w:val="009B2C12"/>
    <w:rsid w:val="009B39DE"/>
    <w:rsid w:val="009B5601"/>
    <w:rsid w:val="009C239A"/>
    <w:rsid w:val="009C4A3C"/>
    <w:rsid w:val="009C7945"/>
    <w:rsid w:val="009C7960"/>
    <w:rsid w:val="009D061B"/>
    <w:rsid w:val="009D0D90"/>
    <w:rsid w:val="009D18F8"/>
    <w:rsid w:val="009D549D"/>
    <w:rsid w:val="009E2B17"/>
    <w:rsid w:val="009E3448"/>
    <w:rsid w:val="009E414B"/>
    <w:rsid w:val="009E4DBD"/>
    <w:rsid w:val="009E54DB"/>
    <w:rsid w:val="009E7F33"/>
    <w:rsid w:val="009F4036"/>
    <w:rsid w:val="009F6669"/>
    <w:rsid w:val="009F7FD4"/>
    <w:rsid w:val="00A04FC0"/>
    <w:rsid w:val="00A0722C"/>
    <w:rsid w:val="00A109AB"/>
    <w:rsid w:val="00A204BE"/>
    <w:rsid w:val="00A251FA"/>
    <w:rsid w:val="00A25A3F"/>
    <w:rsid w:val="00A313C2"/>
    <w:rsid w:val="00A31C85"/>
    <w:rsid w:val="00A31FC7"/>
    <w:rsid w:val="00A33FE8"/>
    <w:rsid w:val="00A36CCE"/>
    <w:rsid w:val="00A5141D"/>
    <w:rsid w:val="00A5158C"/>
    <w:rsid w:val="00A6041A"/>
    <w:rsid w:val="00A636FC"/>
    <w:rsid w:val="00A73240"/>
    <w:rsid w:val="00A73F4C"/>
    <w:rsid w:val="00A75DEE"/>
    <w:rsid w:val="00A76ABF"/>
    <w:rsid w:val="00A77E8F"/>
    <w:rsid w:val="00A80252"/>
    <w:rsid w:val="00A85024"/>
    <w:rsid w:val="00A86336"/>
    <w:rsid w:val="00A87675"/>
    <w:rsid w:val="00A92313"/>
    <w:rsid w:val="00AA01E0"/>
    <w:rsid w:val="00AA7C98"/>
    <w:rsid w:val="00AB1238"/>
    <w:rsid w:val="00AB1359"/>
    <w:rsid w:val="00AB4870"/>
    <w:rsid w:val="00AC00D1"/>
    <w:rsid w:val="00AC0AFC"/>
    <w:rsid w:val="00AC1645"/>
    <w:rsid w:val="00AC172D"/>
    <w:rsid w:val="00AC3203"/>
    <w:rsid w:val="00AC3603"/>
    <w:rsid w:val="00AC3FF4"/>
    <w:rsid w:val="00AC459F"/>
    <w:rsid w:val="00AC79A3"/>
    <w:rsid w:val="00AD04FB"/>
    <w:rsid w:val="00AD1ADF"/>
    <w:rsid w:val="00AD3D30"/>
    <w:rsid w:val="00AD4EF0"/>
    <w:rsid w:val="00AE456C"/>
    <w:rsid w:val="00AE56C5"/>
    <w:rsid w:val="00AE7683"/>
    <w:rsid w:val="00AF0BDD"/>
    <w:rsid w:val="00AF17E8"/>
    <w:rsid w:val="00B01D2D"/>
    <w:rsid w:val="00B04591"/>
    <w:rsid w:val="00B177CE"/>
    <w:rsid w:val="00B20A47"/>
    <w:rsid w:val="00B20D78"/>
    <w:rsid w:val="00B270C6"/>
    <w:rsid w:val="00B2776C"/>
    <w:rsid w:val="00B301FB"/>
    <w:rsid w:val="00B33044"/>
    <w:rsid w:val="00B33631"/>
    <w:rsid w:val="00B4459D"/>
    <w:rsid w:val="00B44807"/>
    <w:rsid w:val="00B451A4"/>
    <w:rsid w:val="00B53F95"/>
    <w:rsid w:val="00B54D3A"/>
    <w:rsid w:val="00B55B92"/>
    <w:rsid w:val="00B6112E"/>
    <w:rsid w:val="00B63B55"/>
    <w:rsid w:val="00B66D99"/>
    <w:rsid w:val="00B70EFA"/>
    <w:rsid w:val="00B7317F"/>
    <w:rsid w:val="00B74B39"/>
    <w:rsid w:val="00B77AA1"/>
    <w:rsid w:val="00B82C77"/>
    <w:rsid w:val="00B83FFA"/>
    <w:rsid w:val="00B859D1"/>
    <w:rsid w:val="00B87857"/>
    <w:rsid w:val="00B90379"/>
    <w:rsid w:val="00B91B79"/>
    <w:rsid w:val="00B92C4D"/>
    <w:rsid w:val="00B94B14"/>
    <w:rsid w:val="00BA136D"/>
    <w:rsid w:val="00BA18F7"/>
    <w:rsid w:val="00BA48B5"/>
    <w:rsid w:val="00BA6A85"/>
    <w:rsid w:val="00BA7C82"/>
    <w:rsid w:val="00BB34EA"/>
    <w:rsid w:val="00BB43D9"/>
    <w:rsid w:val="00BB5784"/>
    <w:rsid w:val="00BB75FC"/>
    <w:rsid w:val="00BB7773"/>
    <w:rsid w:val="00BC53B7"/>
    <w:rsid w:val="00BC714B"/>
    <w:rsid w:val="00BD4276"/>
    <w:rsid w:val="00BD5417"/>
    <w:rsid w:val="00BE09FD"/>
    <w:rsid w:val="00BE6F6C"/>
    <w:rsid w:val="00BF15BF"/>
    <w:rsid w:val="00BF238A"/>
    <w:rsid w:val="00BF6D09"/>
    <w:rsid w:val="00BF7CD5"/>
    <w:rsid w:val="00C003E1"/>
    <w:rsid w:val="00C044C3"/>
    <w:rsid w:val="00C07853"/>
    <w:rsid w:val="00C13ECE"/>
    <w:rsid w:val="00C24565"/>
    <w:rsid w:val="00C25475"/>
    <w:rsid w:val="00C35755"/>
    <w:rsid w:val="00C366B1"/>
    <w:rsid w:val="00C37B90"/>
    <w:rsid w:val="00C37CF7"/>
    <w:rsid w:val="00C40A7A"/>
    <w:rsid w:val="00C42AA4"/>
    <w:rsid w:val="00C4326D"/>
    <w:rsid w:val="00C440BC"/>
    <w:rsid w:val="00C45CC6"/>
    <w:rsid w:val="00C46496"/>
    <w:rsid w:val="00C55985"/>
    <w:rsid w:val="00C56188"/>
    <w:rsid w:val="00C62546"/>
    <w:rsid w:val="00C662E0"/>
    <w:rsid w:val="00C671E6"/>
    <w:rsid w:val="00C67296"/>
    <w:rsid w:val="00C72B6A"/>
    <w:rsid w:val="00C7546A"/>
    <w:rsid w:val="00C76205"/>
    <w:rsid w:val="00C7708F"/>
    <w:rsid w:val="00C77679"/>
    <w:rsid w:val="00C80873"/>
    <w:rsid w:val="00C81150"/>
    <w:rsid w:val="00C85486"/>
    <w:rsid w:val="00C857F9"/>
    <w:rsid w:val="00C91C74"/>
    <w:rsid w:val="00CA6AED"/>
    <w:rsid w:val="00CB1400"/>
    <w:rsid w:val="00CB1775"/>
    <w:rsid w:val="00CB3068"/>
    <w:rsid w:val="00CB407B"/>
    <w:rsid w:val="00CB5F29"/>
    <w:rsid w:val="00CB7C92"/>
    <w:rsid w:val="00CC2477"/>
    <w:rsid w:val="00CC482A"/>
    <w:rsid w:val="00CC6570"/>
    <w:rsid w:val="00CC77A8"/>
    <w:rsid w:val="00CD1B3A"/>
    <w:rsid w:val="00CD5E9C"/>
    <w:rsid w:val="00CE1BA9"/>
    <w:rsid w:val="00CE3EA3"/>
    <w:rsid w:val="00CE54CF"/>
    <w:rsid w:val="00CE782C"/>
    <w:rsid w:val="00CF2070"/>
    <w:rsid w:val="00CF2D7D"/>
    <w:rsid w:val="00D05634"/>
    <w:rsid w:val="00D057BF"/>
    <w:rsid w:val="00D05E59"/>
    <w:rsid w:val="00D06CD6"/>
    <w:rsid w:val="00D071A9"/>
    <w:rsid w:val="00D20751"/>
    <w:rsid w:val="00D20A70"/>
    <w:rsid w:val="00D255B6"/>
    <w:rsid w:val="00D26133"/>
    <w:rsid w:val="00D278B0"/>
    <w:rsid w:val="00D31407"/>
    <w:rsid w:val="00D35AC9"/>
    <w:rsid w:val="00D37174"/>
    <w:rsid w:val="00D4677B"/>
    <w:rsid w:val="00D50748"/>
    <w:rsid w:val="00D52420"/>
    <w:rsid w:val="00D52907"/>
    <w:rsid w:val="00D52EBB"/>
    <w:rsid w:val="00D55A35"/>
    <w:rsid w:val="00D5663A"/>
    <w:rsid w:val="00D56711"/>
    <w:rsid w:val="00D56BE5"/>
    <w:rsid w:val="00D604A3"/>
    <w:rsid w:val="00D6067B"/>
    <w:rsid w:val="00D636A0"/>
    <w:rsid w:val="00D64CF3"/>
    <w:rsid w:val="00D6653F"/>
    <w:rsid w:val="00D7273D"/>
    <w:rsid w:val="00D729CA"/>
    <w:rsid w:val="00D72C45"/>
    <w:rsid w:val="00D7511F"/>
    <w:rsid w:val="00D80980"/>
    <w:rsid w:val="00D80C2A"/>
    <w:rsid w:val="00D83838"/>
    <w:rsid w:val="00D8428A"/>
    <w:rsid w:val="00D85570"/>
    <w:rsid w:val="00D87F4B"/>
    <w:rsid w:val="00D97B8D"/>
    <w:rsid w:val="00DA1489"/>
    <w:rsid w:val="00DA1D32"/>
    <w:rsid w:val="00DA35CC"/>
    <w:rsid w:val="00DA7B78"/>
    <w:rsid w:val="00DB2BA8"/>
    <w:rsid w:val="00DB2CCC"/>
    <w:rsid w:val="00DB5FE8"/>
    <w:rsid w:val="00DC7FD6"/>
    <w:rsid w:val="00DD031E"/>
    <w:rsid w:val="00DD5063"/>
    <w:rsid w:val="00DD78D2"/>
    <w:rsid w:val="00DE3B45"/>
    <w:rsid w:val="00DE4262"/>
    <w:rsid w:val="00DE7801"/>
    <w:rsid w:val="00DF029E"/>
    <w:rsid w:val="00DF0A8B"/>
    <w:rsid w:val="00DF0C4C"/>
    <w:rsid w:val="00DF0C7D"/>
    <w:rsid w:val="00DF702F"/>
    <w:rsid w:val="00DF79CB"/>
    <w:rsid w:val="00E005A6"/>
    <w:rsid w:val="00E0104B"/>
    <w:rsid w:val="00E05C62"/>
    <w:rsid w:val="00E11388"/>
    <w:rsid w:val="00E149B5"/>
    <w:rsid w:val="00E15821"/>
    <w:rsid w:val="00E17966"/>
    <w:rsid w:val="00E20B7E"/>
    <w:rsid w:val="00E239D6"/>
    <w:rsid w:val="00E24210"/>
    <w:rsid w:val="00E273F4"/>
    <w:rsid w:val="00E3085C"/>
    <w:rsid w:val="00E31673"/>
    <w:rsid w:val="00E33728"/>
    <w:rsid w:val="00E40A18"/>
    <w:rsid w:val="00E41CDD"/>
    <w:rsid w:val="00E428E0"/>
    <w:rsid w:val="00E4714A"/>
    <w:rsid w:val="00E60EEA"/>
    <w:rsid w:val="00E621A9"/>
    <w:rsid w:val="00E634C8"/>
    <w:rsid w:val="00E71EAD"/>
    <w:rsid w:val="00E73922"/>
    <w:rsid w:val="00E77B60"/>
    <w:rsid w:val="00E818E6"/>
    <w:rsid w:val="00E82A4D"/>
    <w:rsid w:val="00E84AA7"/>
    <w:rsid w:val="00E8611A"/>
    <w:rsid w:val="00E86226"/>
    <w:rsid w:val="00E9181D"/>
    <w:rsid w:val="00E93D3E"/>
    <w:rsid w:val="00E945BC"/>
    <w:rsid w:val="00E97E6E"/>
    <w:rsid w:val="00EA282E"/>
    <w:rsid w:val="00EA3E71"/>
    <w:rsid w:val="00EA4C07"/>
    <w:rsid w:val="00EA6B52"/>
    <w:rsid w:val="00EB02F1"/>
    <w:rsid w:val="00EC0307"/>
    <w:rsid w:val="00EC053F"/>
    <w:rsid w:val="00ED01A2"/>
    <w:rsid w:val="00ED46D9"/>
    <w:rsid w:val="00ED48C7"/>
    <w:rsid w:val="00ED4BFB"/>
    <w:rsid w:val="00ED6406"/>
    <w:rsid w:val="00EE084E"/>
    <w:rsid w:val="00EE3813"/>
    <w:rsid w:val="00EE4CDE"/>
    <w:rsid w:val="00EF11B6"/>
    <w:rsid w:val="00EF395A"/>
    <w:rsid w:val="00EF41B4"/>
    <w:rsid w:val="00F01473"/>
    <w:rsid w:val="00F056EA"/>
    <w:rsid w:val="00F11E8E"/>
    <w:rsid w:val="00F20FAF"/>
    <w:rsid w:val="00F246DF"/>
    <w:rsid w:val="00F35237"/>
    <w:rsid w:val="00F3588F"/>
    <w:rsid w:val="00F35AF5"/>
    <w:rsid w:val="00F431CF"/>
    <w:rsid w:val="00F43A1F"/>
    <w:rsid w:val="00F4557C"/>
    <w:rsid w:val="00F54B17"/>
    <w:rsid w:val="00F60C16"/>
    <w:rsid w:val="00F65722"/>
    <w:rsid w:val="00F67CDD"/>
    <w:rsid w:val="00F72C90"/>
    <w:rsid w:val="00F73DBF"/>
    <w:rsid w:val="00F77D3D"/>
    <w:rsid w:val="00F80258"/>
    <w:rsid w:val="00F81875"/>
    <w:rsid w:val="00F82145"/>
    <w:rsid w:val="00F82E66"/>
    <w:rsid w:val="00F8487E"/>
    <w:rsid w:val="00F84939"/>
    <w:rsid w:val="00F86A42"/>
    <w:rsid w:val="00F92BD2"/>
    <w:rsid w:val="00F9319F"/>
    <w:rsid w:val="00F9549B"/>
    <w:rsid w:val="00F95790"/>
    <w:rsid w:val="00F95B78"/>
    <w:rsid w:val="00FA14D4"/>
    <w:rsid w:val="00FA1749"/>
    <w:rsid w:val="00FA3971"/>
    <w:rsid w:val="00FB01DC"/>
    <w:rsid w:val="00FB0534"/>
    <w:rsid w:val="00FB19B5"/>
    <w:rsid w:val="00FB4010"/>
    <w:rsid w:val="00FB493B"/>
    <w:rsid w:val="00FC5BA7"/>
    <w:rsid w:val="00FC7E38"/>
    <w:rsid w:val="00FD124E"/>
    <w:rsid w:val="00FD1CE3"/>
    <w:rsid w:val="00FD4444"/>
    <w:rsid w:val="00FD48F0"/>
    <w:rsid w:val="00FD610B"/>
    <w:rsid w:val="00FE504E"/>
    <w:rsid w:val="00FE5861"/>
    <w:rsid w:val="00FF24B1"/>
    <w:rsid w:val="00FF3591"/>
    <w:rsid w:val="00FF5F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214181"/>
  <w15:docId w15:val="{55A906DB-4BEC-440E-B6DF-BCD6759A6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Heading1">
    <w:name w:val="heading 1"/>
    <w:basedOn w:val="Normal"/>
    <w:next w:val="Normal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Heading2">
    <w:name w:val="heading 2"/>
    <w:basedOn w:val="Normal"/>
    <w:next w:val="Normal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Heading4">
    <w:name w:val="heading 4"/>
    <w:basedOn w:val="Normal"/>
    <w:next w:val="Normal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Heading5">
    <w:name w:val="heading 5"/>
    <w:basedOn w:val="Normal"/>
    <w:next w:val="Normal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Heading6">
    <w:name w:val="heading 6"/>
    <w:basedOn w:val="Normal"/>
    <w:next w:val="Normal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C81150"/>
    <w:pPr>
      <w:tabs>
        <w:tab w:val="center" w:pos="4536"/>
        <w:tab w:val="right" w:pos="9072"/>
      </w:tabs>
    </w:pPr>
    <w:rPr>
      <w:b/>
    </w:rPr>
  </w:style>
  <w:style w:type="paragraph" w:styleId="Footer">
    <w:name w:val="footer"/>
    <w:basedOn w:val="Normal"/>
    <w:rsid w:val="00C81150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rsid w:val="00C81150"/>
  </w:style>
  <w:style w:type="table" w:styleId="TableGrid">
    <w:name w:val="Table Grid"/>
    <w:basedOn w:val="TableNormal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CB407B"/>
    <w:rPr>
      <w:snapToGrid w:val="0"/>
      <w:sz w:val="24"/>
      <w:lang w:val="cs-CZ" w:eastAsia="sk-SK"/>
    </w:rPr>
  </w:style>
  <w:style w:type="paragraph" w:styleId="BalloonText">
    <w:name w:val="Balloon Text"/>
    <w:basedOn w:val="Normal"/>
    <w:semiHidden/>
    <w:rsid w:val="00D31407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D56BE5"/>
    <w:rPr>
      <w:sz w:val="16"/>
      <w:szCs w:val="16"/>
    </w:rPr>
  </w:style>
  <w:style w:type="paragraph" w:styleId="CommentText">
    <w:name w:val="annotation text"/>
    <w:basedOn w:val="Normal"/>
    <w:semiHidden/>
    <w:rsid w:val="00D56BE5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6BE5"/>
    <w:rPr>
      <w:b/>
      <w:bCs/>
    </w:rPr>
  </w:style>
  <w:style w:type="paragraph" w:customStyle="1" w:styleId="tableheader">
    <w:name w:val="table header"/>
    <w:basedOn w:val="Normal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sion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al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Title">
    <w:name w:val="Title"/>
    <w:basedOn w:val="Normal"/>
    <w:next w:val="Normal"/>
    <w:link w:val="Title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link w:val="Title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ListParagraph">
    <w:name w:val="List Paragraph"/>
    <w:basedOn w:val="Normal"/>
    <w:uiPriority w:val="34"/>
    <w:qFormat/>
    <w:rsid w:val="00116001"/>
    <w:pPr>
      <w:ind w:left="720"/>
      <w:contextualSpacing/>
    </w:pPr>
  </w:style>
  <w:style w:type="paragraph" w:customStyle="1" w:styleId="Tabulka">
    <w:name w:val="Tabulka"/>
    <w:basedOn w:val="Normal"/>
    <w:rsid w:val="004E7708"/>
    <w:pPr>
      <w:jc w:val="left"/>
    </w:pPr>
    <w:rPr>
      <w:rFonts w:ascii="Times New Roman" w:hAnsi="Times New Roman"/>
      <w:color w:val="000000"/>
      <w:sz w:val="18"/>
    </w:rPr>
  </w:style>
  <w:style w:type="paragraph" w:customStyle="1" w:styleId="Pismenka">
    <w:name w:val="Pismenka"/>
    <w:basedOn w:val="BodyText"/>
    <w:rsid w:val="004E7708"/>
    <w:pPr>
      <w:numPr>
        <w:numId w:val="2"/>
      </w:numPr>
      <w:tabs>
        <w:tab w:val="clear" w:pos="360"/>
        <w:tab w:val="num" w:pos="426"/>
      </w:tabs>
      <w:ind w:hanging="426"/>
    </w:pPr>
    <w:rPr>
      <w:rFonts w:ascii="Times New Roman" w:hAnsi="Times New Roman"/>
      <w:b/>
      <w:snapToGrid/>
      <w:sz w:val="18"/>
      <w:lang w:val="sk-SK" w:eastAsia="en-US"/>
    </w:rPr>
  </w:style>
  <w:style w:type="paragraph" w:customStyle="1" w:styleId="odstavec">
    <w:name w:val="odstavec"/>
    <w:basedOn w:val="Normal"/>
    <w:link w:val="odstavecChar"/>
    <w:autoRedefine/>
    <w:uiPriority w:val="99"/>
    <w:rsid w:val="004E7708"/>
    <w:pPr>
      <w:ind w:left="425" w:right="-82"/>
    </w:pPr>
    <w:rPr>
      <w:rFonts w:ascii="Times New Roman" w:eastAsia="Calibri" w:hAnsi="Times New Roman"/>
      <w:sz w:val="20"/>
      <w:szCs w:val="24"/>
      <w:lang w:eastAsia="sk-SK"/>
    </w:rPr>
  </w:style>
  <w:style w:type="character" w:customStyle="1" w:styleId="odstavecChar">
    <w:name w:val="odstavec Char"/>
    <w:link w:val="odstavec"/>
    <w:uiPriority w:val="99"/>
    <w:locked/>
    <w:rsid w:val="004E7708"/>
    <w:rPr>
      <w:rFonts w:eastAsia="Calibri"/>
      <w:szCs w:val="24"/>
    </w:rPr>
  </w:style>
  <w:style w:type="character" w:customStyle="1" w:styleId="HeaderChar">
    <w:name w:val="Header Char"/>
    <w:basedOn w:val="DefaultParagraphFont"/>
    <w:link w:val="Header"/>
    <w:rsid w:val="00817072"/>
    <w:rPr>
      <w:rFonts w:ascii="Verdana" w:hAnsi="Verdana"/>
      <w:b/>
      <w:sz w:val="17"/>
      <w:lang w:eastAsia="en-US"/>
    </w:rPr>
  </w:style>
  <w:style w:type="character" w:customStyle="1" w:styleId="ro">
    <w:name w:val="ro"/>
    <w:basedOn w:val="DefaultParagraphFont"/>
    <w:rsid w:val="005C2C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466AC6-5580-4844-99CC-D82D4C9D8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4</Pages>
  <Words>1805</Words>
  <Characters>10289</Characters>
  <Application>Microsoft Office Word</Application>
  <DocSecurity>0</DocSecurity>
  <Lines>85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miroslava.m.zilkova@gmail.com</cp:lastModifiedBy>
  <cp:revision>21</cp:revision>
  <cp:lastPrinted>2022-06-08T08:35:00Z</cp:lastPrinted>
  <dcterms:created xsi:type="dcterms:W3CDTF">2022-05-24T19:13:00Z</dcterms:created>
  <dcterms:modified xsi:type="dcterms:W3CDTF">2022-06-08T08:46:00Z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