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účtovnej jednotky </w:t>
      </w:r>
      <w:r w:rsidR="008022B5">
        <w:rPr>
          <w:rFonts w:ascii="Arial" w:hAnsi="Arial" w:cs="Arial"/>
          <w:sz w:val="20"/>
          <w:szCs w:val="20"/>
        </w:rPr>
        <w:t>za rok 20</w:t>
      </w:r>
      <w:r w:rsidR="00C82311">
        <w:rPr>
          <w:rFonts w:ascii="Arial" w:hAnsi="Arial" w:cs="Arial"/>
          <w:sz w:val="20"/>
          <w:szCs w:val="20"/>
        </w:rPr>
        <w:t>2</w:t>
      </w:r>
      <w:r w:rsidR="00C035A1">
        <w:rPr>
          <w:rFonts w:ascii="Arial" w:hAnsi="Arial" w:cs="Arial"/>
          <w:sz w:val="20"/>
          <w:szCs w:val="20"/>
        </w:rPr>
        <w:t>1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>pisov (ostatná novela č.MF/18008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970D7D" w:rsidRDefault="00970D7D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50794418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970D7D" w:rsidRDefault="00970D7D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2120471276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970D7D" w:rsidRDefault="00970D7D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BIBA Prešov,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970D7D" w:rsidRDefault="00970D7D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Masarykova 2710/21, 080 01  Prešov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Pr="00860BF2" w:rsidRDefault="00214FF6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nie je súčasťou žiadneho konsolidovaného celku.</w:t>
            </w:r>
          </w:p>
        </w:tc>
      </w:tr>
    </w:tbl>
    <w:p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lastRenderedPageBreak/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CE500E" w:rsidRPr="00CE500E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:rsidTr="00CE500E"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E500E" w:rsidRPr="00CE500E" w:rsidRDefault="00214FF6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4</w:t>
            </w:r>
          </w:p>
        </w:tc>
        <w:tc>
          <w:tcPr>
            <w:tcW w:w="3342" w:type="dxa"/>
            <w:shd w:val="clear" w:color="auto" w:fill="auto"/>
          </w:tcPr>
          <w:p w:rsidR="00CE500E" w:rsidRPr="00CE500E" w:rsidRDefault="00214FF6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5</w:t>
            </w:r>
          </w:p>
        </w:tc>
      </w:tr>
    </w:tbl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1. Informácia, či je účtovná závierka zostavená za splnenia predpokladu, že účtovná jednotka bude nepretržite pokračovať vo svojej činnosti: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Spôsob oceňovania jednotlivých položiek majetku a záväzkov, a to: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Spôsob oceňovania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nehmotný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214FF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214FF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Zostatková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214FF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214FF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vytvorené vla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214FF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Vlastné pohľadá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214FF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214FF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Krátkodobý finančný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214FF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Záväzky vrátane reze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rv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214FF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214FF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Pôžičky 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 </w:t>
            </w: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úve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214FF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Derivátové operác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ie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214FF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nemá</w:t>
            </w:r>
          </w:p>
        </w:tc>
      </w:tr>
    </w:tbl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  <w:r w:rsidR="00214FF6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214FF6" w:rsidRPr="00214FF6">
        <w:rPr>
          <w:rFonts w:ascii="Arial" w:hAnsi="Arial" w:cs="Arial"/>
          <w:bCs w:val="0"/>
          <w:sz w:val="20"/>
          <w:szCs w:val="20"/>
          <w:lang w:eastAsia="en-US"/>
        </w:rPr>
        <w:t>Rovnomerné odpisovanie.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  <w:r w:rsidR="00214FF6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214FF6" w:rsidRPr="00214FF6">
        <w:rPr>
          <w:rFonts w:ascii="Arial" w:hAnsi="Arial" w:cs="Arial"/>
          <w:bCs w:val="0"/>
          <w:sz w:val="20"/>
          <w:szCs w:val="20"/>
          <w:lang w:eastAsia="en-US"/>
        </w:rPr>
        <w:t>Zásady účtovania neboli menené</w:t>
      </w:r>
      <w:r w:rsidR="00214FF6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dotáciách a ich oceňovanie v účtovníctve: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214FF6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214FF6" w:rsidRPr="00214FF6">
        <w:rPr>
          <w:rFonts w:ascii="Arial" w:hAnsi="Arial" w:cs="Arial"/>
          <w:bCs w:val="0"/>
          <w:sz w:val="20"/>
          <w:szCs w:val="20"/>
          <w:lang w:eastAsia="en-US"/>
        </w:rPr>
        <w:t>Neboli zistené.</w:t>
      </w: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lastRenderedPageBreak/>
        <w:t>Článok III</w:t>
      </w:r>
    </w:p>
    <w:p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škody z dôvodu živelných pohrôm.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Informácie o záväzkoch,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- celkovej sume záväzkov so zostatkovou dobou 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splatnosti dlhšou ako päť rokov.</w:t>
      </w:r>
      <w:r w:rsidR="00214FF6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214FF6" w:rsidRPr="00214FF6">
        <w:rPr>
          <w:rFonts w:ascii="Arial" w:hAnsi="Arial" w:cs="Arial"/>
          <w:bCs w:val="0"/>
          <w:sz w:val="20"/>
          <w:szCs w:val="20"/>
          <w:lang w:eastAsia="en-US"/>
        </w:rPr>
        <w:t>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- celkovej sume zabezpečených záväzkov, opis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a spôsoby zabezpečenia záväzkov</w:t>
      </w: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:</w:t>
      </w:r>
      <w:r w:rsidR="00214FF6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 </w:t>
      </w:r>
      <w:r w:rsidR="00214FF6" w:rsidRPr="00214FF6">
        <w:rPr>
          <w:rFonts w:ascii="Arial" w:hAnsi="Arial" w:cs="Arial"/>
          <w:bCs w:val="0"/>
          <w:sz w:val="20"/>
          <w:szCs w:val="20"/>
          <w:lang w:eastAsia="en-US"/>
        </w:rPr>
        <w:t>80 738,-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214FF6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214FF6" w:rsidRPr="00214FF6">
        <w:rPr>
          <w:rFonts w:ascii="Arial" w:hAnsi="Arial" w:cs="Arial"/>
          <w:bCs w:val="0"/>
          <w:sz w:val="20"/>
          <w:szCs w:val="20"/>
          <w:lang w:eastAsia="en-US"/>
        </w:rPr>
        <w:t>Nevlastní.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Informácie o orgánoch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214FF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214FF6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214FF6" w:rsidRPr="00214FF6">
        <w:rPr>
          <w:rFonts w:ascii="Arial" w:hAnsi="Arial" w:cs="Arial"/>
          <w:bCs w:val="0"/>
          <w:sz w:val="20"/>
          <w:szCs w:val="20"/>
          <w:lang w:eastAsia="en-US"/>
        </w:rPr>
        <w:t>Neboli poskytnuté.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214FF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2D2853" w:rsidRPr="00214FF6">
        <w:rPr>
          <w:rFonts w:ascii="Arial" w:hAnsi="Arial" w:cs="Arial"/>
          <w:bCs w:val="0"/>
          <w:sz w:val="20"/>
          <w:szCs w:val="20"/>
          <w:lang w:eastAsia="en-US"/>
        </w:rPr>
        <w:t>.</w:t>
      </w:r>
      <w:r w:rsidR="00214FF6" w:rsidRPr="00214FF6">
        <w:rPr>
          <w:rFonts w:ascii="Arial" w:hAnsi="Arial" w:cs="Arial"/>
          <w:bCs w:val="0"/>
          <w:sz w:val="20"/>
          <w:szCs w:val="20"/>
          <w:lang w:eastAsia="en-US"/>
        </w:rPr>
        <w:t xml:space="preserve"> Neboli poskytnuté.</w:t>
      </w:r>
    </w:p>
    <w:p w:rsidR="00CE500E" w:rsidRPr="00214FF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sz w:val="20"/>
          <w:szCs w:val="20"/>
          <w:lang w:eastAsia="en-US"/>
        </w:rPr>
      </w:pPr>
    </w:p>
    <w:p w:rsidR="00CE500E" w:rsidRPr="00214FF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hlavných podmienkach, na základe ktorých im boli záruky alebo iné zabezpečenie a pôžičky poskytnuté; pri pôžičkách sa uvádzajú úrokové sadzby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214FF6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214FF6" w:rsidRPr="00214FF6">
        <w:rPr>
          <w:rFonts w:ascii="Arial" w:hAnsi="Arial" w:cs="Arial"/>
          <w:bCs w:val="0"/>
          <w:sz w:val="20"/>
          <w:szCs w:val="20"/>
          <w:lang w:eastAsia="en-US"/>
        </w:rPr>
        <w:t>Neboli poskytnuté.</w:t>
      </w:r>
    </w:p>
    <w:p w:rsidR="00CE500E" w:rsidRPr="00214FF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214FF6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214FF6" w:rsidRPr="00214FF6">
        <w:rPr>
          <w:rFonts w:ascii="Arial" w:hAnsi="Arial" w:cs="Arial"/>
          <w:bCs w:val="0"/>
          <w:sz w:val="20"/>
          <w:szCs w:val="20"/>
          <w:lang w:eastAsia="en-US"/>
        </w:rPr>
        <w:t>Neboli poskytnuté.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povinnostiach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214FF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2D2853" w:rsidRPr="00214FF6">
        <w:rPr>
          <w:rFonts w:ascii="Arial" w:hAnsi="Arial" w:cs="Arial"/>
          <w:bCs w:val="0"/>
          <w:sz w:val="20"/>
          <w:szCs w:val="20"/>
          <w:lang w:eastAsia="en-US"/>
        </w:rPr>
        <w:t>.</w:t>
      </w:r>
      <w:r w:rsidR="00214FF6" w:rsidRPr="00214FF6">
        <w:rPr>
          <w:rFonts w:ascii="Arial" w:hAnsi="Arial" w:cs="Arial"/>
          <w:bCs w:val="0"/>
          <w:sz w:val="20"/>
          <w:szCs w:val="20"/>
          <w:lang w:eastAsia="en-US"/>
        </w:rPr>
        <w:t xml:space="preserve"> Nie sú.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214FF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214FF6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214FF6" w:rsidRPr="00214FF6">
        <w:rPr>
          <w:rFonts w:ascii="Arial" w:hAnsi="Arial" w:cs="Arial"/>
          <w:bCs w:val="0"/>
          <w:sz w:val="20"/>
          <w:szCs w:val="20"/>
          <w:lang w:eastAsia="en-US"/>
        </w:rPr>
        <w:t>Nie sú.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214FF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214FF6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214FF6" w:rsidRPr="00214FF6">
        <w:rPr>
          <w:rFonts w:ascii="Arial" w:hAnsi="Arial" w:cs="Arial"/>
          <w:bCs w:val="0"/>
          <w:sz w:val="20"/>
          <w:szCs w:val="20"/>
          <w:lang w:eastAsia="en-US"/>
        </w:rPr>
        <w:t>Nie sú.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d) opise významných povinností účtovnej jednotky vyplývajúcich z dôchodko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vých programov pre zamestnancov</w:t>
      </w:r>
      <w:r w:rsidR="002D2853" w:rsidRPr="00214FF6">
        <w:rPr>
          <w:rFonts w:ascii="Arial" w:hAnsi="Arial" w:cs="Arial"/>
          <w:bCs w:val="0"/>
          <w:sz w:val="20"/>
          <w:szCs w:val="20"/>
          <w:lang w:eastAsia="en-US"/>
        </w:rPr>
        <w:t>.</w:t>
      </w:r>
      <w:r w:rsidR="00214FF6" w:rsidRPr="00214FF6">
        <w:rPr>
          <w:rFonts w:ascii="Arial" w:hAnsi="Arial" w:cs="Arial"/>
          <w:bCs w:val="0"/>
          <w:sz w:val="20"/>
          <w:szCs w:val="20"/>
          <w:lang w:eastAsia="en-US"/>
        </w:rPr>
        <w:t xml:space="preserve"> 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214FF6" w:rsidRDefault="00214FF6" w:rsidP="006A4709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bookmarkStart w:id="0" w:name="_GoBack"/>
      <w:r w:rsidRPr="00214FF6">
        <w:rPr>
          <w:rFonts w:ascii="Arial" w:hAnsi="Arial" w:cs="Arial"/>
          <w:b/>
          <w:sz w:val="20"/>
          <w:szCs w:val="20"/>
        </w:rPr>
        <w:t>Nebolo udelené.</w:t>
      </w:r>
      <w:bookmarkEnd w:id="0"/>
    </w:p>
    <w:sectPr w:rsidR="00CE500E" w:rsidRPr="00214FF6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B71" w:rsidRDefault="00E02B71" w:rsidP="00107589">
      <w:pPr>
        <w:spacing w:after="0" w:line="240" w:lineRule="auto"/>
      </w:pPr>
      <w:r>
        <w:separator/>
      </w:r>
    </w:p>
  </w:endnote>
  <w:endnote w:type="continuationSeparator" w:id="0">
    <w:p w:rsidR="00E02B71" w:rsidRDefault="00E02B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B71" w:rsidRDefault="00E02B71" w:rsidP="00107589">
      <w:pPr>
        <w:spacing w:after="0" w:line="240" w:lineRule="auto"/>
      </w:pPr>
      <w:r>
        <w:separator/>
      </w:r>
    </w:p>
  </w:footnote>
  <w:footnote w:type="continuationSeparator" w:id="0">
    <w:p w:rsidR="00E02B71" w:rsidRDefault="00E02B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5C2" w:rsidRDefault="002925C2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</w:t>
    </w:r>
    <w:proofErr w:type="spellStart"/>
    <w:r w:rsidRPr="0018375D">
      <w:rPr>
        <w:rFonts w:ascii="Arial" w:hAnsi="Arial" w:cs="Arial"/>
        <w:sz w:val="18"/>
        <w:szCs w:val="18"/>
      </w:rPr>
      <w:t>Úč</w:t>
    </w:r>
    <w:proofErr w:type="spellEnd"/>
    <w:r w:rsidRPr="0018375D">
      <w:rPr>
        <w:rFonts w:ascii="Arial" w:hAnsi="Arial" w:cs="Arial"/>
        <w:sz w:val="18"/>
        <w:szCs w:val="18"/>
      </w:rPr>
      <w:t xml:space="preserve"> </w:t>
    </w:r>
    <w:r w:rsidR="00CE500E">
      <w:rPr>
        <w:rFonts w:ascii="Arial" w:hAnsi="Arial" w:cs="Arial"/>
        <w:sz w:val="18"/>
        <w:szCs w:val="18"/>
      </w:rPr>
      <w:t xml:space="preserve">MÚJ </w:t>
    </w:r>
    <w:r w:rsidRPr="0018375D">
      <w:rPr>
        <w:rFonts w:ascii="Arial" w:hAnsi="Arial" w:cs="Arial"/>
        <w:sz w:val="18"/>
        <w:szCs w:val="18"/>
      </w:rPr>
      <w:t xml:space="preserve">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>
      <w:rPr>
        <w:rFonts w:ascii="Arial" w:hAnsi="Arial" w:cs="Arial"/>
        <w:sz w:val="18"/>
        <w:szCs w:val="18"/>
      </w:rPr>
      <w:tab/>
      <w:t xml:space="preserve">DIČ: </w:t>
    </w:r>
  </w:p>
  <w:p w:rsidR="002925C2" w:rsidRDefault="002925C2">
    <w:pPr>
      <w:pStyle w:val="Hlavika"/>
    </w:pPr>
  </w:p>
  <w:p w:rsidR="002925C2" w:rsidRPr="004268D2" w:rsidRDefault="002925C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 w15:restartNumberingAfterBreak="0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21"/>
  </w:num>
  <w:num w:numId="7">
    <w:abstractNumId w:val="1"/>
  </w:num>
  <w:num w:numId="8">
    <w:abstractNumId w:val="0"/>
  </w:num>
  <w:num w:numId="9">
    <w:abstractNumId w:val="25"/>
  </w:num>
  <w:num w:numId="10">
    <w:abstractNumId w:val="8"/>
  </w:num>
  <w:num w:numId="11">
    <w:abstractNumId w:val="24"/>
  </w:num>
  <w:num w:numId="12">
    <w:abstractNumId w:val="7"/>
  </w:num>
  <w:num w:numId="13">
    <w:abstractNumId w:val="23"/>
  </w:num>
  <w:num w:numId="14">
    <w:abstractNumId w:val="19"/>
  </w:num>
  <w:num w:numId="15">
    <w:abstractNumId w:val="22"/>
  </w:num>
  <w:num w:numId="16">
    <w:abstractNumId w:val="5"/>
  </w:num>
  <w:num w:numId="17">
    <w:abstractNumId w:val="16"/>
  </w:num>
  <w:num w:numId="18">
    <w:abstractNumId w:val="9"/>
  </w:num>
  <w:num w:numId="19">
    <w:abstractNumId w:val="15"/>
  </w:num>
  <w:num w:numId="20">
    <w:abstractNumId w:val="3"/>
  </w:num>
  <w:num w:numId="21">
    <w:abstractNumId w:val="20"/>
  </w:num>
  <w:num w:numId="22">
    <w:abstractNumId w:val="18"/>
  </w:num>
  <w:num w:numId="23">
    <w:abstractNumId w:val="11"/>
  </w:num>
  <w:num w:numId="24">
    <w:abstractNumId w:val="17"/>
  </w:num>
  <w:num w:numId="25">
    <w:abstractNumId w:val="13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14FF6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A6A6F"/>
    <w:rsid w:val="002B61EE"/>
    <w:rsid w:val="002B7B1D"/>
    <w:rsid w:val="002D0376"/>
    <w:rsid w:val="002D2853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15EF2"/>
    <w:rsid w:val="00420380"/>
    <w:rsid w:val="004268D2"/>
    <w:rsid w:val="004273EF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512E8A"/>
    <w:rsid w:val="005207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1613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7F78B0"/>
    <w:rsid w:val="008022B5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182A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0D7D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E4AAE"/>
    <w:rsid w:val="009F0692"/>
    <w:rsid w:val="009F0A29"/>
    <w:rsid w:val="009F39E7"/>
    <w:rsid w:val="00A07D50"/>
    <w:rsid w:val="00A533B1"/>
    <w:rsid w:val="00A62542"/>
    <w:rsid w:val="00A657E1"/>
    <w:rsid w:val="00A8025E"/>
    <w:rsid w:val="00AB03FB"/>
    <w:rsid w:val="00AC1A6B"/>
    <w:rsid w:val="00AD3F7F"/>
    <w:rsid w:val="00AF4FDD"/>
    <w:rsid w:val="00B514E9"/>
    <w:rsid w:val="00B5583E"/>
    <w:rsid w:val="00B6221B"/>
    <w:rsid w:val="00B6262B"/>
    <w:rsid w:val="00B7696D"/>
    <w:rsid w:val="00B80DB6"/>
    <w:rsid w:val="00B86FC2"/>
    <w:rsid w:val="00BF5D16"/>
    <w:rsid w:val="00C035A1"/>
    <w:rsid w:val="00C04782"/>
    <w:rsid w:val="00C13B7E"/>
    <w:rsid w:val="00C270D3"/>
    <w:rsid w:val="00C56862"/>
    <w:rsid w:val="00C655C8"/>
    <w:rsid w:val="00C6795C"/>
    <w:rsid w:val="00C82311"/>
    <w:rsid w:val="00C93A1A"/>
    <w:rsid w:val="00CA4B07"/>
    <w:rsid w:val="00CD280F"/>
    <w:rsid w:val="00CE500E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2B71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352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  <w:rsid w:val="00FF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25C05B8F-F996-4878-BE28-8CA280109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1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1"/>
    <w:unhideWhenUsed/>
    <w:qFormat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A95E3-2D7E-467A-871F-5DA4DE4F9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1011</Words>
  <Characters>5765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Admin</cp:lastModifiedBy>
  <cp:revision>2</cp:revision>
  <cp:lastPrinted>2014-09-23T09:55:00Z</cp:lastPrinted>
  <dcterms:created xsi:type="dcterms:W3CDTF">2022-06-15T09:23:00Z</dcterms:created>
  <dcterms:modified xsi:type="dcterms:W3CDTF">2022-06-15T09:23:00Z</dcterms:modified>
</cp:coreProperties>
</file>