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5B9BD5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color w:val="5B9BD5"/>
        </w:rPr>
        <w:t>Čl. I </w:t>
        <w:tab/>
        <w:t>Všeobecné informácie</w:t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I.1 </w:t>
        <w:tab/>
        <w:t>Obchodné meno účtovnej jednotky:  M.S.-MONT s.r.o.</w:t>
      </w:r>
    </w:p>
    <w:p>
      <w:pPr>
        <w:pStyle w:val="Normal"/>
        <w:spacing w:lineRule="auto" w:line="240" w:before="0" w:after="160"/>
        <w:ind w:left="720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Sídlo účtovnej jednotky:  Štúrova 832/33, 972 01 Bojnice</w:t>
      </w:r>
    </w:p>
    <w:p>
      <w:pPr>
        <w:pStyle w:val="Normal"/>
        <w:spacing w:lineRule="auto" w:line="240" w:before="0" w:after="160"/>
        <w:ind w:left="720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Opis hospodárskej činnosti účtovnej jednotky: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kovoobrábanie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montáž zatieňovacej techniky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27.04.2006)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11.03.2014)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30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(od: 11.03.2014)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spacing w:lineRule="auto" w:line="240" w:before="0" w:after="160"/>
        <w:ind w:left="720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26.07.202</w:t>
      </w:r>
      <w:r>
        <w:rPr>
          <w:rFonts w:eastAsia="Times New Roman" w:cs="Times New Roman" w:ascii="Times New Roman" w:hAnsi="Times New Roman"/>
          <w:b/>
        </w:rPr>
        <w:t>1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1604" w:leader="none"/>
          <w:tab w:val="left" w:pos="2815" w:leader="none"/>
        </w:tabs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u w:val="single"/>
        </w:rPr>
        <w:t xml:space="preserve"> </w:t>
      </w:r>
      <w:r>
        <w:rPr>
          <w:rFonts w:eastAsia="Times New Roman" w:cs="Times New Roman" w:ascii="Times New Roman" w:hAnsi="Times New Roman"/>
          <w:b/>
          <w:u w:val="single"/>
        </w:rPr>
        <w:t>Riadna</w:t>
      </w:r>
      <w:r>
        <w:rPr>
          <w:rFonts w:eastAsia="Times New Roman" w:cs="Times New Roman" w:ascii="Times New Roman" w:hAnsi="Times New Roman"/>
        </w:rPr>
        <w:t xml:space="preserve">     </w:t>
      </w:r>
      <w:r>
        <w:rPr>
          <w:rFonts w:eastAsia="Times New Roman" w:cs="Times New Roman" w:ascii="Times New Roman" w:hAnsi="Times New Roman"/>
          <w:strike/>
        </w:rPr>
        <w:t>Mimoriadna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Dôvod na zostavenie mimoriadnej účtovnej závierky: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08"/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rozdelenie</w:t>
        <w:tab/>
        <w:t xml:space="preserve">                zlúčenie</w:t>
        <w:tab/>
        <w:t xml:space="preserve">               splynutie</w:t>
        <w:tab/>
        <w:tab/>
        <w:t xml:space="preserve">         zmena práv. formy</w:t>
      </w:r>
    </w:p>
    <w:p>
      <w:pPr>
        <w:pStyle w:val="Normal"/>
        <w:tabs>
          <w:tab w:val="clear" w:pos="708"/>
          <w:tab w:val="left" w:pos="1429" w:leader="none"/>
        </w:tabs>
        <w:spacing w:lineRule="auto" w:line="240" w:before="0" w:after="1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začiatok likvidácie       koniec likvidácie      vyhlásenie konkurzu        zrušenie konkurzu 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a)</w:t>
      </w:r>
      <w:r>
        <w:rPr>
          <w:rFonts w:eastAsia="Times New Roman"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b)</w:t>
      </w:r>
      <w:r>
        <w:rPr>
          <w:rFonts w:eastAsia="Times New Roman" w:cs="Times New Roman" w:ascii="Times New Roman" w:hAnsi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c)</w:t>
      </w:r>
      <w:r>
        <w:rPr>
          <w:rFonts w:eastAsia="Times New Roman" w:cs="Times New Roman"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I.4 d)</w:t>
      </w:r>
      <w:r>
        <w:rPr>
          <w:rFonts w:eastAsia="Times New Roman" w:cs="Times New Roman" w:ascii="Times New Roman" w:hAnsi="Times New Roman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>V zmysle § 22 ods. 8 ZoÚ (oslobodenie od konsolidácie na medzistupni):</w:t>
      </w:r>
    </w:p>
    <w:p>
      <w:pPr>
        <w:pStyle w:val="Normal"/>
        <w:spacing w:lineRule="auto" w:line="240" w:before="0" w:after="160"/>
        <w:ind w:left="709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>V zmysle § 22 ods. 10 a 12  ZoÚ (oslobodenie pri nevýznamnosti dcérskych spoločností):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23"/>
        <w:gridCol w:w="4166"/>
      </w:tblGrid>
      <w:tr>
        <w:trPr>
          <w:trHeight w:val="1" w:hRule="atLeast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Obchodné meno dcérskej spoločnosti</w:t>
            </w:r>
          </w:p>
        </w:tc>
        <w:tc>
          <w:tcPr>
            <w:tcW w:w="416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Sídlo dcérskej spoločnosti</w:t>
            </w:r>
          </w:p>
        </w:tc>
      </w:tr>
      <w:tr>
        <w:trPr>
          <w:trHeight w:val="1" w:hRule="atLeast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6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57"/>
        <w:gridCol w:w="2373"/>
        <w:gridCol w:w="2760"/>
      </w:tblGrid>
      <w:tr>
        <w:trPr>
          <w:trHeight w:val="1" w:hRule="atLeast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</w:t>
            </w:r>
            <w:r>
              <w:rPr>
                <w:rFonts w:eastAsia="Calibri" w:cs="Calibri"/>
              </w:rPr>
              <w:t>1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10</w:t>
            </w:r>
          </w:p>
        </w:tc>
      </w:tr>
    </w:tbl>
    <w:p>
      <w:pPr>
        <w:pStyle w:val="Normal"/>
        <w:spacing w:lineRule="auto" w:line="240" w:before="0" w:after="160"/>
        <w:ind w:left="1418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ind w:left="1418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 w:before="0" w:after="16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a) - d) 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625"/>
        <w:gridCol w:w="1414"/>
        <w:gridCol w:w="1134"/>
        <w:gridCol w:w="706"/>
        <w:gridCol w:w="1414"/>
        <w:gridCol w:w="1134"/>
        <w:gridCol w:w="725"/>
      </w:tblGrid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príjmu, výhody</w:t>
            </w:r>
          </w:p>
        </w:tc>
        <w:tc>
          <w:tcPr>
            <w:tcW w:w="325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príjmu, výhody bývalých členov orgánov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iného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dozorného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iného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Časť 1 - BO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Časť 2 - PO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zabezpečenie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Použité finančné prostriedky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625" w:type="dxa"/>
            <w:vMerge w:val="continue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</w:rPr>
              <w:t>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</w:rPr>
              <w:t> 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eastAsia="Times New Roman" w:cs="Times New Roman" w:ascii="Times New Roman" w:hAnsi="Times New Roman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III</w:t>
        <w:tab/>
        <w:t>Informácie o prijatých postupoch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sz w:val="24"/>
        </w:rPr>
        <w:tab/>
      </w:r>
      <w:r>
        <w:rPr>
          <w:rFonts w:eastAsia="Times New Roman" w:cs="Times New Roman" w:ascii="Times New Roman" w:hAnsi="Times New Roman"/>
          <w:b/>
        </w:rPr>
        <w:t>áno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</w:rPr>
        <w:tab/>
      </w:r>
      <w:r>
        <w:rPr>
          <w:rFonts w:eastAsia="Times New Roman" w:cs="Times New Roman" w:ascii="Times New Roman" w:hAnsi="Times New Roman"/>
          <w:strike/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2</w:t>
        <w:tab/>
        <w:t>Zmeny účtovných zásad a metód: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Účtovné metódy a zásady boli aplikované v rámci platného ZoÚ, s osobitosťami: 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036"/>
        <w:gridCol w:w="2773"/>
        <w:gridCol w:w="3344"/>
      </w:tblGrid>
      <w:tr>
        <w:trPr>
          <w:trHeight w:val="1" w:hRule="atLeast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zmeny</w:t>
            </w:r>
          </w:p>
        </w:tc>
        <w:tc>
          <w:tcPr>
            <w:tcW w:w="334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334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03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334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3</w:t>
        <w:tab/>
        <w:t>Informácie o charaktere a účele transakcií, ktoré sa neuvádzajú v súvahe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355"/>
        <w:gridCol w:w="2357"/>
        <w:gridCol w:w="1948"/>
        <w:gridCol w:w="2492"/>
      </w:tblGrid>
      <w:tr>
        <w:trPr>
          <w:trHeight w:val="1" w:hRule="atLeast"/>
        </w:trPr>
        <w:tc>
          <w:tcPr>
            <w:tcW w:w="23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Opis transakcie</w:t>
            </w:r>
          </w:p>
        </w:tc>
        <w:tc>
          <w:tcPr>
            <w:tcW w:w="23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Prínosy transakcie</w:t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35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35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a)   Spôsob oceňovania jednotlivých zložiek majetku a záväzkov: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731"/>
        <w:gridCol w:w="2638"/>
        <w:gridCol w:w="2784"/>
      </w:tblGrid>
      <w:tr>
        <w:trPr>
          <w:trHeight w:val="1" w:hRule="atLeast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Spôsob ocenenia</w:t>
            </w:r>
          </w:p>
        </w:tc>
        <w:tc>
          <w:tcPr>
            <w:tcW w:w="278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 xml:space="preserve">Náklady spojené </w:t>
              <w:br/>
              <w:t>s obstaraním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Kúpnou cenou</w:t>
            </w:r>
          </w:p>
        </w:tc>
        <w:tc>
          <w:tcPr>
            <w:tcW w:w="278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áno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Kúpnou cenou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áno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Kúpnou cenou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áno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Zákazková výstav. nehnuteľ.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Nominálnou hodnotou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Nominálnou hodnotou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obstar.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3731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b)   Odhad zníženia hodnoty majetku a tvorba OP k majetku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4"/>
        <w:gridCol w:w="2852"/>
        <w:gridCol w:w="3327"/>
      </w:tblGrid>
      <w:tr>
        <w:trPr>
          <w:trHeight w:val="1" w:hRule="atLeast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Vytvorená OP</w:t>
            </w:r>
          </w:p>
        </w:tc>
      </w:tr>
      <w:tr>
        <w:trPr>
          <w:trHeight w:val="1" w:hRule="atLeast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32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32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c)   Ocenenie záväzkov a stanovenie odhadu ocenenia rezerv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708"/>
        <w:gridCol w:w="4444"/>
      </w:tblGrid>
      <w:tr>
        <w:trPr>
          <w:trHeight w:val="1" w:hRule="atLeast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Odhad ocenenia rezerv</w:t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d)  Ocenenie finančných nástrojov alebo majetku, ktorý nie je finančným nástrojom pri oceňovaní reálnou hodnotou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17"/>
        <w:gridCol w:w="2785"/>
        <w:gridCol w:w="1393"/>
        <w:gridCol w:w="1529"/>
        <w:gridCol w:w="1529"/>
      </w:tblGrid>
      <w:tr>
        <w:trPr>
          <w:trHeight w:val="1" w:hRule="atLeast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Vplyv reálnej hodnoty na VH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Vplyv reálnej hodnoty na VI</w:t>
            </w:r>
          </w:p>
        </w:tc>
      </w:tr>
      <w:tr>
        <w:trPr>
          <w:trHeight w:val="1" w:hRule="atLeast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color w:val="000000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e)</w:t>
        <w:tab/>
        <w:t>Ocenenie finančných nástrojov pri oceňovaní obstarávacou cenou alebo vlastnými nákladmi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99"/>
        <w:gridCol w:w="1539"/>
        <w:gridCol w:w="1665"/>
        <w:gridCol w:w="1826"/>
        <w:gridCol w:w="2224"/>
      </w:tblGrid>
      <w:tr>
        <w:trPr>
          <w:trHeight w:val="1" w:hRule="atLeast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Charakteristika FM</w:t>
            </w:r>
          </w:p>
        </w:tc>
        <w:tc>
          <w:tcPr>
            <w:tcW w:w="222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pre nezníženie účtovnej hodnoty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f)      Spôsob stanovenia metódy vlastného imania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g)     Spôsob zostavenia odpisového plánu dlhodobého majetku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78"/>
        <w:gridCol w:w="2233"/>
        <w:gridCol w:w="1950"/>
        <w:gridCol w:w="2228"/>
      </w:tblGrid>
      <w:tr>
        <w:trPr>
          <w:trHeight w:val="1" w:hRule="atLeast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Sadzba odpisov</w:t>
            </w:r>
          </w:p>
        </w:tc>
        <w:tc>
          <w:tcPr>
            <w:tcW w:w="22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Odpisová metóda</w:t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1/4</w:t>
            </w:r>
          </w:p>
        </w:tc>
        <w:tc>
          <w:tcPr>
            <w:tcW w:w="222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rovnomerná</w:t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1/20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rovnomerná</w:t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228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  <w:sz w:val="32"/>
        </w:rPr>
        <w:tab/>
      </w:r>
      <w:r>
        <w:rPr>
          <w:rFonts w:eastAsia="Times New Roman" w:cs="Times New Roman" w:ascii="Times New Roman" w:hAnsi="Times New Roman"/>
        </w:rPr>
        <w:t xml:space="preserve">Odpisový plán účtovných odpisov </w:t>
      </w:r>
      <w:r>
        <w:rPr>
          <w:rFonts w:eastAsia="Times New Roman" w:cs="Times New Roman" w:ascii="Times New Roman" w:hAnsi="Times New Roman"/>
          <w:b/>
        </w:rPr>
        <w:t>dlhodobého nehmotného majetku</w:t>
      </w:r>
      <w:r>
        <w:rPr>
          <w:rFonts w:eastAsia="Times New Roman" w:cs="Times New Roman" w:ascii="Times New Roman" w:hAnsi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Times New Roman" w:cs="Times New Roman" w:ascii="Times New Roman" w:hAnsi="Times New Roman"/>
          <w:b/>
        </w:rPr>
        <w:t>.</w:t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>Odpisový plán bol ovplyvnený týmito rozhodnutiami: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 xml:space="preserve">Odpisový plán účtovných odpisov </w:t>
      </w:r>
      <w:r>
        <w:rPr>
          <w:rFonts w:eastAsia="Times New Roman" w:cs="Times New Roman" w:ascii="Times New Roman" w:hAnsi="Times New Roman"/>
          <w:b/>
        </w:rPr>
        <w:t>dlhodobého hmotného majetku</w:t>
      </w:r>
      <w:r>
        <w:rPr>
          <w:rFonts w:eastAsia="Times New Roman" w:cs="Times New Roman" w:ascii="Times New Roman" w:hAnsi="Times New Roman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Times New Roman" w:cs="Times New Roman" w:ascii="Times New Roman" w:hAnsi="Times New Roman"/>
          <w:b/>
        </w:rPr>
        <w:t>sa nerovnajú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ab/>
      </w:r>
      <w:r>
        <w:rPr>
          <w:rFonts w:eastAsia="Times New Roman" w:cs="Times New Roman" w:ascii="Times New Roman" w:hAnsi="Times New Roman"/>
        </w:rPr>
        <w:t xml:space="preserve">Odpisový plán účtovných odpisov </w:t>
      </w:r>
      <w:r>
        <w:rPr>
          <w:rFonts w:eastAsia="Times New Roman" w:cs="Times New Roman" w:ascii="Times New Roman" w:hAnsi="Times New Roman"/>
          <w:b/>
        </w:rPr>
        <w:t>dlhodobého hmotného majetku</w:t>
      </w:r>
      <w:r>
        <w:rPr>
          <w:rFonts w:eastAsia="Times New Roman" w:cs="Times New Roman" w:ascii="Times New Roman" w:hAnsi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Times New Roman" w:cs="Times New Roman" w:ascii="Times New Roman" w:hAnsi="Times New Roman"/>
          <w:b/>
        </w:rPr>
        <w:t>sa rovnajú</w:t>
      </w:r>
      <w:r>
        <w:rPr>
          <w:rFonts w:eastAsia="Times New Roman" w:cs="Times New Roman" w:ascii="Times New Roman" w:hAnsi="Times New Roman"/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III. 4 h)</w:t>
        <w:tab/>
        <w:t>Dotácie poskytnuté na obstaranie majetku: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65"/>
        <w:gridCol w:w="3297"/>
        <w:gridCol w:w="2928"/>
      </w:tblGrid>
      <w:tr>
        <w:trPr>
          <w:trHeight w:val="1" w:hRule="atLeast"/>
        </w:trPr>
        <w:tc>
          <w:tcPr>
            <w:tcW w:w="29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Ocenenie</w:t>
            </w:r>
          </w:p>
        </w:tc>
        <w:tc>
          <w:tcPr>
            <w:tcW w:w="29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Výška dotácie</w:t>
            </w:r>
          </w:p>
        </w:tc>
      </w:tr>
      <w:tr>
        <w:trPr>
          <w:trHeight w:val="1" w:hRule="atLeast"/>
        </w:trPr>
        <w:tc>
          <w:tcPr>
            <w:tcW w:w="296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2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65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6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W w:w="9190" w:type="dxa"/>
        <w:jc w:val="left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068"/>
        <w:gridCol w:w="2869"/>
        <w:gridCol w:w="3253"/>
      </w:tblGrid>
      <w:tr>
        <w:trPr>
          <w:trHeight w:val="1" w:hRule="atLeast"/>
        </w:trPr>
        <w:tc>
          <w:tcPr>
            <w:tcW w:w="30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Suma</w:t>
            </w:r>
          </w:p>
        </w:tc>
        <w:tc>
          <w:tcPr>
            <w:tcW w:w="325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Popis chyby a vplyvu opravy</w:t>
            </w:r>
          </w:p>
        </w:tc>
      </w:tr>
      <w:tr>
        <w:trPr>
          <w:trHeight w:val="1" w:hRule="atLeast"/>
        </w:trPr>
        <w:tc>
          <w:tcPr>
            <w:tcW w:w="306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 xml:space="preserve">Oprava </w:t>
            </w:r>
            <w:r>
              <w:rPr>
                <w:rFonts w:eastAsia="Times New Roman" w:cs="Times New Roman" w:ascii="Times New Roman" w:hAnsi="Times New Roman"/>
                <w:b/>
                <w:sz w:val="24"/>
              </w:rPr>
              <w:t>významných</w:t>
            </w:r>
            <w:r>
              <w:rPr>
                <w:rFonts w:eastAsia="Times New Roman" w:cs="Times New Roman" w:ascii="Times New Roman" w:hAnsi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306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 xml:space="preserve">Oprava </w:t>
            </w:r>
            <w:r>
              <w:rPr>
                <w:rFonts w:eastAsia="Times New Roman" w:cs="Times New Roman" w:ascii="Times New Roman" w:hAnsi="Times New Roman"/>
                <w:b/>
                <w:sz w:val="24"/>
              </w:rPr>
              <w:t>nevýznamných</w:t>
            </w:r>
            <w:r>
              <w:rPr>
                <w:rFonts w:eastAsia="Times New Roman" w:cs="Times New Roman" w:ascii="Times New Roman" w:hAnsi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1</w:t>
        <w:tab/>
        <w:t>Charakteristika Goodwilu: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68"/>
        <w:gridCol w:w="2020"/>
        <w:gridCol w:w="1673"/>
        <w:gridCol w:w="2491"/>
      </w:tblGrid>
      <w:tr>
        <w:trPr>
          <w:trHeight w:val="1" w:hRule="atLeast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Charakteristika goodwillu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Spôsob výpočtu hodnoty</w:t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Ďalšie dôležité informácie o goodwille</w:t>
      </w:r>
      <w:r>
        <w:rPr>
          <w:rFonts w:eastAsia="Times New Roman" w:cs="Times New Roman" w:ascii="Times New Roman" w:hAnsi="Times New Roman"/>
          <w:sz w:val="24"/>
        </w:rPr>
        <w:t xml:space="preserve"> (prehodnotenie opodstatnenosti jeho výšky a odpisu hodnoty):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2</w:t>
        <w:tab/>
        <w:t>Informácie o významných položkách derivátov za bežné účtovné obdobie: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4"/>
        <w:gridCol w:w="352"/>
        <w:gridCol w:w="727"/>
        <w:gridCol w:w="468"/>
        <w:gridCol w:w="410"/>
      </w:tblGrid>
      <w:tr>
        <w:trPr>
          <w:trHeight w:val="1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Dohodnutá cena podkladového nástroja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 w:val="continue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4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Zmena reálnej hodn.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Zmena reálnej hodn. (+/-) s vplyvom na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vlastné imanie</w:t>
            </w:r>
          </w:p>
        </w:tc>
        <w:tc>
          <w:tcPr>
            <w:tcW w:w="22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výsledok hospodárenia</w:t>
            </w:r>
          </w:p>
        </w:tc>
        <w:tc>
          <w:tcPr>
            <w:tcW w:w="15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vlastné imanie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</w:t>
            </w:r>
          </w:p>
        </w:tc>
        <w:tc>
          <w:tcPr>
            <w:tcW w:w="2231" w:type="dxa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</w:t>
            </w: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31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41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Ďalšie dôležité informácie o významných položkách derivátov za bežné účtovné obdobie </w:t>
      </w:r>
      <w:r>
        <w:rPr>
          <w:rFonts w:eastAsia="Times New Roman" w:cs="Times New Roman" w:ascii="Times New Roman" w:hAnsi="Times New Roman"/>
        </w:rPr>
        <w:t>(napr. informácie o rozsahu a povahe týchto derivátov vrátane významných podmienok, ktoré môžu ovplyvniť sumu, načasovanie a mieru istoty budúcich peňažných tokov)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80"/>
        <w:gridCol w:w="779"/>
        <w:gridCol w:w="740"/>
        <w:gridCol w:w="794"/>
      </w:tblGrid>
      <w:tr>
        <w:trPr>
          <w:trHeight w:val="1" w:hRule="atLeast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Reálna hodnota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vMerge w:val="continue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79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položkách zabezpečených derivátmi (najmä forma zabezpečenia):</w:t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3 a)</w:t>
        <w:tab/>
        <w:t xml:space="preserve">Informácie o záväzkoch 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98"/>
        <w:gridCol w:w="2908"/>
        <w:gridCol w:w="3047"/>
      </w:tblGrid>
      <w:tr>
        <w:trPr>
          <w:trHeight w:val="1" w:hRule="atLeast"/>
        </w:trPr>
        <w:tc>
          <w:tcPr>
            <w:tcW w:w="31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Názov položky</w:t>
            </w:r>
          </w:p>
        </w:tc>
        <w:tc>
          <w:tcPr>
            <w:tcW w:w="290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BO</w:t>
            </w:r>
          </w:p>
        </w:tc>
        <w:tc>
          <w:tcPr>
            <w:tcW w:w="30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</w:t>
            </w:r>
          </w:p>
        </w:tc>
      </w:tr>
      <w:tr>
        <w:trPr>
          <w:trHeight w:val="1" w:hRule="atLeast"/>
        </w:trPr>
        <w:tc>
          <w:tcPr>
            <w:tcW w:w="31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0</w:t>
            </w:r>
          </w:p>
        </w:tc>
        <w:tc>
          <w:tcPr>
            <w:tcW w:w="30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0 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záväzkoch: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3 b)</w:t>
        <w:tab/>
        <w:t>Hodnota záväzkov zabezpečená záložným právom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98"/>
        <w:gridCol w:w="2369"/>
        <w:gridCol w:w="2086"/>
      </w:tblGrid>
      <w:tr>
        <w:trPr>
          <w:trHeight w:val="1" w:hRule="atLeast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formy zabezpečenia záväzku</w:t>
            </w:r>
          </w:p>
        </w:tc>
        <w:tc>
          <w:tcPr>
            <w:tcW w:w="44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záväzku zabezpečená</w:t>
            </w:r>
          </w:p>
        </w:tc>
      </w:tr>
      <w:tr>
        <w:trPr>
          <w:trHeight w:val="1" w:hRule="atLeast"/>
        </w:trPr>
        <w:tc>
          <w:tcPr>
            <w:tcW w:w="4698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3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Inou formou zabezp.</w:t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36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69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Arial" w:cs="Arial" w:ascii="Arial" w:hAnsi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Arial" w:cs="Arial" w:ascii="Arial" w:hAnsi="Arial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-284" w:hanging="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záväzkoch zabezp. záložným právom alebo inou formou zabezpečenia: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IV. 4 </w:t>
        <w:tab/>
        <w:t>Informácie o vlastných akciách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a) - c)</w:t>
        <w:tab/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01"/>
        <w:gridCol w:w="1543"/>
        <w:gridCol w:w="1937"/>
        <w:gridCol w:w="2067"/>
        <w:gridCol w:w="1805"/>
      </w:tblGrid>
      <w:tr>
        <w:trPr>
          <w:trHeight w:val="1" w:hRule="atLeast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2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Bežné účtovné obdobie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Prírastky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Stav na konci účtovného obdobia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Počet akcií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Počet akcií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Podiel na ZI v %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Podiel na ZI v %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Menovitá hodnota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Hodnota nadobudn.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Hodnota nadobudn.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</w:rPr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1650 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1650 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80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vlastných akciách: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IV. 5</w:t>
        <w:tab/>
        <w:t>Informácie o výnosoch a nákladoch, ktoré majú výnimočný rozsah alebo výskyt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4"/>
        <w:gridCol w:w="661"/>
      </w:tblGrid>
      <w:tr>
        <w:trPr>
          <w:trHeight w:val="1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952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  <w:tc>
          <w:tcPr>
            <w:tcW w:w="661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952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661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952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661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952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661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58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952" w:type="dxa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661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výnosoch, ktoré majú výnimočný rozsah alebo výskyt: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4"/>
        <w:gridCol w:w="757"/>
      </w:tblGrid>
      <w:tr>
        <w:trPr>
          <w:trHeight w:val="1" w:hRule="atLeast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0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  <w:tc>
          <w:tcPr>
            <w:tcW w:w="757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0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57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0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57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0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57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2987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30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757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nákladoch, ktoré majú výnimočný rozsah alebo výskyt: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V. 1 a)</w:t>
        <w:tab/>
        <w:t>Informácie o podmienenom majetku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71"/>
        <w:gridCol w:w="2588"/>
        <w:gridCol w:w="2494"/>
      </w:tblGrid>
      <w:tr>
        <w:trPr>
          <w:trHeight w:val="1" w:hRule="atLeast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Druh podmieneného majetku</w:t>
            </w:r>
          </w:p>
        </w:tc>
        <w:tc>
          <w:tcPr>
            <w:tcW w:w="508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</w:t>
            </w:r>
          </w:p>
        </w:tc>
      </w:tr>
      <w:tr>
        <w:trPr>
          <w:trHeight w:val="1" w:hRule="atLeast"/>
        </w:trPr>
        <w:tc>
          <w:tcPr>
            <w:tcW w:w="4071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BO</w:t>
            </w:r>
          </w:p>
        </w:tc>
        <w:tc>
          <w:tcPr>
            <w:tcW w:w="24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PO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71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podmienenom majetku: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V. 1 b)</w:t>
        <w:tab/>
        <w:t>Informácie o podmienených záväzkoch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24"/>
        <w:gridCol w:w="737"/>
        <w:gridCol w:w="709"/>
        <w:gridCol w:w="745"/>
        <w:gridCol w:w="697"/>
        <w:gridCol w:w="557"/>
        <w:gridCol w:w="662"/>
        <w:gridCol w:w="1288"/>
        <w:gridCol w:w="717"/>
        <w:gridCol w:w="1407"/>
        <w:gridCol w:w="809"/>
      </w:tblGrid>
      <w:tr>
        <w:trPr>
          <w:trHeight w:val="1" w:hRule="atLeast"/>
        </w:trPr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22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súdnych rozhodnutí</w:t>
            </w:r>
          </w:p>
        </w:tc>
        <w:tc>
          <w:tcPr>
            <w:tcW w:w="26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poskytnutých záruk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všeobecne záväzných právnych predpisov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zmluvy o podriadenom záväzku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ručenia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podmienené záväzky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8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3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0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0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0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0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0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 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22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súdnych rozhodnutí</w:t>
            </w:r>
          </w:p>
        </w:tc>
        <w:tc>
          <w:tcPr>
            <w:tcW w:w="26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poskytnutých záruk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všeobecne záväzných právnych predpisov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Zo zmluvy o podriadenom záväzku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 ručenia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podmienené záväzky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22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podmienených záväzkov: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V. 2</w:t>
        <w:tab/>
        <w:t>Informácie o podmienených záväzkoch</w:t>
      </w:r>
    </w:p>
    <w:tbl>
      <w:tblPr>
        <w:tblW w:w="9153" w:type="dxa"/>
        <w:jc w:val="left"/>
        <w:tblInd w:w="1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6"/>
        <w:gridCol w:w="1656"/>
        <w:gridCol w:w="299"/>
      </w:tblGrid>
      <w:tr>
        <w:trPr>
          <w:trHeight w:val="1" w:hRule="atLeast"/>
        </w:trPr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19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Povinnosť uskutočniť veľké opravy</w:t>
            </w:r>
          </w:p>
        </w:tc>
        <w:tc>
          <w:tcPr>
            <w:tcW w:w="19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9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3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 celkom</w:t>
            </w:r>
          </w:p>
        </w:tc>
        <w:tc>
          <w:tcPr>
            <w:tcW w:w="19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Spriaznené osoby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5248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Povinnosť uskutočniť veľké opravy</w:t>
            </w:r>
          </w:p>
        </w:tc>
        <w:tc>
          <w:tcPr>
            <w:tcW w:w="19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</w:rPr>
        <w:t>Ďalšie dôležité informácie o podmienených záväzkov</w:t>
      </w:r>
      <w:r>
        <w:rPr>
          <w:rFonts w:eastAsia="Times New Roman" w:cs="Times New Roman" w:ascii="Times New Roman" w:hAnsi="Times New Roman"/>
          <w:b/>
          <w:sz w:val="24"/>
        </w:rPr>
        <w:t>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</w:rPr>
        <w:t>V. 3</w:t>
        <w:tab/>
        <w:t>Informácie o údajoch na podsúvahových účtoch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63"/>
        <w:gridCol w:w="2593"/>
        <w:gridCol w:w="2497"/>
      </w:tblGrid>
      <w:tr>
        <w:trPr>
          <w:trHeight w:val="1" w:hRule="atLeast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Názov položky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PO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Prenajatý majetok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v nájme (operatívny prenájom)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Majetok prijatý do úschovy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Pohľadávky z derivátov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 z opcií derivátov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Odpísané pohľadávky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Pohľadávky z leasingu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Záväzky z leasingu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položky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sumách na podsúvahových účtoch: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color w:val="5B9BD5"/>
          <w:sz w:val="24"/>
        </w:rPr>
      </w:pPr>
      <w:r>
        <w:rPr>
          <w:rFonts w:eastAsia="Times New Roman" w:cs="Times New Roman" w:ascii="Times New Roman" w:hAnsi="Times New Roman"/>
          <w:b/>
          <w:color w:val="5B9BD5"/>
          <w:sz w:val="24"/>
        </w:rPr>
      </w:r>
    </w:p>
    <w:p>
      <w:pPr>
        <w:pStyle w:val="Normal"/>
        <w:spacing w:lineRule="auto" w:line="240" w:before="0" w:after="160"/>
        <w:ind w:left="993" w:hanging="993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 w:before="0" w:after="160"/>
        <w:ind w:left="1134" w:hanging="1134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VI. a) – j)   Udalosti, ktoré nastali po dni, ku ktorému sa zostavuje účtovná závierka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57"/>
        <w:gridCol w:w="1905"/>
        <w:gridCol w:w="1665"/>
        <w:gridCol w:w="1525"/>
      </w:tblGrid>
      <w:tr>
        <w:trPr>
          <w:trHeight w:val="1" w:hRule="atLeast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Hodnota</w:t>
            </w:r>
          </w:p>
        </w:tc>
      </w:tr>
      <w:tr>
        <w:trPr>
          <w:trHeight w:val="1" w:hRule="atLeast"/>
        </w:trPr>
        <w:tc>
          <w:tcPr>
            <w:tcW w:w="4057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90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BO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PO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160"/>
        <w:ind w:left="993" w:hanging="993"/>
        <w:rPr>
          <w:rFonts w:ascii="Times New Roman" w:hAnsi="Times New Roman" w:eastAsia="Times New Roman" w:cs="Times New Roman"/>
          <w:b/>
          <w:b/>
          <w:color w:val="5B9BD5"/>
        </w:rPr>
      </w:pPr>
      <w:r>
        <w:rPr>
          <w:rFonts w:eastAsia="Times New Roman" w:cs="Times New Roman" w:ascii="Times New Roman" w:hAnsi="Times New Roman"/>
          <w:b/>
          <w:color w:val="5B9BD5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a) – c)</w:t>
        <w:tab/>
        <w:t xml:space="preserve">      jednotke    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Ďalšie informácie týkajúce sa údelených výlučných práv alebo osobitných práv, a práv poskytovať služby vo verejnom záujme </w:t>
      </w:r>
      <w:r>
        <w:rPr>
          <w:rFonts w:eastAsia="Times New Roman" w:cs="Times New Roman" w:ascii="Times New Roman" w:hAnsi="Times New Roman"/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</w:rPr>
        <w:t xml:space="preserve">VII. 2 a) </w:t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27"/>
        <w:gridCol w:w="1671"/>
        <w:gridCol w:w="1946"/>
        <w:gridCol w:w="1662"/>
        <w:gridCol w:w="1947"/>
      </w:tblGrid>
      <w:tr>
        <w:trPr>
          <w:trHeight w:val="1" w:hRule="atLeast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36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1927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Vlastníctvo pripadajúce na:</w:t>
            </w:r>
          </w:p>
        </w:tc>
        <w:tc>
          <w:tcPr>
            <w:tcW w:w="3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Vlastníctvo pripadajúce na:</w:t>
            </w:r>
          </w:p>
        </w:tc>
      </w:tr>
      <w:tr>
        <w:trPr>
          <w:trHeight w:val="1" w:hRule="atLeast"/>
        </w:trPr>
        <w:tc>
          <w:tcPr>
            <w:tcW w:w="1927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iné osoby, v ktorých má orgán verejnej moci väčšinový podiel na hlasovacích právach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a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b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c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d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e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  <w:tr>
        <w:trPr>
          <w:trHeight w:val="1" w:hRule="atLeast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2F75B5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 w:before="0" w:after="160"/>
        <w:ind w:left="993" w:hanging="993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49"/>
        <w:gridCol w:w="2582"/>
        <w:gridCol w:w="2522"/>
      </w:tblGrid>
      <w:tr>
        <w:trPr>
          <w:trHeight w:val="1" w:hRule="atLeast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Informácie o</w:t>
            </w:r>
          </w:p>
        </w:tc>
        <w:tc>
          <w:tcPr>
            <w:tcW w:w="51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Suma</w:t>
            </w:r>
          </w:p>
        </w:tc>
      </w:tr>
      <w:tr>
        <w:trPr>
          <w:trHeight w:val="1" w:hRule="atLeast"/>
        </w:trPr>
        <w:tc>
          <w:tcPr>
            <w:tcW w:w="4049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5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a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b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c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</w:tbl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 w:before="0" w:after="160"/>
        <w:ind w:left="709" w:hanging="709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VII. 3 </w:t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153" w:type="dxa"/>
        <w:jc w:val="left"/>
        <w:tblInd w:w="10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045"/>
        <w:gridCol w:w="2451"/>
        <w:gridCol w:w="2657"/>
      </w:tblGrid>
      <w:tr>
        <w:trPr>
          <w:trHeight w:val="1" w:hRule="atLeast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Informácie o</w:t>
            </w:r>
          </w:p>
        </w:tc>
        <w:tc>
          <w:tcPr>
            <w:tcW w:w="51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Suma</w:t>
            </w:r>
          </w:p>
        </w:tc>
      </w:tr>
      <w:tr>
        <w:trPr>
          <w:trHeight w:val="1" w:hRule="atLeast"/>
        </w:trPr>
        <w:tc>
          <w:tcPr>
            <w:tcW w:w="4045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6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a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b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c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  <w:tr>
        <w:trPr>
          <w:trHeight w:val="1" w:hRule="atLeast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3150" w:leader="none"/>
        </w:tabs>
        <w:spacing w:lineRule="auto" w:line="259" w:before="0" w:after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08"/>
          <w:tab w:val="left" w:pos="3150" w:leader="none"/>
        </w:tabs>
        <w:spacing w:lineRule="auto" w:line="259" w:before="0" w:after="160"/>
        <w:rPr>
          <w:rFonts w:ascii="Times New Roman" w:hAnsi="Times New Roman" w:eastAsia="Times New Roman" w:cs="Times New Roman"/>
          <w:sz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7471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a" w:customStyle="1">
    <w:name w:val="ra"/>
    <w:basedOn w:val="DefaultParagraphFont"/>
    <w:qFormat/>
    <w:rsid w:val="00436b14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36b1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LibreOffice/7.1.0.3$Windows_X86_64 LibreOffice_project/f6099ecf3d29644b5008cc8f48f42f4a40986e4c</Application>
  <AppVersion>15.0000</AppVersion>
  <Pages>16</Pages>
  <Words>2490</Words>
  <Characters>15484</Characters>
  <CharactersWithSpaces>18379</CharactersWithSpaces>
  <Paragraphs>1073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2016-03-29T20:17:00Z</dcterms:created>
  <dc:creator>Server</dc:creator>
  <dc:description/>
  <dc:language>sk-SK</dc:language>
  <cp:lastModifiedBy/>
  <dcterms:modified xsi:type="dcterms:W3CDTF">2022-05-25T14:22:23Z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