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C671B7">
        <w:rPr>
          <w:rFonts w:ascii="Book Antiqua" w:hAnsi="Book Antiqua" w:cs="Arial"/>
          <w:b/>
          <w:bCs/>
          <w:sz w:val="24"/>
          <w:szCs w:val="24"/>
        </w:rPr>
        <w:t>2021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787EF2">
        <w:rPr>
          <w:rFonts w:ascii="Book Antiqua" w:hAnsi="Book Antiqua" w:cs="Arial"/>
          <w:b/>
          <w:bCs/>
          <w:i/>
          <w:sz w:val="28"/>
          <w:szCs w:val="28"/>
        </w:rPr>
        <w:t>Harmanec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621E74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CB7E09" w:rsidRPr="00CB7E09" w:rsidRDefault="00CB7E09" w:rsidP="00423928">
      <w:pPr>
        <w:spacing w:line="360" w:lineRule="auto"/>
        <w:rPr>
          <w:rFonts w:ascii="Book Antiqua" w:hAnsi="Book Antiqua" w:cs="Arial"/>
          <w:b/>
          <w:i/>
          <w:sz w:val="16"/>
          <w:szCs w:val="16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787EF2">
              <w:rPr>
                <w:rFonts w:ascii="Book Antiqua" w:hAnsi="Book Antiqua" w:cs="Arial"/>
                <w:i/>
                <w:sz w:val="24"/>
                <w:szCs w:val="24"/>
              </w:rPr>
              <w:t>Harmanec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787EF2" w:rsidP="00787EF2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Harmanec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6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 xml:space="preserve">, 976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03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 xml:space="preserve">rozpočtovej </w:t>
      </w:r>
      <w:r w:rsidR="00787EF2">
        <w:rPr>
          <w:rFonts w:ascii="Book Antiqua" w:hAnsi="Book Antiqua" w:cs="Arial"/>
          <w:b/>
          <w:i/>
          <w:sz w:val="24"/>
          <w:szCs w:val="24"/>
        </w:rPr>
        <w:t xml:space="preserve">a príspevkovej </w:t>
      </w:r>
      <w:r w:rsidR="009D33C9">
        <w:rPr>
          <w:rFonts w:ascii="Book Antiqua" w:hAnsi="Book Antiqua" w:cs="Arial"/>
          <w:b/>
          <w:i/>
          <w:sz w:val="24"/>
          <w:szCs w:val="24"/>
        </w:rPr>
        <w:t>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  <w:r w:rsidR="009D4960">
        <w:rPr>
          <w:rFonts w:ascii="Book Antiqua" w:hAnsi="Book Antiqua" w:cs="Arial"/>
          <w:b/>
          <w:i/>
          <w:sz w:val="24"/>
          <w:szCs w:val="24"/>
        </w:rPr>
        <w:t>.</w:t>
      </w:r>
    </w:p>
    <w:p w:rsidR="00C836D2" w:rsidRPr="00CB7E09" w:rsidRDefault="00C836D2" w:rsidP="00423928">
      <w:pPr>
        <w:spacing w:line="360" w:lineRule="auto"/>
        <w:rPr>
          <w:rFonts w:ascii="Book Antiqua" w:hAnsi="Book Antiqua" w:cs="Arial"/>
          <w:sz w:val="16"/>
          <w:szCs w:val="16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787EF2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</w:t>
            </w:r>
          </w:p>
        </w:tc>
      </w:tr>
      <w:tr w:rsidR="00787EF2" w:rsidRPr="00402A07" w:rsidTr="0096070D">
        <w:tc>
          <w:tcPr>
            <w:tcW w:w="4781" w:type="dxa"/>
            <w:vAlign w:val="center"/>
          </w:tcPr>
          <w:p w:rsidR="00787EF2" w:rsidRPr="00402A07" w:rsidRDefault="00787EF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787EF2" w:rsidRPr="00402A07" w:rsidRDefault="00787EF2" w:rsidP="00787EF2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Harmanec 10, 976 03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B0324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>0</w:t>
            </w:r>
            <w:r w:rsidR="00787EF2">
              <w:rPr>
                <w:rFonts w:ascii="Book Antiqua" w:hAnsi="Book Antiqua" w:cs="Arial"/>
                <w:i/>
                <w:sz w:val="24"/>
                <w:szCs w:val="24"/>
              </w:rPr>
              <w:t>5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649B5" w:rsidRPr="00402A07" w:rsidTr="00754FEC">
        <w:tc>
          <w:tcPr>
            <w:tcW w:w="4781" w:type="dxa"/>
            <w:vAlign w:val="center"/>
          </w:tcPr>
          <w:p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7649B5" w:rsidRPr="00402A07" w:rsidRDefault="00787EF2" w:rsidP="00787EF2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Bytový podnik Harmanec</w:t>
            </w:r>
          </w:p>
        </w:tc>
      </w:tr>
      <w:tr w:rsidR="00787EF2" w:rsidRPr="00402A07" w:rsidTr="00754FEC">
        <w:tc>
          <w:tcPr>
            <w:tcW w:w="4781" w:type="dxa"/>
            <w:vAlign w:val="center"/>
          </w:tcPr>
          <w:p w:rsidR="00787EF2" w:rsidRPr="00402A07" w:rsidRDefault="00787EF2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787EF2" w:rsidRPr="00402A07" w:rsidRDefault="00787EF2" w:rsidP="00C42F6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Harmanec 6, 976 03</w:t>
            </w:r>
          </w:p>
        </w:tc>
      </w:tr>
      <w:tr w:rsidR="007649B5" w:rsidRPr="00402A07" w:rsidTr="00754FEC">
        <w:tc>
          <w:tcPr>
            <w:tcW w:w="4781" w:type="dxa"/>
            <w:vAlign w:val="center"/>
          </w:tcPr>
          <w:p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:rsidR="007649B5" w:rsidRPr="00402A07" w:rsidRDefault="00787EF2" w:rsidP="00754FE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01.01.1993</w:t>
            </w:r>
          </w:p>
        </w:tc>
      </w:tr>
    </w:tbl>
    <w:p w:rsidR="007649B5" w:rsidRDefault="007649B5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3347AA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CB7E09" w:rsidRPr="00CB7E09" w:rsidRDefault="00CB7E09" w:rsidP="00423928">
      <w:pPr>
        <w:spacing w:line="360" w:lineRule="auto"/>
        <w:rPr>
          <w:rFonts w:ascii="Book Antiqua" w:hAnsi="Book Antiqua" w:cs="Arial"/>
          <w:b/>
          <w:i/>
          <w:sz w:val="16"/>
          <w:szCs w:val="16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524E49" w:rsidRDefault="004C59D4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13</w:t>
            </w:r>
            <w:r w:rsidR="008C5C31">
              <w:rPr>
                <w:rFonts w:ascii="Book Antiqua" w:hAnsi="Book Antiqua" w:cs="Arial"/>
                <w:i/>
                <w:sz w:val="24"/>
                <w:szCs w:val="24"/>
              </w:rPr>
              <w:t xml:space="preserve"> Obec + 3,5 ZŠ + 4 BP = 20,5</w:t>
            </w:r>
            <w:bookmarkStart w:id="0" w:name="_GoBack"/>
            <w:bookmarkEnd w:id="0"/>
          </w:p>
          <w:p w:rsidR="009237D3" w:rsidRDefault="009237D3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 zamestnáva aj zamestnancov Materskej školy</w:t>
            </w:r>
          </w:p>
          <w:p w:rsidR="009237D3" w:rsidRPr="00F33E67" w:rsidRDefault="00AF1D99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9237D3">
              <w:rPr>
                <w:rFonts w:ascii="Book Antiqua" w:hAnsi="Book Antiqua" w:cs="Arial"/>
                <w:i/>
                <w:sz w:val="24"/>
                <w:szCs w:val="24"/>
              </w:rPr>
              <w:t xml:space="preserve"> Školskej jedálne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a Ubytovne</w:t>
            </w:r>
            <w:r w:rsidR="009237D3">
              <w:rPr>
                <w:rFonts w:ascii="Book Antiqua" w:hAnsi="Book Antiqua" w:cs="Arial"/>
                <w:i/>
                <w:sz w:val="24"/>
                <w:szCs w:val="24"/>
              </w:rPr>
              <w:t>.</w:t>
            </w: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B837AA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2 Obec + 1 ZŠ = 3</w:t>
            </w:r>
          </w:p>
        </w:tc>
      </w:tr>
    </w:tbl>
    <w:p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 zostavení individuálnej účtovnej závierky konsolidovanej účtovnej jednotky – obchodnej spoločnosti, ak je iný ako 31.12.</w:t>
      </w:r>
      <w:r w:rsidR="00DD63DA">
        <w:rPr>
          <w:rFonts w:ascii="Book Antiqua" w:hAnsi="Book Antiqua" w:cs="Arial"/>
          <w:b/>
          <w:i/>
          <w:sz w:val="24"/>
          <w:szCs w:val="24"/>
        </w:rPr>
        <w:t>202</w:t>
      </w:r>
      <w:r w:rsidR="00B80D47">
        <w:rPr>
          <w:rFonts w:ascii="Book Antiqua" w:hAnsi="Book Antiqua" w:cs="Arial"/>
          <w:b/>
          <w:i/>
          <w:sz w:val="24"/>
          <w:szCs w:val="24"/>
        </w:rPr>
        <w:t>1</w:t>
      </w: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F33E67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B80D47" w:rsidRDefault="00B80D47" w:rsidP="00347A64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87EF2">
        <w:rPr>
          <w:rFonts w:ascii="Book Antiqua" w:hAnsi="Book Antiqua" w:cs="Arial"/>
          <w:b/>
          <w:i/>
          <w:sz w:val="24"/>
          <w:szCs w:val="24"/>
        </w:rPr>
        <w:t>Harmanec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DA7B5E" w:rsidRPr="00402A07" w:rsidRDefault="00DA7B5E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87EF2">
        <w:rPr>
          <w:rFonts w:ascii="Book Antiqua" w:hAnsi="Book Antiqua" w:cs="Arial"/>
          <w:b/>
          <w:i/>
          <w:sz w:val="24"/>
          <w:szCs w:val="24"/>
        </w:rPr>
        <w:t>Harmanec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="007649B5">
        <w:rPr>
          <w:rFonts w:ascii="Book Antiqua" w:hAnsi="Book Antiqua" w:cs="Arial"/>
          <w:b/>
          <w:sz w:val="24"/>
          <w:szCs w:val="24"/>
        </w:rPr>
        <w:t xml:space="preserve"> a 1 </w:t>
      </w:r>
      <w:r w:rsidR="00787EF2">
        <w:rPr>
          <w:rFonts w:ascii="Book Antiqua" w:hAnsi="Book Antiqua" w:cs="Arial"/>
          <w:b/>
          <w:sz w:val="24"/>
          <w:szCs w:val="24"/>
        </w:rPr>
        <w:t>príspevkovú organizáciu</w:t>
      </w:r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649B5">
        <w:rPr>
          <w:rFonts w:ascii="Book Antiqua" w:hAnsi="Book Antiqua" w:cs="Arial"/>
          <w:b/>
          <w:sz w:val="24"/>
          <w:szCs w:val="24"/>
        </w:rPr>
        <w:t>ich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DA7B5E" w:rsidRDefault="00DA7B5E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B80D47" w:rsidRDefault="00B80D4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B80D47" w:rsidRDefault="00B80D4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DA7B5E" w:rsidRPr="00402A07" w:rsidRDefault="00DA7B5E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lastRenderedPageBreak/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787EF2">
        <w:rPr>
          <w:rFonts w:ascii="Book Antiqua" w:hAnsi="Book Antiqua" w:cs="Arial"/>
          <w:i/>
          <w:sz w:val="24"/>
          <w:szCs w:val="24"/>
        </w:rPr>
        <w:t>Harmanec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0"/>
        <w:gridCol w:w="1537"/>
        <w:gridCol w:w="1559"/>
        <w:gridCol w:w="1620"/>
      </w:tblGrid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787EF2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37" w:type="dxa"/>
          </w:tcPr>
          <w:p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787EF2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Bytový podnik Harmanec</w:t>
            </w:r>
          </w:p>
        </w:tc>
        <w:tc>
          <w:tcPr>
            <w:tcW w:w="1537" w:type="dxa"/>
          </w:tcPr>
          <w:p w:rsidR="00C82159" w:rsidRPr="00402A07" w:rsidRDefault="007649B5" w:rsidP="007649B5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nevzniká pri konsolidovanej účtovnej  jednotke, ktorou je rozpočtová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nevzniká pri konsolidovanej účtovnej  jednotke, ktorou je príspevková 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Goodwill nevzniká pri založení konsolidovanej účtovnej  jednotky, ktorou je obchodná spoločnosť. 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>Goodwill vzniká pri kúpe už existujúcej konsolidovanej účtovnej  jednotky, ktorou je obchodná spoločnosť.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sa odpisuje do 5 rokov.</w:t>
      </w: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A4312C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</w:t>
      </w:r>
      <w:r w:rsidR="00DA7B5E">
        <w:rPr>
          <w:rFonts w:ascii="Book Antiqua" w:hAnsi="Book Antiqua" w:cs="Arial"/>
          <w:b/>
          <w:sz w:val="24"/>
          <w:szCs w:val="24"/>
        </w:rPr>
        <w:t> </w:t>
      </w:r>
      <w:r w:rsidR="00AA4068" w:rsidRPr="00402A07">
        <w:rPr>
          <w:rFonts w:ascii="Book Antiqua" w:hAnsi="Book Antiqua" w:cs="Arial"/>
          <w:b/>
          <w:sz w:val="24"/>
          <w:szCs w:val="24"/>
        </w:rPr>
        <w:t>pasív</w:t>
      </w:r>
    </w:p>
    <w:p w:rsidR="00DA7B5E" w:rsidRDefault="00DA7B5E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</w:p>
    <w:p w:rsidR="00DA7B5E" w:rsidRDefault="00D3330F" w:rsidP="00DA7B5E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Popis údajov vy</w:t>
      </w:r>
      <w:r w:rsidR="00DA7B5E">
        <w:rPr>
          <w:rFonts w:ascii="Book Antiqua" w:hAnsi="Book Antiqua" w:cs="Arial"/>
          <w:b/>
          <w:sz w:val="24"/>
          <w:szCs w:val="24"/>
        </w:rPr>
        <w:t>plnených v prehľade pohybov dl</w:t>
      </w:r>
      <w:r>
        <w:rPr>
          <w:rFonts w:ascii="Book Antiqua" w:hAnsi="Book Antiqua" w:cs="Arial"/>
          <w:b/>
          <w:sz w:val="24"/>
          <w:szCs w:val="24"/>
        </w:rPr>
        <w:t>hod</w:t>
      </w:r>
      <w:r w:rsidR="00DA7B5E">
        <w:rPr>
          <w:rFonts w:ascii="Book Antiqua" w:hAnsi="Book Antiqua" w:cs="Arial"/>
          <w:b/>
          <w:sz w:val="24"/>
          <w:szCs w:val="24"/>
        </w:rPr>
        <w:t xml:space="preserve">obého nehmotného </w:t>
      </w:r>
      <w:r>
        <w:rPr>
          <w:rFonts w:ascii="Book Antiqua" w:hAnsi="Book Antiqua" w:cs="Arial"/>
          <w:b/>
          <w:sz w:val="24"/>
          <w:szCs w:val="24"/>
        </w:rPr>
        <w:t>a dlhodobého hmotného majetku</w:t>
      </w:r>
    </w:p>
    <w:p w:rsidR="00D3330F" w:rsidRPr="00011FD1" w:rsidRDefault="00D3330F" w:rsidP="00D3330F">
      <w:pPr>
        <w:pStyle w:val="Odsekzoznamu"/>
        <w:numPr>
          <w:ilvl w:val="0"/>
          <w:numId w:val="46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t>Bezprostredne predchádzajúce účtov</w:t>
      </w:r>
      <w:r w:rsidR="00DD63DA">
        <w:rPr>
          <w:rFonts w:ascii="Book Antiqua" w:hAnsi="Book Antiqua" w:cs="Arial"/>
          <w:sz w:val="24"/>
          <w:szCs w:val="24"/>
        </w:rPr>
        <w:t xml:space="preserve">né obdobie sa </w:t>
      </w:r>
      <w:r w:rsidR="00C671B7">
        <w:rPr>
          <w:rFonts w:ascii="Book Antiqua" w:hAnsi="Book Antiqua" w:cs="Arial"/>
          <w:sz w:val="24"/>
          <w:szCs w:val="24"/>
        </w:rPr>
        <w:t>chápe k 31.12.2020</w:t>
      </w:r>
    </w:p>
    <w:p w:rsidR="00D3330F" w:rsidRPr="00011FD1" w:rsidRDefault="00D3330F" w:rsidP="00D3330F">
      <w:pPr>
        <w:pStyle w:val="Odsekzoznamu"/>
        <w:numPr>
          <w:ilvl w:val="0"/>
          <w:numId w:val="46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t xml:space="preserve">Bežné účtovné </w:t>
      </w:r>
      <w:r w:rsidR="00C671B7">
        <w:rPr>
          <w:rFonts w:ascii="Book Antiqua" w:hAnsi="Book Antiqua" w:cs="Arial"/>
          <w:sz w:val="24"/>
          <w:szCs w:val="24"/>
        </w:rPr>
        <w:t>obdobie sa vykazuje k 31.12.2021</w:t>
      </w:r>
    </w:p>
    <w:p w:rsidR="00D3330F" w:rsidRPr="00011FD1" w:rsidRDefault="00D3330F" w:rsidP="00D3330F">
      <w:pPr>
        <w:pStyle w:val="Odsekzoznamu"/>
        <w:numPr>
          <w:ilvl w:val="0"/>
          <w:numId w:val="46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t>Prírastok je prvotné vykázanie obstarania dlhodobého nehmotného a dlhodobého hmotného majetku akoukoľvek formou, zvýšenie aktív (napr. kúpa, darovanie)</w:t>
      </w:r>
    </w:p>
    <w:p w:rsidR="00D3330F" w:rsidRDefault="00D3330F" w:rsidP="00011FD1">
      <w:pPr>
        <w:pStyle w:val="Odsekzoznamu"/>
        <w:numPr>
          <w:ilvl w:val="0"/>
          <w:numId w:val="46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t>Úbytok je vykázanie zníženia aktív (napr. predaj, darovanie)</w:t>
      </w:r>
    </w:p>
    <w:p w:rsidR="00011FD1" w:rsidRPr="00011FD1" w:rsidRDefault="00011FD1" w:rsidP="00011FD1">
      <w:pPr>
        <w:pStyle w:val="Odsekzoznamu"/>
        <w:numPr>
          <w:ilvl w:val="0"/>
          <w:numId w:val="46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t>Presun je vykázanie zmeny hodnoty niektorej položky bez zmeny celkovej hodnoty aktív.</w:t>
      </w:r>
    </w:p>
    <w:p w:rsidR="00D3330F" w:rsidRDefault="00D3330F" w:rsidP="00D3330F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</w:p>
    <w:p w:rsidR="00D3330F" w:rsidRDefault="00D3330F" w:rsidP="00D3330F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Popis významných informácií o aktívach a pasívach (príloha tabuľky)</w:t>
      </w:r>
    </w:p>
    <w:p w:rsidR="008F6C76" w:rsidRDefault="008F6C76" w:rsidP="00D3330F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</w:p>
    <w:p w:rsidR="00D3330F" w:rsidRPr="00011FD1" w:rsidRDefault="00D3330F" w:rsidP="00D3330F">
      <w:pPr>
        <w:pStyle w:val="Odsekzoznamu"/>
        <w:numPr>
          <w:ilvl w:val="0"/>
          <w:numId w:val="4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t xml:space="preserve">Konsolidovaný celok obce Harmanec zahŕňa jednu rozpočtovú a jednu príspevkovú organizáciu, ich identifikačné údaje sa nachádzajú v priloženom prehľade. </w:t>
      </w:r>
    </w:p>
    <w:p w:rsidR="00A703CF" w:rsidRPr="00011FD1" w:rsidRDefault="00D3330F" w:rsidP="00D3330F">
      <w:pPr>
        <w:pStyle w:val="Odsekzoznamu"/>
        <w:numPr>
          <w:ilvl w:val="0"/>
          <w:numId w:val="4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t xml:space="preserve">Rezervy sa v konsolidovanom celku tvorili v rámci </w:t>
      </w:r>
      <w:r w:rsidR="00A703CF" w:rsidRPr="00011FD1">
        <w:rPr>
          <w:rFonts w:ascii="Book Antiqua" w:hAnsi="Book Antiqua" w:cs="Arial"/>
          <w:sz w:val="24"/>
          <w:szCs w:val="24"/>
        </w:rPr>
        <w:t>hlavnej činnosti, konkrétne hod</w:t>
      </w:r>
      <w:r w:rsidRPr="00011FD1">
        <w:rPr>
          <w:rFonts w:ascii="Book Antiqua" w:hAnsi="Book Antiqua" w:cs="Arial"/>
          <w:sz w:val="24"/>
          <w:szCs w:val="24"/>
        </w:rPr>
        <w:t>n</w:t>
      </w:r>
      <w:r w:rsidR="00A703CF" w:rsidRPr="00011FD1">
        <w:rPr>
          <w:rFonts w:ascii="Book Antiqua" w:hAnsi="Book Antiqua" w:cs="Arial"/>
          <w:sz w:val="24"/>
          <w:szCs w:val="24"/>
        </w:rPr>
        <w:t>o</w:t>
      </w:r>
      <w:r w:rsidRPr="00011FD1">
        <w:rPr>
          <w:rFonts w:ascii="Book Antiqua" w:hAnsi="Book Antiqua" w:cs="Arial"/>
          <w:sz w:val="24"/>
          <w:szCs w:val="24"/>
        </w:rPr>
        <w:t>ty sa nachádzajú  v priloženom prehľade o pohybe rezer</w:t>
      </w:r>
      <w:r w:rsidR="00A703CF" w:rsidRPr="00011FD1">
        <w:rPr>
          <w:rFonts w:ascii="Book Antiqua" w:hAnsi="Book Antiqua" w:cs="Arial"/>
          <w:sz w:val="24"/>
          <w:szCs w:val="24"/>
        </w:rPr>
        <w:t xml:space="preserve">v; najvýznamnejšia tvorba, </w:t>
      </w:r>
      <w:r w:rsidR="008F6C76">
        <w:rPr>
          <w:rFonts w:ascii="Book Antiqua" w:hAnsi="Book Antiqua" w:cs="Arial"/>
          <w:sz w:val="24"/>
          <w:szCs w:val="24"/>
        </w:rPr>
        <w:t>použitie</w:t>
      </w:r>
      <w:r w:rsidR="00A703CF" w:rsidRPr="00011FD1">
        <w:rPr>
          <w:rFonts w:ascii="Book Antiqua" w:hAnsi="Book Antiqua" w:cs="Arial"/>
          <w:sz w:val="24"/>
          <w:szCs w:val="24"/>
        </w:rPr>
        <w:t xml:space="preserve"> rezerv sa vykázala na overenie účtovnej závierky</w:t>
      </w:r>
      <w:r w:rsidR="008F6C76">
        <w:rPr>
          <w:rFonts w:ascii="Book Antiqua" w:hAnsi="Book Antiqua" w:cs="Arial"/>
          <w:sz w:val="24"/>
          <w:szCs w:val="24"/>
        </w:rPr>
        <w:t xml:space="preserve"> a </w:t>
      </w:r>
      <w:r w:rsidR="00D55427">
        <w:rPr>
          <w:rFonts w:ascii="Book Antiqua" w:hAnsi="Book Antiqua" w:cs="Arial"/>
          <w:sz w:val="24"/>
          <w:szCs w:val="24"/>
        </w:rPr>
        <w:t>nevyfakturované</w:t>
      </w:r>
      <w:r w:rsidR="008F6C76">
        <w:rPr>
          <w:rFonts w:ascii="Book Antiqua" w:hAnsi="Book Antiqua" w:cs="Arial"/>
          <w:sz w:val="24"/>
          <w:szCs w:val="24"/>
        </w:rPr>
        <w:t xml:space="preserve"> energie</w:t>
      </w:r>
      <w:r w:rsidR="00A703CF" w:rsidRPr="00011FD1">
        <w:rPr>
          <w:rFonts w:ascii="Book Antiqua" w:hAnsi="Book Antiqua" w:cs="Arial"/>
          <w:sz w:val="24"/>
          <w:szCs w:val="24"/>
        </w:rPr>
        <w:t xml:space="preserve">. </w:t>
      </w:r>
    </w:p>
    <w:p w:rsidR="00D3330F" w:rsidRPr="00011FD1" w:rsidRDefault="00A703CF" w:rsidP="00D3330F">
      <w:pPr>
        <w:pStyle w:val="Odsekzoznamu"/>
        <w:numPr>
          <w:ilvl w:val="0"/>
          <w:numId w:val="4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t xml:space="preserve">Prehľad o pohybe dlhodobého majetku sa nachádza v priloženom tabuľkovom formulári a vysvetľuje položky súvahy – aktív. Najvýznamnejší prírastok dlhodobého majetku bol vykázaný v konsolidovanej účtovnej jednotke obec Harmanec. Významný úbytok dlhodobého majetku nebol vykázaný v žiadnej konsolidovanej účtovnej jednotke.  </w:t>
      </w:r>
    </w:p>
    <w:p w:rsidR="00A703CF" w:rsidRDefault="00A703CF" w:rsidP="00D3330F">
      <w:pPr>
        <w:pStyle w:val="Odsekzoznamu"/>
        <w:numPr>
          <w:ilvl w:val="0"/>
          <w:numId w:val="4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t xml:space="preserve">V rámci dlhodobého finančného majetku vykazuje konsolidovaný celok obec Harmanec cenné papiere Stredoslovenskej vodárenskej spoločnosti a. s. v hodnote 176 970,00 EUR. </w:t>
      </w:r>
    </w:p>
    <w:p w:rsidR="00E74804" w:rsidRPr="00011FD1" w:rsidRDefault="00A703CF" w:rsidP="00D3330F">
      <w:pPr>
        <w:pStyle w:val="Odsekzoznamu"/>
        <w:numPr>
          <w:ilvl w:val="0"/>
          <w:numId w:val="4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lastRenderedPageBreak/>
        <w:t>Konsolidovaný celok nevytvoril opravné položky k</w:t>
      </w:r>
      <w:r w:rsidR="00EA446F">
        <w:rPr>
          <w:rFonts w:ascii="Book Antiqua" w:hAnsi="Book Antiqua" w:cs="Arial"/>
          <w:sz w:val="24"/>
          <w:szCs w:val="24"/>
        </w:rPr>
        <w:t> </w:t>
      </w:r>
      <w:r w:rsidRPr="00011FD1">
        <w:rPr>
          <w:rFonts w:ascii="Book Antiqua" w:hAnsi="Book Antiqua" w:cs="Arial"/>
          <w:sz w:val="24"/>
          <w:szCs w:val="24"/>
        </w:rPr>
        <w:t>zásobám</w:t>
      </w:r>
      <w:r w:rsidR="00EA446F">
        <w:rPr>
          <w:rFonts w:ascii="Book Antiqua" w:hAnsi="Book Antiqua" w:cs="Arial"/>
          <w:sz w:val="24"/>
          <w:szCs w:val="24"/>
        </w:rPr>
        <w:t>, ani k pohľadávkam</w:t>
      </w:r>
      <w:r w:rsidR="00E74804" w:rsidRPr="00011FD1">
        <w:rPr>
          <w:rFonts w:ascii="Book Antiqua" w:hAnsi="Book Antiqua" w:cs="Arial"/>
          <w:sz w:val="24"/>
          <w:szCs w:val="24"/>
        </w:rPr>
        <w:t>.</w:t>
      </w:r>
    </w:p>
    <w:p w:rsidR="00A703CF" w:rsidRDefault="00A703CF" w:rsidP="00D3330F">
      <w:pPr>
        <w:pStyle w:val="Odsekzoznamu"/>
        <w:numPr>
          <w:ilvl w:val="0"/>
          <w:numId w:val="4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t>Konsolidovaný celok vykazuje dlhodobé pohľadávky</w:t>
      </w:r>
      <w:r w:rsidR="00EA446F">
        <w:rPr>
          <w:rFonts w:ascii="Book Antiqua" w:hAnsi="Book Antiqua" w:cs="Arial"/>
          <w:sz w:val="24"/>
          <w:szCs w:val="24"/>
        </w:rPr>
        <w:t xml:space="preserve"> vo výške </w:t>
      </w:r>
      <w:r w:rsidR="00C671B7">
        <w:rPr>
          <w:rFonts w:ascii="Book Antiqua" w:hAnsi="Book Antiqua" w:cs="Arial"/>
          <w:sz w:val="24"/>
          <w:szCs w:val="24"/>
        </w:rPr>
        <w:t>105 834,79</w:t>
      </w:r>
      <w:r w:rsidR="00C50AFF" w:rsidRPr="00757B47">
        <w:rPr>
          <w:rFonts w:ascii="Book Antiqua" w:hAnsi="Book Antiqua" w:cs="Arial"/>
          <w:color w:val="FF0000"/>
          <w:sz w:val="24"/>
          <w:szCs w:val="24"/>
        </w:rPr>
        <w:t xml:space="preserve"> </w:t>
      </w:r>
      <w:r w:rsidR="00C50AFF">
        <w:rPr>
          <w:rFonts w:ascii="Book Antiqua" w:hAnsi="Book Antiqua" w:cs="Arial"/>
          <w:sz w:val="24"/>
          <w:szCs w:val="24"/>
        </w:rPr>
        <w:t>EUR, ktoré sa týkajú týchto druhov ekonomických transakcií: platby od obyvateľov za nájom bytov, odberat</w:t>
      </w:r>
      <w:r w:rsidR="00357F71">
        <w:rPr>
          <w:rFonts w:ascii="Book Antiqua" w:hAnsi="Book Antiqua" w:cs="Arial"/>
          <w:sz w:val="24"/>
          <w:szCs w:val="24"/>
        </w:rPr>
        <w:t xml:space="preserve">eľské faktúry za služby. </w:t>
      </w:r>
      <w:r w:rsidR="00C50AFF">
        <w:rPr>
          <w:rFonts w:ascii="Book Antiqua" w:hAnsi="Book Antiqua" w:cs="Arial"/>
          <w:sz w:val="24"/>
          <w:szCs w:val="24"/>
        </w:rPr>
        <w:t xml:space="preserve"> </w:t>
      </w:r>
    </w:p>
    <w:p w:rsidR="00C50AFF" w:rsidRPr="00757B47" w:rsidRDefault="00C50AFF" w:rsidP="00C50AFF">
      <w:pPr>
        <w:pStyle w:val="Odsekzoznamu"/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Najväčší podiel na vykázaných dlhodobých pohľadávkach má Bytový podnik Harmanec  </w:t>
      </w:r>
    </w:p>
    <w:p w:rsidR="00813893" w:rsidRDefault="00A703CF" w:rsidP="00D3330F">
      <w:pPr>
        <w:pStyle w:val="Odsekzoznamu"/>
        <w:numPr>
          <w:ilvl w:val="0"/>
          <w:numId w:val="4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t xml:space="preserve">Konsolidovaný celok vykazuje krátkodobé pohľadávky vo výške </w:t>
      </w:r>
      <w:r w:rsidR="00C671B7">
        <w:rPr>
          <w:rFonts w:ascii="Book Antiqua" w:hAnsi="Book Antiqua" w:cs="Arial"/>
          <w:sz w:val="24"/>
          <w:szCs w:val="24"/>
        </w:rPr>
        <w:t>10 904,33</w:t>
      </w:r>
      <w:r w:rsidR="008F6C76" w:rsidRPr="00757B47">
        <w:rPr>
          <w:rFonts w:ascii="Book Antiqua" w:hAnsi="Book Antiqua" w:cs="Arial"/>
          <w:sz w:val="24"/>
          <w:szCs w:val="24"/>
        </w:rPr>
        <w:t xml:space="preserve"> </w:t>
      </w:r>
      <w:r w:rsidR="008F6C76">
        <w:rPr>
          <w:rFonts w:ascii="Book Antiqua" w:hAnsi="Book Antiqua" w:cs="Arial"/>
          <w:sz w:val="24"/>
          <w:szCs w:val="24"/>
        </w:rPr>
        <w:t>EUR</w:t>
      </w:r>
      <w:r w:rsidRPr="00011FD1">
        <w:rPr>
          <w:rFonts w:ascii="Book Antiqua" w:hAnsi="Book Antiqua" w:cs="Arial"/>
          <w:sz w:val="24"/>
          <w:szCs w:val="24"/>
        </w:rPr>
        <w:t xml:space="preserve">, ktoré sa týkajú týchto druhov ekonomických transakcií: </w:t>
      </w:r>
    </w:p>
    <w:p w:rsidR="00813893" w:rsidRDefault="00813893" w:rsidP="00813893">
      <w:pPr>
        <w:pStyle w:val="Odsekzoznamu"/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Obec Harmanec : </w:t>
      </w:r>
      <w:r w:rsidR="00A703CF" w:rsidRPr="00011FD1">
        <w:rPr>
          <w:rFonts w:ascii="Book Antiqua" w:hAnsi="Book Antiqua" w:cs="Arial"/>
          <w:sz w:val="24"/>
          <w:szCs w:val="24"/>
        </w:rPr>
        <w:t>daň z</w:t>
      </w:r>
      <w:r>
        <w:rPr>
          <w:rFonts w:ascii="Book Antiqua" w:hAnsi="Book Antiqua" w:cs="Arial"/>
          <w:sz w:val="24"/>
          <w:szCs w:val="24"/>
        </w:rPr>
        <w:t> </w:t>
      </w:r>
      <w:r w:rsidR="008F6C76">
        <w:rPr>
          <w:rFonts w:ascii="Book Antiqua" w:hAnsi="Book Antiqua" w:cs="Arial"/>
          <w:sz w:val="24"/>
          <w:szCs w:val="24"/>
        </w:rPr>
        <w:t>pozemkov</w:t>
      </w:r>
      <w:r>
        <w:rPr>
          <w:rFonts w:ascii="Book Antiqua" w:hAnsi="Book Antiqua" w:cs="Arial"/>
          <w:sz w:val="24"/>
          <w:szCs w:val="24"/>
        </w:rPr>
        <w:t>,</w:t>
      </w:r>
      <w:r w:rsidR="008F6C76">
        <w:rPr>
          <w:rFonts w:ascii="Book Antiqua" w:hAnsi="Book Antiqua" w:cs="Arial"/>
          <w:sz w:val="24"/>
          <w:szCs w:val="24"/>
        </w:rPr>
        <w:t xml:space="preserve"> </w:t>
      </w:r>
      <w:r w:rsidR="00A703CF" w:rsidRPr="00011FD1">
        <w:rPr>
          <w:rFonts w:ascii="Book Antiqua" w:hAnsi="Book Antiqua" w:cs="Arial"/>
          <w:sz w:val="24"/>
          <w:szCs w:val="24"/>
        </w:rPr>
        <w:t xml:space="preserve">stavieb </w:t>
      </w:r>
      <w:r>
        <w:rPr>
          <w:rFonts w:ascii="Book Antiqua" w:hAnsi="Book Antiqua" w:cs="Arial"/>
          <w:sz w:val="24"/>
          <w:szCs w:val="24"/>
        </w:rPr>
        <w:t xml:space="preserve">a bytov, </w:t>
      </w:r>
      <w:r w:rsidRPr="00011FD1">
        <w:rPr>
          <w:rFonts w:ascii="Book Antiqua" w:hAnsi="Book Antiqua" w:cs="Arial"/>
          <w:sz w:val="24"/>
          <w:szCs w:val="24"/>
        </w:rPr>
        <w:t>poplatky za odvoz komunálneho odpadu</w:t>
      </w:r>
      <w:r>
        <w:rPr>
          <w:rFonts w:ascii="Book Antiqua" w:hAnsi="Book Antiqua" w:cs="Arial"/>
          <w:sz w:val="24"/>
          <w:szCs w:val="24"/>
        </w:rPr>
        <w:t xml:space="preserve"> </w:t>
      </w:r>
      <w:r w:rsidR="008F6C76">
        <w:rPr>
          <w:rFonts w:ascii="Book Antiqua" w:hAnsi="Book Antiqua" w:cs="Arial"/>
          <w:sz w:val="24"/>
          <w:szCs w:val="24"/>
        </w:rPr>
        <w:t xml:space="preserve">– </w:t>
      </w:r>
      <w:r w:rsidR="00BF6796">
        <w:rPr>
          <w:rFonts w:ascii="Book Antiqua" w:hAnsi="Book Antiqua" w:cs="Arial"/>
          <w:sz w:val="24"/>
          <w:szCs w:val="24"/>
        </w:rPr>
        <w:t>fyzické osoby.</w:t>
      </w:r>
    </w:p>
    <w:p w:rsidR="00E74804" w:rsidRDefault="00813893" w:rsidP="00813893">
      <w:pPr>
        <w:pStyle w:val="Odsekzoznamu"/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Bytový podnik Harmanec – pohľadávky z nájomného – fyzické osoby</w:t>
      </w:r>
      <w:r w:rsidR="00E74804" w:rsidRPr="00011FD1">
        <w:rPr>
          <w:rFonts w:ascii="Book Antiqua" w:hAnsi="Book Antiqua" w:cs="Arial"/>
          <w:sz w:val="24"/>
          <w:szCs w:val="24"/>
        </w:rPr>
        <w:t xml:space="preserve">. </w:t>
      </w:r>
    </w:p>
    <w:p w:rsidR="00357F71" w:rsidRDefault="00E74804" w:rsidP="00E74804">
      <w:pPr>
        <w:pStyle w:val="Odsekzoznamu"/>
        <w:numPr>
          <w:ilvl w:val="0"/>
          <w:numId w:val="4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t>Konsolidova</w:t>
      </w:r>
      <w:r w:rsidR="00357F71">
        <w:rPr>
          <w:rFonts w:ascii="Book Antiqua" w:hAnsi="Book Antiqua" w:cs="Arial"/>
          <w:sz w:val="24"/>
          <w:szCs w:val="24"/>
        </w:rPr>
        <w:t>ný celok vykazuje dlhodobé</w:t>
      </w:r>
      <w:r w:rsidRPr="00011FD1">
        <w:rPr>
          <w:rFonts w:ascii="Book Antiqua" w:hAnsi="Book Antiqua" w:cs="Arial"/>
          <w:sz w:val="24"/>
          <w:szCs w:val="24"/>
        </w:rPr>
        <w:t xml:space="preserve"> záväzky vo výške</w:t>
      </w:r>
      <w:r w:rsidR="00813893">
        <w:rPr>
          <w:rFonts w:ascii="Book Antiqua" w:hAnsi="Book Antiqua" w:cs="Arial"/>
          <w:sz w:val="24"/>
          <w:szCs w:val="24"/>
        </w:rPr>
        <w:t xml:space="preserve">  </w:t>
      </w:r>
      <w:r w:rsidR="00C671B7">
        <w:rPr>
          <w:rFonts w:ascii="Book Antiqua" w:hAnsi="Book Antiqua" w:cs="Arial"/>
          <w:sz w:val="24"/>
          <w:szCs w:val="24"/>
        </w:rPr>
        <w:t>2 727,24</w:t>
      </w:r>
      <w:r w:rsidR="00757B47">
        <w:rPr>
          <w:rFonts w:ascii="Book Antiqua" w:hAnsi="Book Antiqua" w:cs="Arial"/>
          <w:sz w:val="24"/>
          <w:szCs w:val="24"/>
        </w:rPr>
        <w:t xml:space="preserve"> </w:t>
      </w:r>
      <w:r w:rsidR="00813893">
        <w:rPr>
          <w:rFonts w:ascii="Book Antiqua" w:hAnsi="Book Antiqua" w:cs="Arial"/>
          <w:sz w:val="24"/>
          <w:szCs w:val="24"/>
        </w:rPr>
        <w:t>EUR</w:t>
      </w:r>
      <w:r w:rsidRPr="00011FD1">
        <w:rPr>
          <w:rFonts w:ascii="Book Antiqua" w:hAnsi="Book Antiqua" w:cs="Arial"/>
          <w:sz w:val="24"/>
          <w:szCs w:val="24"/>
        </w:rPr>
        <w:t xml:space="preserve"> , ktoré sa týkajú týchto druhov ekonomických transakcií: </w:t>
      </w:r>
      <w:r w:rsidR="00C671B7">
        <w:rPr>
          <w:rFonts w:ascii="Book Antiqua" w:hAnsi="Book Antiqua" w:cs="Arial"/>
          <w:sz w:val="24"/>
          <w:szCs w:val="24"/>
        </w:rPr>
        <w:t xml:space="preserve">záväzky zo sociálneho fondu. </w:t>
      </w:r>
    </w:p>
    <w:p w:rsidR="00C671B7" w:rsidRPr="00E2133B" w:rsidRDefault="00357F71" w:rsidP="00E2133B">
      <w:pPr>
        <w:pStyle w:val="Odsekzoznamu"/>
        <w:numPr>
          <w:ilvl w:val="0"/>
          <w:numId w:val="4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E2133B">
        <w:rPr>
          <w:rFonts w:ascii="Book Antiqua" w:hAnsi="Book Antiqua" w:cs="Arial"/>
          <w:sz w:val="24"/>
          <w:szCs w:val="24"/>
        </w:rPr>
        <w:t xml:space="preserve">Konsolidovaný celok vykazuje krátkodobé záväzky vo výške </w:t>
      </w:r>
      <w:r w:rsidR="00D55427" w:rsidRPr="00E2133B">
        <w:rPr>
          <w:rFonts w:ascii="Book Antiqua" w:hAnsi="Book Antiqua" w:cs="Arial"/>
          <w:sz w:val="24"/>
          <w:szCs w:val="24"/>
        </w:rPr>
        <w:t xml:space="preserve"> </w:t>
      </w:r>
      <w:r w:rsidR="00C671B7" w:rsidRPr="00E2133B">
        <w:rPr>
          <w:rFonts w:ascii="Book Antiqua" w:hAnsi="Book Antiqua" w:cs="Arial"/>
          <w:sz w:val="24"/>
          <w:szCs w:val="24"/>
        </w:rPr>
        <w:t>2 877 248,28</w:t>
      </w:r>
      <w:r w:rsidRPr="00E2133B">
        <w:rPr>
          <w:rFonts w:ascii="Book Antiqua" w:hAnsi="Book Antiqua" w:cs="Arial"/>
          <w:sz w:val="24"/>
          <w:szCs w:val="24"/>
        </w:rPr>
        <w:t xml:space="preserve">  EUR , </w:t>
      </w:r>
      <w:r w:rsidR="00C671B7" w:rsidRPr="00E2133B">
        <w:rPr>
          <w:rFonts w:ascii="Book Antiqua" w:hAnsi="Book Antiqua" w:cs="Arial"/>
          <w:sz w:val="24"/>
          <w:szCs w:val="24"/>
        </w:rPr>
        <w:t xml:space="preserve">   </w:t>
      </w:r>
    </w:p>
    <w:p w:rsidR="00C671B7" w:rsidRDefault="00C671B7" w:rsidP="00C671B7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            </w:t>
      </w:r>
      <w:r w:rsidR="00357F71" w:rsidRPr="00357F71">
        <w:rPr>
          <w:rFonts w:ascii="Book Antiqua" w:hAnsi="Book Antiqua" w:cs="Arial"/>
          <w:sz w:val="24"/>
          <w:szCs w:val="24"/>
        </w:rPr>
        <w:t xml:space="preserve">ktoré sa týkajú týchto druhov ekonomických transakcií: dodávateľské faktúry, </w:t>
      </w:r>
      <w:r>
        <w:rPr>
          <w:rFonts w:ascii="Book Antiqua" w:hAnsi="Book Antiqua" w:cs="Arial"/>
          <w:sz w:val="24"/>
          <w:szCs w:val="24"/>
        </w:rPr>
        <w:t xml:space="preserve"> </w:t>
      </w:r>
    </w:p>
    <w:p w:rsidR="00C671B7" w:rsidRDefault="00C671B7" w:rsidP="00C671B7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            </w:t>
      </w:r>
      <w:r w:rsidR="00357F71" w:rsidRPr="00357F71">
        <w:rPr>
          <w:rFonts w:ascii="Book Antiqua" w:hAnsi="Book Antiqua" w:cs="Arial"/>
          <w:sz w:val="24"/>
          <w:szCs w:val="24"/>
        </w:rPr>
        <w:t>mzdy zam</w:t>
      </w:r>
      <w:r w:rsidR="00A51244">
        <w:rPr>
          <w:rFonts w:ascii="Book Antiqua" w:hAnsi="Book Antiqua" w:cs="Arial"/>
          <w:sz w:val="24"/>
          <w:szCs w:val="24"/>
        </w:rPr>
        <w:t xml:space="preserve">estnancov a odvody do poisťovní, </w:t>
      </w:r>
      <w:r>
        <w:rPr>
          <w:rFonts w:ascii="Book Antiqua" w:hAnsi="Book Antiqua" w:cs="Arial"/>
          <w:sz w:val="24"/>
          <w:szCs w:val="24"/>
        </w:rPr>
        <w:t xml:space="preserve">fondy opráv a </w:t>
      </w:r>
      <w:r w:rsidR="00A51244">
        <w:rPr>
          <w:rFonts w:ascii="Book Antiqua" w:hAnsi="Book Antiqua" w:cs="Arial"/>
          <w:sz w:val="24"/>
          <w:szCs w:val="24"/>
        </w:rPr>
        <w:t xml:space="preserve">úvery nájomníkov </w:t>
      </w:r>
    </w:p>
    <w:p w:rsidR="00A25F64" w:rsidRDefault="00C671B7" w:rsidP="00C671B7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            b</w:t>
      </w:r>
      <w:r w:rsidR="00A51244">
        <w:rPr>
          <w:rFonts w:ascii="Book Antiqua" w:hAnsi="Book Antiqua" w:cs="Arial"/>
          <w:sz w:val="24"/>
          <w:szCs w:val="24"/>
        </w:rPr>
        <w:t xml:space="preserve">ytových domov v správe Bytového podniku. </w:t>
      </w:r>
      <w:r w:rsidR="00357F71" w:rsidRPr="00357F71">
        <w:rPr>
          <w:rFonts w:ascii="Book Antiqua" w:hAnsi="Book Antiqua" w:cs="Arial"/>
          <w:sz w:val="24"/>
          <w:szCs w:val="24"/>
        </w:rPr>
        <w:t xml:space="preserve"> </w:t>
      </w:r>
      <w:r w:rsidR="00A25F64">
        <w:rPr>
          <w:rFonts w:ascii="Book Antiqua" w:hAnsi="Book Antiqua" w:cs="Arial"/>
          <w:sz w:val="24"/>
          <w:szCs w:val="24"/>
        </w:rPr>
        <w:t xml:space="preserve">Najväčší podiel na vykázaných   </w:t>
      </w:r>
    </w:p>
    <w:p w:rsidR="00A25F64" w:rsidRDefault="00A25F64" w:rsidP="00C671B7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            krátkodobých z</w:t>
      </w:r>
      <w:r w:rsidR="00C671B7">
        <w:rPr>
          <w:rFonts w:ascii="Book Antiqua" w:hAnsi="Book Antiqua" w:cs="Arial"/>
          <w:sz w:val="24"/>
          <w:szCs w:val="24"/>
        </w:rPr>
        <w:t>áväzk</w:t>
      </w:r>
      <w:r>
        <w:rPr>
          <w:rFonts w:ascii="Book Antiqua" w:hAnsi="Book Antiqua" w:cs="Arial"/>
          <w:sz w:val="24"/>
          <w:szCs w:val="24"/>
        </w:rPr>
        <w:t>ov</w:t>
      </w:r>
      <w:r w:rsidR="00C671B7">
        <w:rPr>
          <w:rFonts w:ascii="Book Antiqua" w:hAnsi="Book Antiqua" w:cs="Arial"/>
          <w:sz w:val="24"/>
          <w:szCs w:val="24"/>
        </w:rPr>
        <w:t xml:space="preserve"> </w:t>
      </w:r>
      <w:r>
        <w:rPr>
          <w:rFonts w:ascii="Book Antiqua" w:hAnsi="Book Antiqua" w:cs="Arial"/>
          <w:sz w:val="24"/>
          <w:szCs w:val="24"/>
        </w:rPr>
        <w:t xml:space="preserve">má </w:t>
      </w:r>
      <w:r w:rsidR="00C671B7">
        <w:rPr>
          <w:rFonts w:ascii="Book Antiqua" w:hAnsi="Book Antiqua" w:cs="Arial"/>
          <w:sz w:val="24"/>
          <w:szCs w:val="24"/>
        </w:rPr>
        <w:t>Obec</w:t>
      </w:r>
      <w:r w:rsidR="009959C9">
        <w:rPr>
          <w:rFonts w:ascii="Book Antiqua" w:hAnsi="Book Antiqua" w:cs="Arial"/>
          <w:sz w:val="24"/>
          <w:szCs w:val="24"/>
        </w:rPr>
        <w:t xml:space="preserve"> vo výške 2 607 902,44 EUR, týka</w:t>
      </w:r>
      <w:r>
        <w:rPr>
          <w:rFonts w:ascii="Book Antiqua" w:hAnsi="Book Antiqua" w:cs="Arial"/>
          <w:sz w:val="24"/>
          <w:szCs w:val="24"/>
        </w:rPr>
        <w:t xml:space="preserve">jú sa nájomného  </w:t>
      </w:r>
    </w:p>
    <w:p w:rsidR="00A25F64" w:rsidRDefault="00A25F64" w:rsidP="00C671B7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            bytového d</w:t>
      </w:r>
      <w:r w:rsidR="009959C9">
        <w:rPr>
          <w:rFonts w:ascii="Book Antiqua" w:hAnsi="Book Antiqua" w:cs="Arial"/>
          <w:sz w:val="24"/>
          <w:szCs w:val="24"/>
        </w:rPr>
        <w:t>omu súp.č.49,  ktorý obec spravuje, a plánuje obstarať od investorov</w:t>
      </w:r>
      <w:r>
        <w:rPr>
          <w:rFonts w:ascii="Book Antiqua" w:hAnsi="Book Antiqua" w:cs="Arial"/>
          <w:sz w:val="24"/>
          <w:szCs w:val="24"/>
        </w:rPr>
        <w:t xml:space="preserve"> </w:t>
      </w:r>
      <w:r w:rsidR="009959C9">
        <w:rPr>
          <w:rFonts w:ascii="Book Antiqua" w:hAnsi="Book Antiqua" w:cs="Arial"/>
          <w:sz w:val="24"/>
          <w:szCs w:val="24"/>
        </w:rPr>
        <w:t xml:space="preserve"> </w:t>
      </w:r>
      <w:r>
        <w:rPr>
          <w:rFonts w:ascii="Book Antiqua" w:hAnsi="Book Antiqua" w:cs="Arial"/>
          <w:sz w:val="24"/>
          <w:szCs w:val="24"/>
        </w:rPr>
        <w:t xml:space="preserve">       </w:t>
      </w:r>
    </w:p>
    <w:p w:rsidR="00357F71" w:rsidRPr="00357F71" w:rsidRDefault="00E86CE2" w:rsidP="00C671B7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           </w:t>
      </w:r>
      <w:r w:rsidR="00A25F64">
        <w:rPr>
          <w:rFonts w:ascii="Book Antiqua" w:hAnsi="Book Antiqua" w:cs="Arial"/>
          <w:sz w:val="24"/>
          <w:szCs w:val="24"/>
        </w:rPr>
        <w:t>s</w:t>
      </w:r>
      <w:r w:rsidR="009959C9">
        <w:rPr>
          <w:rFonts w:ascii="Book Antiqua" w:hAnsi="Book Antiqua" w:cs="Arial"/>
          <w:sz w:val="24"/>
          <w:szCs w:val="24"/>
        </w:rPr>
        <w:t xml:space="preserve">pôsobom  čerpania úveru zo ŠFRB.   </w:t>
      </w:r>
    </w:p>
    <w:p w:rsidR="00E86CE2" w:rsidRDefault="009959C9" w:rsidP="009959C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          </w:t>
      </w:r>
      <w:r w:rsidR="00E86CE2">
        <w:rPr>
          <w:rFonts w:ascii="Book Antiqua" w:hAnsi="Book Antiqua" w:cs="Arial"/>
          <w:sz w:val="24"/>
          <w:szCs w:val="24"/>
        </w:rPr>
        <w:t xml:space="preserve">Konsolidovaný celok </w:t>
      </w:r>
      <w:r w:rsidR="00E74804" w:rsidRPr="009959C9">
        <w:rPr>
          <w:rFonts w:ascii="Book Antiqua" w:hAnsi="Book Antiqua" w:cs="Arial"/>
          <w:sz w:val="24"/>
          <w:szCs w:val="24"/>
        </w:rPr>
        <w:t>vykazuje záväzky po lehote splatnosti</w:t>
      </w:r>
      <w:r w:rsidR="00E86CE2">
        <w:rPr>
          <w:rFonts w:ascii="Book Antiqua" w:hAnsi="Book Antiqua" w:cs="Arial"/>
          <w:sz w:val="24"/>
          <w:szCs w:val="24"/>
        </w:rPr>
        <w:t xml:space="preserve"> vo výške 208 038,55 </w:t>
      </w:r>
    </w:p>
    <w:p w:rsidR="00D62489" w:rsidRDefault="00E86CE2" w:rsidP="009959C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          EUR, ktoré vykazuje Bytový podnik</w:t>
      </w:r>
      <w:r w:rsidR="00D62489">
        <w:rPr>
          <w:rFonts w:ascii="Book Antiqua" w:hAnsi="Book Antiqua" w:cs="Arial"/>
          <w:sz w:val="24"/>
          <w:szCs w:val="24"/>
        </w:rPr>
        <w:t xml:space="preserve">: záväzok voči  dodávateľom a prijaté  </w:t>
      </w:r>
    </w:p>
    <w:p w:rsidR="00A703CF" w:rsidRPr="009959C9" w:rsidRDefault="00D62489" w:rsidP="009959C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          preddavky.</w:t>
      </w:r>
      <w:r w:rsidR="00E86CE2">
        <w:rPr>
          <w:rFonts w:ascii="Book Antiqua" w:hAnsi="Book Antiqua" w:cs="Arial"/>
          <w:sz w:val="24"/>
          <w:szCs w:val="24"/>
        </w:rPr>
        <w:t xml:space="preserve"> </w:t>
      </w:r>
      <w:r w:rsidR="00E74804" w:rsidRPr="009959C9">
        <w:rPr>
          <w:rFonts w:ascii="Book Antiqua" w:hAnsi="Book Antiqua" w:cs="Arial"/>
          <w:sz w:val="24"/>
          <w:szCs w:val="24"/>
        </w:rPr>
        <w:t xml:space="preserve"> </w:t>
      </w:r>
      <w:r w:rsidR="00A703CF" w:rsidRPr="009959C9">
        <w:rPr>
          <w:rFonts w:ascii="Book Antiqua" w:hAnsi="Book Antiqua" w:cs="Arial"/>
          <w:sz w:val="24"/>
          <w:szCs w:val="24"/>
        </w:rPr>
        <w:t xml:space="preserve"> </w:t>
      </w:r>
    </w:p>
    <w:p w:rsidR="00D3330F" w:rsidRPr="00402A07" w:rsidRDefault="00D3330F" w:rsidP="00DA7B5E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 xml:space="preserve">   </w:t>
      </w:r>
    </w:p>
    <w:p w:rsidR="00A4312C" w:rsidRDefault="00B03240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Tabuľková časť tvorí samostatnú časť konsolidovaných poznámok</w:t>
      </w:r>
      <w:r w:rsidR="00167FE7">
        <w:rPr>
          <w:rFonts w:ascii="Book Antiqua" w:hAnsi="Book Antiqua" w:cs="Arial"/>
          <w:b/>
          <w:sz w:val="24"/>
          <w:szCs w:val="24"/>
        </w:rPr>
        <w:t>.</w:t>
      </w:r>
    </w:p>
    <w:p w:rsidR="00E74804" w:rsidRDefault="00E74804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</w:p>
    <w:p w:rsidR="00E74804" w:rsidRPr="001251AA" w:rsidRDefault="00E74804" w:rsidP="00B03240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1251AA">
        <w:rPr>
          <w:rFonts w:ascii="Book Antiqua" w:hAnsi="Book Antiqua" w:cs="Arial"/>
          <w:sz w:val="24"/>
          <w:szCs w:val="24"/>
        </w:rPr>
        <w:t>V Harmanci d</w:t>
      </w:r>
      <w:r w:rsidR="00C671B7">
        <w:rPr>
          <w:rFonts w:ascii="Book Antiqua" w:hAnsi="Book Antiqua" w:cs="Arial"/>
          <w:sz w:val="24"/>
          <w:szCs w:val="24"/>
        </w:rPr>
        <w:t>ňa 20</w:t>
      </w:r>
      <w:r w:rsidRPr="001251AA">
        <w:rPr>
          <w:rFonts w:ascii="Book Antiqua" w:hAnsi="Book Antiqua" w:cs="Arial"/>
          <w:sz w:val="24"/>
          <w:szCs w:val="24"/>
        </w:rPr>
        <w:t xml:space="preserve">. </w:t>
      </w:r>
      <w:r w:rsidR="00DD63DA">
        <w:rPr>
          <w:rFonts w:ascii="Book Antiqua" w:hAnsi="Book Antiqua" w:cs="Arial"/>
          <w:sz w:val="24"/>
          <w:szCs w:val="24"/>
        </w:rPr>
        <w:t>6</w:t>
      </w:r>
      <w:r w:rsidRPr="001251AA">
        <w:rPr>
          <w:rFonts w:ascii="Book Antiqua" w:hAnsi="Book Antiqua" w:cs="Arial"/>
          <w:sz w:val="24"/>
          <w:szCs w:val="24"/>
        </w:rPr>
        <w:t>. 20</w:t>
      </w:r>
      <w:r w:rsidR="00DD63DA">
        <w:rPr>
          <w:rFonts w:ascii="Book Antiqua" w:hAnsi="Book Antiqua" w:cs="Arial"/>
          <w:sz w:val="24"/>
          <w:szCs w:val="24"/>
        </w:rPr>
        <w:t>2</w:t>
      </w:r>
      <w:r w:rsidR="00C671B7">
        <w:rPr>
          <w:rFonts w:ascii="Book Antiqua" w:hAnsi="Book Antiqua" w:cs="Arial"/>
          <w:sz w:val="24"/>
          <w:szCs w:val="24"/>
        </w:rPr>
        <w:t>2</w:t>
      </w:r>
    </w:p>
    <w:p w:rsidR="001251AA" w:rsidRDefault="001251AA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</w:p>
    <w:sectPr w:rsidR="001251AA" w:rsidSect="005E267B">
      <w:footerReference w:type="default" r:id="rId7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60A11" w:rsidRDefault="00D60A11">
      <w:r>
        <w:separator/>
      </w:r>
    </w:p>
  </w:endnote>
  <w:endnote w:type="continuationSeparator" w:id="0">
    <w:p w:rsidR="00D60A11" w:rsidRDefault="00D60A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4E04" w:rsidRDefault="00A063C6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C5C31">
      <w:rPr>
        <w:rStyle w:val="slostrany"/>
        <w:noProof/>
      </w:rPr>
      <w:t>2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60A11" w:rsidRDefault="00D60A11">
      <w:r>
        <w:separator/>
      </w:r>
    </w:p>
  </w:footnote>
  <w:footnote w:type="continuationSeparator" w:id="0">
    <w:p w:rsidR="00D60A11" w:rsidRDefault="00D60A1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62E5C31"/>
    <w:multiLevelType w:val="hybridMultilevel"/>
    <w:tmpl w:val="94DC3586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7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7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73F0ABB"/>
    <w:multiLevelType w:val="hybridMultilevel"/>
    <w:tmpl w:val="C15808CC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3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6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0"/>
  </w:num>
  <w:num w:numId="2">
    <w:abstractNumId w:val="36"/>
  </w:num>
  <w:num w:numId="3">
    <w:abstractNumId w:val="38"/>
  </w:num>
  <w:num w:numId="4">
    <w:abstractNumId w:val="10"/>
  </w:num>
  <w:num w:numId="5">
    <w:abstractNumId w:val="39"/>
  </w:num>
  <w:num w:numId="6">
    <w:abstractNumId w:val="41"/>
  </w:num>
  <w:num w:numId="7">
    <w:abstractNumId w:val="29"/>
  </w:num>
  <w:num w:numId="8">
    <w:abstractNumId w:val="35"/>
  </w:num>
  <w:num w:numId="9">
    <w:abstractNumId w:val="17"/>
  </w:num>
  <w:num w:numId="10">
    <w:abstractNumId w:val="30"/>
  </w:num>
  <w:num w:numId="11">
    <w:abstractNumId w:val="7"/>
  </w:num>
  <w:num w:numId="12">
    <w:abstractNumId w:val="27"/>
  </w:num>
  <w:num w:numId="13">
    <w:abstractNumId w:val="43"/>
  </w:num>
  <w:num w:numId="14">
    <w:abstractNumId w:val="22"/>
  </w:num>
  <w:num w:numId="15">
    <w:abstractNumId w:val="23"/>
  </w:num>
  <w:num w:numId="16">
    <w:abstractNumId w:val="15"/>
  </w:num>
  <w:num w:numId="17">
    <w:abstractNumId w:val="37"/>
  </w:num>
  <w:num w:numId="18">
    <w:abstractNumId w:val="8"/>
  </w:num>
  <w:num w:numId="19">
    <w:abstractNumId w:val="5"/>
  </w:num>
  <w:num w:numId="20">
    <w:abstractNumId w:val="16"/>
  </w:num>
  <w:num w:numId="21">
    <w:abstractNumId w:val="4"/>
  </w:num>
  <w:num w:numId="22">
    <w:abstractNumId w:val="6"/>
  </w:num>
  <w:num w:numId="23">
    <w:abstractNumId w:val="31"/>
  </w:num>
  <w:num w:numId="24">
    <w:abstractNumId w:val="33"/>
  </w:num>
  <w:num w:numId="25">
    <w:abstractNumId w:val="24"/>
  </w:num>
  <w:num w:numId="26">
    <w:abstractNumId w:val="13"/>
  </w:num>
  <w:num w:numId="27">
    <w:abstractNumId w:val="21"/>
  </w:num>
  <w:num w:numId="28">
    <w:abstractNumId w:val="19"/>
  </w:num>
  <w:num w:numId="29">
    <w:abstractNumId w:val="34"/>
  </w:num>
  <w:num w:numId="30">
    <w:abstractNumId w:val="20"/>
  </w:num>
  <w:num w:numId="31">
    <w:abstractNumId w:val="0"/>
  </w:num>
  <w:num w:numId="32">
    <w:abstractNumId w:val="45"/>
  </w:num>
  <w:num w:numId="33">
    <w:abstractNumId w:val="18"/>
  </w:num>
  <w:num w:numId="34">
    <w:abstractNumId w:val="25"/>
  </w:num>
  <w:num w:numId="35">
    <w:abstractNumId w:val="26"/>
  </w:num>
  <w:num w:numId="36">
    <w:abstractNumId w:val="42"/>
  </w:num>
  <w:num w:numId="37">
    <w:abstractNumId w:val="2"/>
  </w:num>
  <w:num w:numId="38">
    <w:abstractNumId w:val="12"/>
  </w:num>
  <w:num w:numId="39">
    <w:abstractNumId w:val="3"/>
  </w:num>
  <w:num w:numId="40">
    <w:abstractNumId w:val="46"/>
  </w:num>
  <w:num w:numId="41">
    <w:abstractNumId w:val="11"/>
  </w:num>
  <w:num w:numId="42">
    <w:abstractNumId w:val="44"/>
  </w:num>
  <w:num w:numId="43">
    <w:abstractNumId w:val="9"/>
  </w:num>
  <w:num w:numId="44">
    <w:abstractNumId w:val="1"/>
  </w:num>
  <w:num w:numId="45">
    <w:abstractNumId w:val="32"/>
  </w:num>
  <w:num w:numId="46">
    <w:abstractNumId w:val="28"/>
  </w:num>
  <w:num w:numId="4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1FD1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2060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1AA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27B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1F5191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AA1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57F71"/>
    <w:rsid w:val="003653B5"/>
    <w:rsid w:val="00366930"/>
    <w:rsid w:val="00372681"/>
    <w:rsid w:val="00376BFB"/>
    <w:rsid w:val="003779F0"/>
    <w:rsid w:val="00381316"/>
    <w:rsid w:val="00385410"/>
    <w:rsid w:val="00386606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5C00"/>
    <w:rsid w:val="003B7E6B"/>
    <w:rsid w:val="003B7EE6"/>
    <w:rsid w:val="003C087E"/>
    <w:rsid w:val="003C3326"/>
    <w:rsid w:val="003C3BC2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00AB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96EF8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9D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5C2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0FF2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B18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45F01"/>
    <w:rsid w:val="00754364"/>
    <w:rsid w:val="0075460E"/>
    <w:rsid w:val="00757B47"/>
    <w:rsid w:val="007600DC"/>
    <w:rsid w:val="0076024E"/>
    <w:rsid w:val="00760897"/>
    <w:rsid w:val="00761610"/>
    <w:rsid w:val="0076235B"/>
    <w:rsid w:val="007649B5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87EF2"/>
    <w:rsid w:val="00793198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090C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3893"/>
    <w:rsid w:val="00816472"/>
    <w:rsid w:val="008174B1"/>
    <w:rsid w:val="008207DB"/>
    <w:rsid w:val="00820A65"/>
    <w:rsid w:val="00823407"/>
    <w:rsid w:val="00824036"/>
    <w:rsid w:val="00825BD8"/>
    <w:rsid w:val="00826E49"/>
    <w:rsid w:val="00840EEE"/>
    <w:rsid w:val="00845C4E"/>
    <w:rsid w:val="0084746C"/>
    <w:rsid w:val="00847F16"/>
    <w:rsid w:val="008505A5"/>
    <w:rsid w:val="008511CD"/>
    <w:rsid w:val="00851842"/>
    <w:rsid w:val="00852FE5"/>
    <w:rsid w:val="00853AAE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5C31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8F6C76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37D3"/>
    <w:rsid w:val="009257D9"/>
    <w:rsid w:val="00925ACD"/>
    <w:rsid w:val="00925B86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07B0"/>
    <w:rsid w:val="00952533"/>
    <w:rsid w:val="00952F47"/>
    <w:rsid w:val="00953156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E6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59C9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4960"/>
    <w:rsid w:val="009D58CC"/>
    <w:rsid w:val="009D68B1"/>
    <w:rsid w:val="009E32B8"/>
    <w:rsid w:val="009E3B89"/>
    <w:rsid w:val="009E4113"/>
    <w:rsid w:val="009E4E38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3C6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5F64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398"/>
    <w:rsid w:val="00A41D74"/>
    <w:rsid w:val="00A4312C"/>
    <w:rsid w:val="00A44D6E"/>
    <w:rsid w:val="00A45FC3"/>
    <w:rsid w:val="00A4679A"/>
    <w:rsid w:val="00A47DF1"/>
    <w:rsid w:val="00A5028D"/>
    <w:rsid w:val="00A51244"/>
    <w:rsid w:val="00A51AB0"/>
    <w:rsid w:val="00A53252"/>
    <w:rsid w:val="00A57783"/>
    <w:rsid w:val="00A60F53"/>
    <w:rsid w:val="00A614DA"/>
    <w:rsid w:val="00A61CEE"/>
    <w:rsid w:val="00A6418B"/>
    <w:rsid w:val="00A703CF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1D99"/>
    <w:rsid w:val="00AF2461"/>
    <w:rsid w:val="00AF5E6D"/>
    <w:rsid w:val="00AF6A01"/>
    <w:rsid w:val="00AF6E15"/>
    <w:rsid w:val="00AF7AB3"/>
    <w:rsid w:val="00B01E4E"/>
    <w:rsid w:val="00B031CD"/>
    <w:rsid w:val="00B03240"/>
    <w:rsid w:val="00B077B5"/>
    <w:rsid w:val="00B117F1"/>
    <w:rsid w:val="00B120E5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0D47"/>
    <w:rsid w:val="00B81325"/>
    <w:rsid w:val="00B816C0"/>
    <w:rsid w:val="00B831FA"/>
    <w:rsid w:val="00B834B8"/>
    <w:rsid w:val="00B837AA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B37BA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6796"/>
    <w:rsid w:val="00BF71F6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0AFF"/>
    <w:rsid w:val="00C54459"/>
    <w:rsid w:val="00C5685E"/>
    <w:rsid w:val="00C56A41"/>
    <w:rsid w:val="00C609FB"/>
    <w:rsid w:val="00C60E48"/>
    <w:rsid w:val="00C64080"/>
    <w:rsid w:val="00C654F4"/>
    <w:rsid w:val="00C66EF2"/>
    <w:rsid w:val="00C671B7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B7E09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2B89"/>
    <w:rsid w:val="00D23EEF"/>
    <w:rsid w:val="00D2696B"/>
    <w:rsid w:val="00D26E5F"/>
    <w:rsid w:val="00D30459"/>
    <w:rsid w:val="00D30832"/>
    <w:rsid w:val="00D320EF"/>
    <w:rsid w:val="00D32BF0"/>
    <w:rsid w:val="00D3330F"/>
    <w:rsid w:val="00D36825"/>
    <w:rsid w:val="00D42180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5427"/>
    <w:rsid w:val="00D57F88"/>
    <w:rsid w:val="00D60465"/>
    <w:rsid w:val="00D60A11"/>
    <w:rsid w:val="00D62489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A7B5E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3DA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33B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292C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4804"/>
    <w:rsid w:val="00E75908"/>
    <w:rsid w:val="00E763EC"/>
    <w:rsid w:val="00E82787"/>
    <w:rsid w:val="00E84016"/>
    <w:rsid w:val="00E85C5F"/>
    <w:rsid w:val="00E86CE2"/>
    <w:rsid w:val="00E919FC"/>
    <w:rsid w:val="00E91F16"/>
    <w:rsid w:val="00E94F6D"/>
    <w:rsid w:val="00E9707C"/>
    <w:rsid w:val="00E979C8"/>
    <w:rsid w:val="00E97EC3"/>
    <w:rsid w:val="00EA190B"/>
    <w:rsid w:val="00EA352E"/>
    <w:rsid w:val="00EA446F"/>
    <w:rsid w:val="00EA51A5"/>
    <w:rsid w:val="00EA52C1"/>
    <w:rsid w:val="00EA7ED8"/>
    <w:rsid w:val="00EB057D"/>
    <w:rsid w:val="00EB09C7"/>
    <w:rsid w:val="00EB1E06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3CD1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3EFE"/>
    <w:rsid w:val="00F95601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8628DF4B-62B6-49DD-BF2F-7178658FCA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D333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320</TotalTime>
  <Pages>6</Pages>
  <Words>1368</Words>
  <Characters>7801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9151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CHLADNÁ Alena</cp:lastModifiedBy>
  <cp:revision>31</cp:revision>
  <cp:lastPrinted>2013-05-31T09:48:00Z</cp:lastPrinted>
  <dcterms:created xsi:type="dcterms:W3CDTF">2016-06-02T07:55:00Z</dcterms:created>
  <dcterms:modified xsi:type="dcterms:W3CDTF">2022-06-20T10:21:00Z</dcterms:modified>
</cp:coreProperties>
</file>