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183C78" w14:textId="77777777" w:rsidR="005346A6" w:rsidRDefault="005346A6">
      <w:pPr>
        <w:spacing w:line="1" w:lineRule="exact"/>
      </w:pPr>
    </w:p>
    <w:p w14:paraId="7ED49BBC" w14:textId="3DEE3623" w:rsidR="005346A6" w:rsidRPr="006D3D53" w:rsidRDefault="005F056C">
      <w:pPr>
        <w:pStyle w:val="Zkladntext1"/>
        <w:framePr w:w="10272" w:h="2395" w:hRule="exact" w:wrap="none" w:vAnchor="page" w:hAnchor="page" w:x="1026" w:y="608"/>
        <w:shd w:val="clear" w:color="auto" w:fill="auto"/>
        <w:spacing w:line="240" w:lineRule="auto"/>
        <w:jc w:val="center"/>
        <w:rPr>
          <w:sz w:val="22"/>
          <w:szCs w:val="22"/>
        </w:rPr>
      </w:pPr>
      <w:r w:rsidRPr="006D3D53">
        <w:rPr>
          <w:b/>
          <w:bCs/>
          <w:sz w:val="22"/>
          <w:szCs w:val="22"/>
        </w:rPr>
        <w:t>Poznámky k 31.12.20</w:t>
      </w:r>
      <w:r w:rsidR="00FC29B6" w:rsidRPr="006D3D53">
        <w:rPr>
          <w:b/>
          <w:bCs/>
          <w:sz w:val="22"/>
          <w:szCs w:val="22"/>
        </w:rPr>
        <w:t>2</w:t>
      </w:r>
      <w:r w:rsidR="00342E5C" w:rsidRPr="006D3D53">
        <w:rPr>
          <w:b/>
          <w:bCs/>
          <w:sz w:val="22"/>
          <w:szCs w:val="22"/>
        </w:rPr>
        <w:t>1</w:t>
      </w:r>
    </w:p>
    <w:p w14:paraId="3D677AD3" w14:textId="77777777" w:rsidR="005346A6" w:rsidRPr="006D3D53" w:rsidRDefault="005F056C">
      <w:pPr>
        <w:pStyle w:val="Zkladntext1"/>
        <w:framePr w:w="10272" w:h="2395" w:hRule="exact" w:wrap="none" w:vAnchor="page" w:hAnchor="page" w:x="1026" w:y="608"/>
        <w:shd w:val="clear" w:color="auto" w:fill="auto"/>
        <w:spacing w:after="820" w:line="240" w:lineRule="auto"/>
        <w:jc w:val="center"/>
        <w:rPr>
          <w:sz w:val="22"/>
          <w:szCs w:val="22"/>
        </w:rPr>
      </w:pPr>
      <w:r w:rsidRPr="006D3D53">
        <w:rPr>
          <w:b/>
          <w:bCs/>
          <w:sz w:val="22"/>
          <w:szCs w:val="22"/>
        </w:rPr>
        <w:t>ako súčasť konsolidovanej účtovnej závierky</w:t>
      </w:r>
      <w:r w:rsidRPr="006D3D53">
        <w:rPr>
          <w:b/>
          <w:bCs/>
          <w:sz w:val="22"/>
          <w:szCs w:val="22"/>
        </w:rPr>
        <w:br/>
        <w:t>účtovnej jednotky verejnej správy</w:t>
      </w:r>
    </w:p>
    <w:p w14:paraId="45DFD07C" w14:textId="77777777" w:rsidR="005346A6" w:rsidRPr="006D3D53" w:rsidRDefault="005F056C">
      <w:pPr>
        <w:pStyle w:val="Zkladntext1"/>
        <w:framePr w:w="10272" w:h="2395" w:hRule="exact" w:wrap="none" w:vAnchor="page" w:hAnchor="page" w:x="1026" w:y="608"/>
        <w:shd w:val="clear" w:color="auto" w:fill="auto"/>
        <w:spacing w:after="120" w:line="240" w:lineRule="auto"/>
        <w:jc w:val="center"/>
        <w:rPr>
          <w:sz w:val="22"/>
          <w:szCs w:val="22"/>
        </w:rPr>
      </w:pPr>
      <w:r w:rsidRPr="006D3D53">
        <w:rPr>
          <w:b/>
          <w:bCs/>
          <w:sz w:val="22"/>
          <w:szCs w:val="22"/>
        </w:rPr>
        <w:t>Čl. I</w:t>
      </w:r>
    </w:p>
    <w:p w14:paraId="364E0B1A" w14:textId="77777777" w:rsidR="005346A6" w:rsidRPr="006D3D53" w:rsidRDefault="005F056C">
      <w:pPr>
        <w:pStyle w:val="Zkladntext1"/>
        <w:framePr w:w="10272" w:h="2395" w:hRule="exact" w:wrap="none" w:vAnchor="page" w:hAnchor="page" w:x="1026" w:y="608"/>
        <w:shd w:val="clear" w:color="auto" w:fill="auto"/>
        <w:spacing w:line="240" w:lineRule="auto"/>
        <w:jc w:val="center"/>
        <w:rPr>
          <w:sz w:val="22"/>
          <w:szCs w:val="22"/>
        </w:rPr>
      </w:pPr>
      <w:r w:rsidRPr="006D3D53">
        <w:rPr>
          <w:b/>
          <w:bCs/>
          <w:sz w:val="22"/>
          <w:szCs w:val="22"/>
        </w:rPr>
        <w:t>Všeobecné údaje</w:t>
      </w:r>
    </w:p>
    <w:p w14:paraId="6B0CA70E" w14:textId="77777777" w:rsidR="005346A6" w:rsidRPr="006D3D53" w:rsidRDefault="005F056C">
      <w:pPr>
        <w:pStyle w:val="Nzovtabuky0"/>
        <w:framePr w:wrap="none" w:vAnchor="page" w:hAnchor="page" w:x="1093" w:y="3368"/>
        <w:shd w:val="clear" w:color="auto" w:fill="auto"/>
        <w:rPr>
          <w:sz w:val="22"/>
          <w:szCs w:val="22"/>
        </w:rPr>
      </w:pPr>
      <w:r w:rsidRPr="006D3D53">
        <w:rPr>
          <w:sz w:val="22"/>
          <w:szCs w:val="22"/>
        </w:rPr>
        <w:t>Identifikačné údaje o konsolidujúcej účtovnej jednotke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6"/>
        <w:gridCol w:w="5486"/>
      </w:tblGrid>
      <w:tr w:rsidR="005346A6" w:rsidRPr="006D3D53" w14:paraId="25D7DC2C" w14:textId="77777777">
        <w:trPr>
          <w:trHeight w:hRule="exact" w:val="43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71B048" w14:textId="77777777" w:rsidR="005346A6" w:rsidRPr="006D3D53" w:rsidRDefault="005F056C">
            <w:pPr>
              <w:pStyle w:val="In0"/>
              <w:framePr w:w="10272" w:h="1704" w:wrap="none" w:vAnchor="page" w:hAnchor="page" w:x="1026" w:y="3939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sz w:val="22"/>
                <w:szCs w:val="22"/>
              </w:rPr>
              <w:t>Názov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849F16" w14:textId="77777777" w:rsidR="005346A6" w:rsidRPr="006D3D53" w:rsidRDefault="005F056C">
            <w:pPr>
              <w:pStyle w:val="In0"/>
              <w:framePr w:w="10272" w:h="1704" w:wrap="none" w:vAnchor="page" w:hAnchor="page" w:x="1026" w:y="3939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Obec Bernolákovo</w:t>
            </w:r>
          </w:p>
        </w:tc>
      </w:tr>
      <w:tr w:rsidR="005346A6" w:rsidRPr="006D3D53" w14:paraId="77793D7D" w14:textId="77777777">
        <w:trPr>
          <w:trHeight w:hRule="exact" w:val="42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263AE8" w14:textId="77777777" w:rsidR="005346A6" w:rsidRPr="006D3D53" w:rsidRDefault="005F056C">
            <w:pPr>
              <w:pStyle w:val="In0"/>
              <w:framePr w:w="10272" w:h="1704" w:wrap="none" w:vAnchor="page" w:hAnchor="page" w:x="1026" w:y="3939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sz w:val="22"/>
                <w:szCs w:val="22"/>
              </w:rPr>
              <w:t>Sídlo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AEB598" w14:textId="77777777" w:rsidR="005346A6" w:rsidRPr="006D3D53" w:rsidRDefault="005F056C">
            <w:pPr>
              <w:pStyle w:val="In0"/>
              <w:framePr w:w="10272" w:h="1704" w:wrap="none" w:vAnchor="page" w:hAnchor="page" w:x="1026" w:y="3939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Hlavná 111, 900 27 Bernolákovo</w:t>
            </w:r>
          </w:p>
        </w:tc>
      </w:tr>
      <w:tr w:rsidR="005346A6" w:rsidRPr="006D3D53" w14:paraId="3D11BAB0" w14:textId="77777777">
        <w:trPr>
          <w:trHeight w:hRule="exact" w:val="850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138EA3C" w14:textId="77777777" w:rsidR="005346A6" w:rsidRPr="006D3D53" w:rsidRDefault="005F056C">
            <w:pPr>
              <w:pStyle w:val="In0"/>
              <w:framePr w:w="10272" w:h="1704" w:wrap="none" w:vAnchor="page" w:hAnchor="page" w:x="1026" w:y="3939"/>
              <w:shd w:val="clear" w:color="auto" w:fill="auto"/>
              <w:rPr>
                <w:sz w:val="22"/>
                <w:szCs w:val="22"/>
              </w:rPr>
            </w:pPr>
            <w:r w:rsidRPr="006D3D53">
              <w:rPr>
                <w:sz w:val="22"/>
                <w:szCs w:val="22"/>
              </w:rPr>
              <w:t>Dátum založenia, vzniku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7EC327" w14:textId="77777777" w:rsidR="005346A6" w:rsidRPr="006D3D53" w:rsidRDefault="005F056C">
            <w:pPr>
              <w:pStyle w:val="In0"/>
              <w:framePr w:w="10272" w:h="1704" w:wrap="none" w:vAnchor="page" w:hAnchor="page" w:x="1026" w:y="3939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01.01.1991, podľa zákona č. 369/1990 Zb.</w:t>
            </w:r>
          </w:p>
        </w:tc>
      </w:tr>
    </w:tbl>
    <w:p w14:paraId="6C33B931" w14:textId="77777777" w:rsidR="005346A6" w:rsidRPr="006D3D53" w:rsidRDefault="005F056C">
      <w:pPr>
        <w:pStyle w:val="Zkladntext1"/>
        <w:framePr w:w="10272" w:h="600" w:hRule="exact" w:wrap="none" w:vAnchor="page" w:hAnchor="page" w:x="1026" w:y="6075"/>
        <w:shd w:val="clear" w:color="auto" w:fill="auto"/>
        <w:spacing w:line="240" w:lineRule="auto"/>
        <w:rPr>
          <w:sz w:val="22"/>
          <w:szCs w:val="22"/>
        </w:rPr>
      </w:pPr>
      <w:r w:rsidRPr="006D3D53">
        <w:rPr>
          <w:b/>
          <w:bCs/>
          <w:i/>
          <w:iCs/>
          <w:sz w:val="22"/>
          <w:szCs w:val="22"/>
        </w:rPr>
        <w:t>Identifikačné údaje o konsolidovaných účtovných jednotkách - rozpočtových organizáciách v zriaďovateľskej pôsobnosti konsolidujúcej účtovnej jednotky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6"/>
        <w:gridCol w:w="5486"/>
      </w:tblGrid>
      <w:tr w:rsidR="005346A6" w:rsidRPr="006D3D53" w14:paraId="0180BBF2" w14:textId="77777777">
        <w:trPr>
          <w:trHeight w:hRule="exact" w:val="427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54830A" w14:textId="77777777" w:rsidR="005346A6" w:rsidRPr="006D3D53" w:rsidRDefault="005F056C">
            <w:pPr>
              <w:pStyle w:val="In0"/>
              <w:framePr w:w="10272" w:h="2122" w:wrap="none" w:vAnchor="page" w:hAnchor="page" w:x="1026" w:y="692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sz w:val="22"/>
                <w:szCs w:val="22"/>
              </w:rPr>
              <w:t>Názov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33E263" w14:textId="77777777" w:rsidR="005346A6" w:rsidRPr="006D3D53" w:rsidRDefault="005F056C">
            <w:pPr>
              <w:pStyle w:val="In0"/>
              <w:framePr w:w="10272" w:h="2122" w:wrap="none" w:vAnchor="page" w:hAnchor="page" w:x="1026" w:y="692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Základná škola Bernolákovo</w:t>
            </w:r>
          </w:p>
        </w:tc>
      </w:tr>
      <w:tr w:rsidR="005346A6" w:rsidRPr="006D3D53" w14:paraId="15FE3294" w14:textId="77777777">
        <w:trPr>
          <w:trHeight w:hRule="exact" w:val="42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B6ED6F" w14:textId="77777777" w:rsidR="005346A6" w:rsidRPr="006D3D53" w:rsidRDefault="005F056C">
            <w:pPr>
              <w:pStyle w:val="In0"/>
              <w:framePr w:w="10272" w:h="2122" w:wrap="none" w:vAnchor="page" w:hAnchor="page" w:x="1026" w:y="692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sz w:val="22"/>
                <w:szCs w:val="22"/>
              </w:rPr>
              <w:t>Sídlo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BF8FD7" w14:textId="77777777" w:rsidR="005346A6" w:rsidRPr="006D3D53" w:rsidRDefault="005F056C">
            <w:pPr>
              <w:pStyle w:val="In0"/>
              <w:framePr w:w="10272" w:h="2122" w:wrap="none" w:vAnchor="page" w:hAnchor="page" w:x="1026" w:y="692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Komenského č. 3, 90027 Bernolákovo</w:t>
            </w:r>
          </w:p>
        </w:tc>
      </w:tr>
      <w:tr w:rsidR="005346A6" w:rsidRPr="006D3D53" w14:paraId="54940DFC" w14:textId="77777777">
        <w:trPr>
          <w:trHeight w:hRule="exact" w:val="840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E71AD3" w14:textId="77777777" w:rsidR="005346A6" w:rsidRPr="006D3D53" w:rsidRDefault="005F056C">
            <w:pPr>
              <w:pStyle w:val="In0"/>
              <w:framePr w:w="10272" w:h="2122" w:wrap="none" w:vAnchor="page" w:hAnchor="page" w:x="1026" w:y="6924"/>
              <w:shd w:val="clear" w:color="auto" w:fill="auto"/>
              <w:spacing w:after="120" w:line="240" w:lineRule="auto"/>
              <w:rPr>
                <w:sz w:val="22"/>
                <w:szCs w:val="22"/>
              </w:rPr>
            </w:pPr>
            <w:r w:rsidRPr="006D3D53">
              <w:rPr>
                <w:sz w:val="22"/>
                <w:szCs w:val="22"/>
              </w:rPr>
              <w:t>Dátum založenia konsolidovanej účtovnej</w:t>
            </w:r>
          </w:p>
          <w:p w14:paraId="63FD004B" w14:textId="77777777" w:rsidR="005346A6" w:rsidRPr="006D3D53" w:rsidRDefault="005F056C">
            <w:pPr>
              <w:pStyle w:val="In0"/>
              <w:framePr w:w="10272" w:h="2122" w:wrap="none" w:vAnchor="page" w:hAnchor="page" w:x="1026" w:y="692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sz w:val="22"/>
                <w:szCs w:val="22"/>
              </w:rPr>
              <w:t>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012FCF" w14:textId="77777777" w:rsidR="005346A6" w:rsidRPr="006D3D53" w:rsidRDefault="005F056C">
            <w:pPr>
              <w:pStyle w:val="In0"/>
              <w:framePr w:w="10272" w:h="2122" w:wrap="none" w:vAnchor="page" w:hAnchor="page" w:x="1026" w:y="692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01.07.2002</w:t>
            </w:r>
          </w:p>
        </w:tc>
      </w:tr>
      <w:tr w:rsidR="005346A6" w:rsidRPr="006D3D53" w14:paraId="5697A16D" w14:textId="77777777">
        <w:trPr>
          <w:trHeight w:hRule="exact" w:val="43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EE96B11" w14:textId="77777777" w:rsidR="005346A6" w:rsidRPr="006D3D53" w:rsidRDefault="005F056C">
            <w:pPr>
              <w:pStyle w:val="In0"/>
              <w:framePr w:w="10272" w:h="2122" w:wrap="none" w:vAnchor="page" w:hAnchor="page" w:x="1026" w:y="692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sz w:val="22"/>
                <w:szCs w:val="22"/>
              </w:rPr>
              <w:t>Podiel a vplyv na základnom imaní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BBD41F1" w14:textId="77777777" w:rsidR="005346A6" w:rsidRPr="006D3D53" w:rsidRDefault="005F056C">
            <w:pPr>
              <w:pStyle w:val="In0"/>
              <w:framePr w:w="10272" w:h="2122" w:wrap="none" w:vAnchor="page" w:hAnchor="page" w:x="1026" w:y="692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100%</w:t>
            </w:r>
          </w:p>
        </w:tc>
      </w:tr>
    </w:tbl>
    <w:p w14:paraId="1218BB93" w14:textId="77777777" w:rsidR="005346A6" w:rsidRPr="006D3D53" w:rsidRDefault="005F056C">
      <w:pPr>
        <w:pStyle w:val="Nzovtabuky0"/>
        <w:framePr w:wrap="none" w:vAnchor="page" w:hAnchor="page" w:x="1098" w:y="9488"/>
        <w:shd w:val="clear" w:color="auto" w:fill="auto"/>
        <w:rPr>
          <w:sz w:val="22"/>
          <w:szCs w:val="22"/>
        </w:rPr>
      </w:pPr>
      <w:r w:rsidRPr="006D3D53">
        <w:rPr>
          <w:sz w:val="22"/>
          <w:szCs w:val="22"/>
        </w:rPr>
        <w:t>Informácie o zamestnancoch konsolidovaného celku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6"/>
        <w:gridCol w:w="5486"/>
      </w:tblGrid>
      <w:tr w:rsidR="005346A6" w:rsidRPr="006D3D53" w14:paraId="71E762BE" w14:textId="77777777">
        <w:trPr>
          <w:trHeight w:hRule="exact" w:val="1258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E0BC3C" w14:textId="77777777" w:rsidR="005346A6" w:rsidRPr="006D3D53" w:rsidRDefault="005F056C">
            <w:pPr>
              <w:pStyle w:val="In0"/>
              <w:framePr w:w="10272" w:h="1694" w:wrap="none" w:vAnchor="page" w:hAnchor="page" w:x="1026" w:y="10054"/>
              <w:shd w:val="clear" w:color="auto" w:fill="auto"/>
              <w:rPr>
                <w:sz w:val="22"/>
                <w:szCs w:val="22"/>
              </w:rPr>
            </w:pPr>
            <w:r w:rsidRPr="006D3D53">
              <w:rPr>
                <w:sz w:val="22"/>
                <w:szCs w:val="22"/>
              </w:rPr>
              <w:t>Priemerný počet zamestnancov konsolidovaného celku (obce resp. VÚC) počas účtovného obdobia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A22EBA" w14:textId="77CC2133" w:rsidR="005346A6" w:rsidRPr="006D3D53" w:rsidRDefault="002650E4">
            <w:pPr>
              <w:pStyle w:val="In0"/>
              <w:framePr w:w="10272" w:h="1694" w:wrap="none" w:vAnchor="page" w:hAnchor="page" w:x="1026" w:y="1005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color w:val="auto"/>
                <w:sz w:val="22"/>
                <w:szCs w:val="22"/>
              </w:rPr>
              <w:t>305</w:t>
            </w:r>
          </w:p>
        </w:tc>
      </w:tr>
      <w:tr w:rsidR="005346A6" w:rsidRPr="006D3D53" w14:paraId="70E95E40" w14:textId="77777777">
        <w:trPr>
          <w:trHeight w:hRule="exact" w:val="437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4C416AC" w14:textId="77777777" w:rsidR="005346A6" w:rsidRPr="006D3D53" w:rsidRDefault="005F056C">
            <w:pPr>
              <w:pStyle w:val="In0"/>
              <w:framePr w:w="10272" w:h="1694" w:wrap="none" w:vAnchor="page" w:hAnchor="page" w:x="1026" w:y="1005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sz w:val="22"/>
                <w:szCs w:val="22"/>
              </w:rPr>
              <w:t>z toho : Počet vedúcich zamestnancov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1A6A3DF" w14:textId="77777777" w:rsidR="005346A6" w:rsidRPr="006D3D53" w:rsidRDefault="005F056C">
            <w:pPr>
              <w:pStyle w:val="In0"/>
              <w:framePr w:w="10272" w:h="1694" w:wrap="none" w:vAnchor="page" w:hAnchor="page" w:x="1026" w:y="1005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color w:val="auto"/>
                <w:sz w:val="22"/>
                <w:szCs w:val="22"/>
              </w:rPr>
              <w:t>12</w:t>
            </w:r>
          </w:p>
        </w:tc>
      </w:tr>
    </w:tbl>
    <w:p w14:paraId="43D1BEF4" w14:textId="77777777" w:rsidR="005346A6" w:rsidRPr="006D3D53" w:rsidRDefault="005F056C" w:rsidP="009737A1">
      <w:pPr>
        <w:pStyle w:val="Zkladntext1"/>
        <w:framePr w:w="10272" w:h="3631" w:hRule="exact" w:wrap="none" w:vAnchor="page" w:hAnchor="page" w:x="1026" w:y="12181"/>
        <w:shd w:val="clear" w:color="auto" w:fill="auto"/>
        <w:spacing w:after="320" w:line="240" w:lineRule="auto"/>
        <w:rPr>
          <w:sz w:val="22"/>
          <w:szCs w:val="22"/>
        </w:rPr>
      </w:pPr>
      <w:r w:rsidRPr="006D3D53">
        <w:rPr>
          <w:b/>
          <w:bCs/>
          <w:sz w:val="22"/>
          <w:szCs w:val="22"/>
        </w:rPr>
        <w:t xml:space="preserve">Informácie o metódach oceňovania použitých pri ocenení jednotlivých položiek konsolidovanej účtovnej závierky </w:t>
      </w:r>
      <w:r w:rsidRPr="006D3D53">
        <w:rPr>
          <w:b/>
          <w:bCs/>
          <w:i/>
          <w:iCs/>
          <w:sz w:val="22"/>
          <w:szCs w:val="22"/>
        </w:rPr>
        <w:t>Obce Bernolákovo</w:t>
      </w:r>
    </w:p>
    <w:p w14:paraId="609765D7" w14:textId="77777777" w:rsidR="005346A6" w:rsidRPr="006D3D53" w:rsidRDefault="005F056C" w:rsidP="009737A1">
      <w:pPr>
        <w:pStyle w:val="Zkladntext1"/>
        <w:framePr w:w="10272" w:h="3631" w:hRule="exact" w:wrap="none" w:vAnchor="page" w:hAnchor="page" w:x="1026" w:y="12181"/>
        <w:numPr>
          <w:ilvl w:val="0"/>
          <w:numId w:val="1"/>
        </w:numPr>
        <w:shd w:val="clear" w:color="auto" w:fill="auto"/>
        <w:tabs>
          <w:tab w:val="left" w:pos="810"/>
        </w:tabs>
        <w:spacing w:line="410" w:lineRule="auto"/>
        <w:ind w:left="800" w:hanging="340"/>
        <w:rPr>
          <w:sz w:val="22"/>
          <w:szCs w:val="22"/>
        </w:rPr>
      </w:pPr>
      <w:r w:rsidRPr="006D3D53">
        <w:rPr>
          <w:sz w:val="22"/>
          <w:szCs w:val="22"/>
        </w:rPr>
        <w:t>Pri oceňovaní majetku a záväzkov sa uplatňuje zásada opatrnosti. Za základ sa berú všetky riziká, straty a zníženia hodnoty, ktoré sa týkajú majetku a záväzkov a sú známe ku dňu zostavenia účtovnej závierky.</w:t>
      </w:r>
    </w:p>
    <w:p w14:paraId="2B2AC2B9" w14:textId="77777777" w:rsidR="005346A6" w:rsidRPr="006D3D53" w:rsidRDefault="005F056C" w:rsidP="009737A1">
      <w:pPr>
        <w:pStyle w:val="Zkladntext1"/>
        <w:framePr w:w="10272" w:h="3631" w:hRule="exact" w:wrap="none" w:vAnchor="page" w:hAnchor="page" w:x="1026" w:y="12181"/>
        <w:numPr>
          <w:ilvl w:val="0"/>
          <w:numId w:val="1"/>
        </w:numPr>
        <w:shd w:val="clear" w:color="auto" w:fill="auto"/>
        <w:tabs>
          <w:tab w:val="left" w:pos="810"/>
        </w:tabs>
        <w:spacing w:line="410" w:lineRule="auto"/>
        <w:ind w:left="800" w:hanging="340"/>
        <w:rPr>
          <w:sz w:val="22"/>
          <w:szCs w:val="22"/>
        </w:rPr>
      </w:pPr>
      <w:r w:rsidRPr="006D3D53">
        <w:rPr>
          <w:sz w:val="22"/>
          <w:szCs w:val="22"/>
        </w:rPr>
        <w:t>Dlhodobý hmotný a nehmotný majetok nakupovaný sa oceňuje obstarávacou cenou, ktorá zahrňuje cenu obstarania a náklady súvisiace s obstaraním (clo, prepravu, montáž, poistné a pod.).</w:t>
      </w:r>
    </w:p>
    <w:p w14:paraId="227CEFFA" w14:textId="77777777" w:rsidR="005346A6" w:rsidRPr="006D3D53" w:rsidRDefault="005F056C">
      <w:pPr>
        <w:pStyle w:val="Hlavikaalebopta0"/>
        <w:framePr w:wrap="none" w:vAnchor="page" w:hAnchor="page" w:x="5874" w:y="15689"/>
        <w:shd w:val="clear" w:color="auto" w:fill="auto"/>
        <w:rPr>
          <w:sz w:val="22"/>
          <w:szCs w:val="22"/>
        </w:rPr>
      </w:pPr>
      <w:r w:rsidRPr="006D3D53">
        <w:rPr>
          <w:sz w:val="22"/>
          <w:szCs w:val="22"/>
        </w:rPr>
        <w:t>1</w:t>
      </w:r>
    </w:p>
    <w:p w14:paraId="2E0F0936" w14:textId="77777777" w:rsidR="005346A6" w:rsidRPr="006D3D53" w:rsidRDefault="005346A6">
      <w:pPr>
        <w:spacing w:line="1" w:lineRule="exact"/>
        <w:rPr>
          <w:sz w:val="22"/>
          <w:szCs w:val="22"/>
        </w:rPr>
        <w:sectPr w:rsidR="005346A6" w:rsidRPr="006D3D53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14:paraId="11E129B9" w14:textId="77777777" w:rsidR="005346A6" w:rsidRPr="006D3D53" w:rsidRDefault="005346A6">
      <w:pPr>
        <w:spacing w:line="1" w:lineRule="exact"/>
        <w:rPr>
          <w:sz w:val="22"/>
          <w:szCs w:val="22"/>
        </w:rPr>
      </w:pPr>
    </w:p>
    <w:p w14:paraId="060A4E2A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left="800" w:hanging="340"/>
        <w:rPr>
          <w:sz w:val="22"/>
          <w:szCs w:val="22"/>
        </w:rPr>
      </w:pPr>
      <w:r w:rsidRPr="006D3D53">
        <w:rPr>
          <w:sz w:val="22"/>
          <w:szCs w:val="22"/>
        </w:rPr>
        <w:t>Súčasťou obstarávacej ceny dlhodobého nehmotného a hmotného majetku sú úroky z úverov.</w:t>
      </w:r>
    </w:p>
    <w:p w14:paraId="54655E53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left="800" w:hanging="340"/>
        <w:rPr>
          <w:sz w:val="22"/>
          <w:szCs w:val="22"/>
        </w:rPr>
      </w:pPr>
      <w:r w:rsidRPr="006D3D53">
        <w:rPr>
          <w:sz w:val="22"/>
          <w:szCs w:val="22"/>
        </w:rPr>
        <w:t>Dlhodobý majetok vytvorený vlastnou činnosťou sa oceňuje vlastnými nákladmi, ktoré predstavujú všetky priame náklady vynaložené na výrobu alebo inú činnosť a všetky nepriame náklady vzťahujúce sa na výrobu alebo inú činnosť.</w:t>
      </w:r>
    </w:p>
    <w:p w14:paraId="4FE0716A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firstLine="460"/>
        <w:rPr>
          <w:sz w:val="22"/>
          <w:szCs w:val="22"/>
        </w:rPr>
      </w:pPr>
      <w:r w:rsidRPr="006D3D53">
        <w:rPr>
          <w:sz w:val="22"/>
          <w:szCs w:val="22"/>
        </w:rPr>
        <w:t>Dlhodobý majetok nadobudnutý darovaním sa oceňuje reálnou cenou</w:t>
      </w:r>
    </w:p>
    <w:p w14:paraId="706BD27C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left="800" w:hanging="340"/>
        <w:rPr>
          <w:sz w:val="22"/>
          <w:szCs w:val="22"/>
        </w:rPr>
      </w:pPr>
      <w:r w:rsidRPr="006D3D53">
        <w:rPr>
          <w:sz w:val="22"/>
          <w:szCs w:val="22"/>
        </w:rPr>
        <w:t>Dlhodobý majetok nadobudnutý prevodom správy sa oceňuje cenou, v ktorej sa doteraz viedol v účtovníctve.</w:t>
      </w:r>
    </w:p>
    <w:p w14:paraId="7376DD39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firstLine="460"/>
        <w:rPr>
          <w:sz w:val="22"/>
          <w:szCs w:val="22"/>
        </w:rPr>
      </w:pPr>
      <w:r w:rsidRPr="006D3D53">
        <w:rPr>
          <w:sz w:val="22"/>
          <w:szCs w:val="22"/>
        </w:rPr>
        <w:t>Dlhodobý finančný majetok sa oceňuje obstarávacou cenou.</w:t>
      </w:r>
    </w:p>
    <w:p w14:paraId="3211CF6A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left="800" w:hanging="340"/>
        <w:rPr>
          <w:sz w:val="22"/>
          <w:szCs w:val="22"/>
        </w:rPr>
      </w:pPr>
      <w:r w:rsidRPr="006D3D53">
        <w:rPr>
          <w:sz w:val="22"/>
          <w:szCs w:val="22"/>
        </w:rPr>
        <w:t>Deriváty sa pri nadobudnutí oceňujú cenou obstarania a ku dňu, ku ktorému sa zostavuje účtovná závierka, reálnou hodnotou.</w:t>
      </w:r>
    </w:p>
    <w:p w14:paraId="704EEB26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firstLine="460"/>
        <w:rPr>
          <w:sz w:val="22"/>
          <w:szCs w:val="22"/>
        </w:rPr>
      </w:pPr>
      <w:r w:rsidRPr="006D3D53">
        <w:rPr>
          <w:sz w:val="22"/>
          <w:szCs w:val="22"/>
        </w:rPr>
        <w:t>Majetok a záväzky zabezpečené derivátmi sa oceňujú reálnou hodnotou.</w:t>
      </w:r>
    </w:p>
    <w:p w14:paraId="1EA00240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left="800" w:hanging="340"/>
        <w:rPr>
          <w:sz w:val="22"/>
          <w:szCs w:val="22"/>
        </w:rPr>
      </w:pPr>
      <w:r w:rsidRPr="006D3D53">
        <w:rPr>
          <w:sz w:val="22"/>
          <w:szCs w:val="22"/>
        </w:rPr>
        <w:t>Nakupované zásoby sa oceňujú obstarávacou cenou, ktorou je cena obstarania vrátane nákladov súvisiacich s obstaraním ako napr. prepravné, provízia, poistné a zľavy.</w:t>
      </w:r>
    </w:p>
    <w:p w14:paraId="7B830506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left="800" w:hanging="340"/>
        <w:rPr>
          <w:sz w:val="22"/>
          <w:szCs w:val="22"/>
        </w:rPr>
      </w:pPr>
      <w:r w:rsidRPr="006D3D53">
        <w:rPr>
          <w:sz w:val="22"/>
          <w:szCs w:val="22"/>
        </w:rPr>
        <w:t xml:space="preserve">Zásoby vytvorené vlastnou činnosťou sa oceňujú vlastnými nákladmi </w:t>
      </w:r>
      <w:proofErr w:type="spellStart"/>
      <w:r w:rsidRPr="006D3D53">
        <w:rPr>
          <w:sz w:val="22"/>
          <w:szCs w:val="22"/>
        </w:rPr>
        <w:t>t.j</w:t>
      </w:r>
      <w:proofErr w:type="spellEnd"/>
      <w:r w:rsidRPr="006D3D53">
        <w:rPr>
          <w:sz w:val="22"/>
          <w:szCs w:val="22"/>
        </w:rPr>
        <w:t>. priamymi nákladmi vynaloženými na tvorbu zásob ako aj časťou nepriamych nákladov, ktoré sa k tvorbe zásob vzťahujú.</w:t>
      </w:r>
    </w:p>
    <w:p w14:paraId="6C64A4B9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firstLine="460"/>
        <w:rPr>
          <w:sz w:val="22"/>
          <w:szCs w:val="22"/>
        </w:rPr>
      </w:pPr>
      <w:r w:rsidRPr="006D3D53">
        <w:rPr>
          <w:sz w:val="22"/>
          <w:szCs w:val="22"/>
        </w:rPr>
        <w:t>Pohľadávky sa oceňujú v menovitej hodnote.</w:t>
      </w:r>
    </w:p>
    <w:p w14:paraId="6C103C9F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left="800" w:hanging="340"/>
        <w:rPr>
          <w:sz w:val="22"/>
          <w:szCs w:val="22"/>
        </w:rPr>
      </w:pPr>
      <w:r w:rsidRPr="006D3D53">
        <w:rPr>
          <w:sz w:val="22"/>
          <w:szCs w:val="22"/>
        </w:rPr>
        <w:t>Cenné papiere a podiely sa oceňujú obstarávacími cenami, vrátane nákladov súvisiacich s obstaraním.</w:t>
      </w:r>
    </w:p>
    <w:p w14:paraId="45F2A3DC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firstLine="460"/>
        <w:rPr>
          <w:sz w:val="22"/>
          <w:szCs w:val="22"/>
        </w:rPr>
      </w:pPr>
      <w:r w:rsidRPr="006D3D53">
        <w:rPr>
          <w:sz w:val="22"/>
          <w:szCs w:val="22"/>
        </w:rPr>
        <w:t>Pohľadávky sa pri ich vzniku oceňujú menovitou hodnotou.</w:t>
      </w:r>
    </w:p>
    <w:p w14:paraId="088511C2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firstLine="460"/>
        <w:rPr>
          <w:sz w:val="22"/>
          <w:szCs w:val="22"/>
        </w:rPr>
      </w:pPr>
      <w:r w:rsidRPr="006D3D53">
        <w:rPr>
          <w:sz w:val="22"/>
          <w:szCs w:val="22"/>
        </w:rPr>
        <w:t>Peňažné prostriedky a ceniny sa oceňujú ich menovitou hodnotou.</w:t>
      </w:r>
    </w:p>
    <w:p w14:paraId="7406E2FD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firstLine="460"/>
        <w:rPr>
          <w:sz w:val="22"/>
          <w:szCs w:val="22"/>
        </w:rPr>
      </w:pPr>
      <w:r w:rsidRPr="006D3D53">
        <w:rPr>
          <w:sz w:val="22"/>
          <w:szCs w:val="22"/>
        </w:rPr>
        <w:t>Záväzky sa pri ich vzniku oceňujú menovitou hodnotou.</w:t>
      </w:r>
    </w:p>
    <w:p w14:paraId="473F07DC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firstLine="460"/>
        <w:rPr>
          <w:sz w:val="22"/>
          <w:szCs w:val="22"/>
        </w:rPr>
      </w:pPr>
      <w:r w:rsidRPr="006D3D53">
        <w:rPr>
          <w:sz w:val="22"/>
          <w:szCs w:val="22"/>
        </w:rPr>
        <w:t>Záväzky sa pri ich prevzatí oceňujú obstarávacou cenou.</w:t>
      </w:r>
    </w:p>
    <w:p w14:paraId="581D57D1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spacing w:after="580"/>
        <w:ind w:left="800" w:hanging="340"/>
        <w:rPr>
          <w:sz w:val="22"/>
          <w:szCs w:val="22"/>
        </w:rPr>
      </w:pPr>
      <w:r w:rsidRPr="006D3D53">
        <w:rPr>
          <w:sz w:val="22"/>
          <w:szCs w:val="22"/>
        </w:rPr>
        <w:t>Ak sa pri inventarizácii zistí, že suma záväzkov je iná ako ich výška v účtovníctve, uvedú sa záväzky v účtovníctve a v účtovnej závierke v tomto zistenom ocenení.</w:t>
      </w:r>
    </w:p>
    <w:p w14:paraId="78BEBF0B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shd w:val="clear" w:color="auto" w:fill="auto"/>
        <w:spacing w:after="120"/>
        <w:jc w:val="center"/>
        <w:rPr>
          <w:sz w:val="22"/>
          <w:szCs w:val="22"/>
        </w:rPr>
      </w:pPr>
      <w:r w:rsidRPr="006D3D53">
        <w:rPr>
          <w:b/>
          <w:bCs/>
          <w:sz w:val="22"/>
          <w:szCs w:val="22"/>
        </w:rPr>
        <w:t>Čl. II</w:t>
      </w:r>
    </w:p>
    <w:p w14:paraId="48B40C32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shd w:val="clear" w:color="auto" w:fill="auto"/>
        <w:spacing w:after="120"/>
        <w:jc w:val="center"/>
        <w:rPr>
          <w:sz w:val="22"/>
          <w:szCs w:val="22"/>
        </w:rPr>
      </w:pPr>
      <w:r w:rsidRPr="006D3D53">
        <w:rPr>
          <w:b/>
          <w:bCs/>
          <w:sz w:val="22"/>
          <w:szCs w:val="22"/>
        </w:rPr>
        <w:t>Informácie o metódach a postupoch konsolidácie</w:t>
      </w:r>
    </w:p>
    <w:p w14:paraId="3E44B61A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shd w:val="clear" w:color="auto" w:fill="auto"/>
        <w:jc w:val="both"/>
        <w:rPr>
          <w:sz w:val="22"/>
          <w:szCs w:val="22"/>
        </w:rPr>
      </w:pPr>
      <w:r w:rsidRPr="006D3D53">
        <w:rPr>
          <w:sz w:val="22"/>
          <w:szCs w:val="22"/>
        </w:rPr>
        <w:t>Konsolidovaná účtovná závierka Obce Bernolákovo bola zostavená v súlade so zákonom č. 431/2002 Z. z. o účtovníctve v znení neskorších predpisov v súlade s Opatrením Ministerstva financií Slovenskej republiky zo dňa 17. 12. 2008 č. MF/27526/2008 - 31 v znení neskorších predpisov, ktorým sa ustanovujú podrobnosti o metódach a postupoch</w:t>
      </w:r>
    </w:p>
    <w:p w14:paraId="6D0AD869" w14:textId="77777777" w:rsidR="005346A6" w:rsidRPr="006D3D53" w:rsidRDefault="005F056C">
      <w:pPr>
        <w:pStyle w:val="Hlavikaalebopta0"/>
        <w:framePr w:wrap="none" w:vAnchor="page" w:hAnchor="page" w:x="5874" w:y="15927"/>
        <w:shd w:val="clear" w:color="auto" w:fill="auto"/>
        <w:rPr>
          <w:sz w:val="22"/>
          <w:szCs w:val="22"/>
        </w:rPr>
      </w:pPr>
      <w:r w:rsidRPr="006D3D53">
        <w:rPr>
          <w:sz w:val="22"/>
          <w:szCs w:val="22"/>
        </w:rPr>
        <w:t>2</w:t>
      </w:r>
    </w:p>
    <w:p w14:paraId="541D3399" w14:textId="77777777" w:rsidR="005346A6" w:rsidRPr="006D3D53" w:rsidRDefault="005346A6">
      <w:pPr>
        <w:spacing w:line="1" w:lineRule="exact"/>
        <w:rPr>
          <w:sz w:val="22"/>
          <w:szCs w:val="22"/>
        </w:rPr>
        <w:sectPr w:rsidR="005346A6" w:rsidRPr="006D3D53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14:paraId="7F514D5E" w14:textId="77777777" w:rsidR="005346A6" w:rsidRPr="006D3D53" w:rsidRDefault="005346A6">
      <w:pPr>
        <w:spacing w:line="1" w:lineRule="exact"/>
        <w:rPr>
          <w:sz w:val="22"/>
          <w:szCs w:val="22"/>
        </w:rPr>
      </w:pPr>
    </w:p>
    <w:p w14:paraId="6D1218B7" w14:textId="77777777" w:rsidR="005346A6" w:rsidRPr="006D3D53" w:rsidRDefault="005F056C">
      <w:pPr>
        <w:pStyle w:val="Zkladntext1"/>
        <w:framePr w:w="10272" w:h="869" w:hRule="exact" w:wrap="none" w:vAnchor="page" w:hAnchor="page" w:x="1026" w:y="888"/>
        <w:shd w:val="clear" w:color="auto" w:fill="auto"/>
        <w:rPr>
          <w:sz w:val="22"/>
          <w:szCs w:val="22"/>
        </w:rPr>
      </w:pPr>
      <w:r w:rsidRPr="006D3D53">
        <w:rPr>
          <w:sz w:val="22"/>
          <w:szCs w:val="22"/>
        </w:rPr>
        <w:t>konsolidácie vo verejnej správe a podrobnosti o usporiadaní a označovaní položiek konsolidovanej účtovnej závierky vo verejnej správe.</w:t>
      </w:r>
    </w:p>
    <w:p w14:paraId="6A4B1133" w14:textId="77777777" w:rsidR="005346A6" w:rsidRPr="006D3D53" w:rsidRDefault="005F056C">
      <w:pPr>
        <w:pStyle w:val="Nzovtabuky0"/>
        <w:framePr w:wrap="none" w:vAnchor="page" w:hAnchor="page" w:x="1093" w:y="1992"/>
        <w:shd w:val="clear" w:color="auto" w:fill="auto"/>
        <w:rPr>
          <w:sz w:val="22"/>
          <w:szCs w:val="22"/>
        </w:rPr>
      </w:pPr>
      <w:r w:rsidRPr="006D3D53">
        <w:rPr>
          <w:sz w:val="22"/>
          <w:szCs w:val="22"/>
        </w:rPr>
        <w:t>Zahrnutie konsolidovaných účtovných jednotiek do konsolidovanej účtovnej závierky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05"/>
        <w:gridCol w:w="1670"/>
        <w:gridCol w:w="1670"/>
        <w:gridCol w:w="1603"/>
      </w:tblGrid>
      <w:tr w:rsidR="005346A6" w:rsidRPr="006D3D53" w14:paraId="6535E815" w14:textId="77777777">
        <w:trPr>
          <w:trHeight w:hRule="exact" w:val="1258"/>
        </w:trPr>
        <w:tc>
          <w:tcPr>
            <w:tcW w:w="48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DFC0F2" w14:textId="77777777" w:rsidR="005346A6" w:rsidRPr="006D3D53" w:rsidRDefault="005F056C">
            <w:pPr>
              <w:pStyle w:val="In0"/>
              <w:framePr w:w="9749" w:h="1690" w:wrap="none" w:vAnchor="page" w:hAnchor="page" w:x="1026" w:y="2564"/>
              <w:shd w:val="clear" w:color="auto" w:fill="auto"/>
              <w:jc w:val="center"/>
              <w:rPr>
                <w:sz w:val="22"/>
                <w:szCs w:val="22"/>
              </w:rPr>
            </w:pPr>
            <w:r w:rsidRPr="006D3D53">
              <w:rPr>
                <w:b/>
                <w:bCs/>
                <w:i/>
                <w:iCs/>
                <w:sz w:val="22"/>
                <w:szCs w:val="22"/>
              </w:rPr>
              <w:t>Názov resp. obchodné meno konsolidovanej účtovnej jednotky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F9E194" w14:textId="77777777" w:rsidR="005346A6" w:rsidRPr="006D3D53" w:rsidRDefault="005F056C">
            <w:pPr>
              <w:pStyle w:val="In0"/>
              <w:framePr w:w="9749" w:h="1690" w:wrap="none" w:vAnchor="page" w:hAnchor="page" w:x="1026" w:y="2564"/>
              <w:shd w:val="clear" w:color="auto" w:fill="auto"/>
              <w:jc w:val="center"/>
              <w:rPr>
                <w:sz w:val="22"/>
                <w:szCs w:val="22"/>
              </w:rPr>
            </w:pPr>
            <w:r w:rsidRPr="006D3D53">
              <w:rPr>
                <w:b/>
                <w:bCs/>
                <w:i/>
                <w:iCs/>
                <w:sz w:val="22"/>
                <w:szCs w:val="22"/>
              </w:rPr>
              <w:t>Metóda úplnej konsolidácie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4FA031" w14:textId="77777777" w:rsidR="005346A6" w:rsidRPr="006D3D53" w:rsidRDefault="005F056C">
            <w:pPr>
              <w:pStyle w:val="In0"/>
              <w:framePr w:w="9749" w:h="1690" w:wrap="none" w:vAnchor="page" w:hAnchor="page" w:x="1026" w:y="2564"/>
              <w:shd w:val="clear" w:color="auto" w:fill="auto"/>
              <w:jc w:val="center"/>
              <w:rPr>
                <w:sz w:val="22"/>
                <w:szCs w:val="22"/>
              </w:rPr>
            </w:pPr>
            <w:r w:rsidRPr="006D3D53">
              <w:rPr>
                <w:b/>
                <w:bCs/>
                <w:i/>
                <w:iCs/>
                <w:sz w:val="22"/>
                <w:szCs w:val="22"/>
              </w:rPr>
              <w:t>Metóda</w:t>
            </w:r>
          </w:p>
          <w:p w14:paraId="40C13ED5" w14:textId="77777777" w:rsidR="005346A6" w:rsidRPr="006D3D53" w:rsidRDefault="005F056C">
            <w:pPr>
              <w:pStyle w:val="In0"/>
              <w:framePr w:w="9749" w:h="1690" w:wrap="none" w:vAnchor="page" w:hAnchor="page" w:x="1026" w:y="2564"/>
              <w:shd w:val="clear" w:color="auto" w:fill="auto"/>
              <w:jc w:val="center"/>
              <w:rPr>
                <w:sz w:val="22"/>
                <w:szCs w:val="22"/>
              </w:rPr>
            </w:pPr>
            <w:r w:rsidRPr="006D3D53">
              <w:rPr>
                <w:b/>
                <w:bCs/>
                <w:i/>
                <w:iCs/>
                <w:sz w:val="22"/>
                <w:szCs w:val="22"/>
              </w:rPr>
              <w:t>podielovej konsolidácie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9452B6" w14:textId="77777777" w:rsidR="005346A6" w:rsidRPr="006D3D53" w:rsidRDefault="005F056C">
            <w:pPr>
              <w:pStyle w:val="In0"/>
              <w:framePr w:w="9749" w:h="1690" w:wrap="none" w:vAnchor="page" w:hAnchor="page" w:x="1026" w:y="2564"/>
              <w:shd w:val="clear" w:color="auto" w:fill="auto"/>
              <w:jc w:val="center"/>
              <w:rPr>
                <w:sz w:val="22"/>
                <w:szCs w:val="22"/>
              </w:rPr>
            </w:pPr>
            <w:r w:rsidRPr="006D3D53">
              <w:rPr>
                <w:b/>
                <w:bCs/>
                <w:i/>
                <w:iCs/>
                <w:sz w:val="22"/>
                <w:szCs w:val="22"/>
              </w:rPr>
              <w:t>Metóda vlastného imania</w:t>
            </w:r>
          </w:p>
        </w:tc>
      </w:tr>
      <w:tr w:rsidR="005346A6" w:rsidRPr="006D3D53" w14:paraId="4F9EF04F" w14:textId="77777777">
        <w:trPr>
          <w:trHeight w:hRule="exact" w:val="432"/>
        </w:trPr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01550E8" w14:textId="77777777" w:rsidR="005346A6" w:rsidRPr="006D3D53" w:rsidRDefault="005F056C">
            <w:pPr>
              <w:pStyle w:val="In0"/>
              <w:framePr w:w="9749" w:h="1690" w:wrap="none" w:vAnchor="page" w:hAnchor="page" w:x="1026" w:y="256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Konsolidovaná účtovná jednotka - ZŠ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CCDC7F9" w14:textId="77777777" w:rsidR="005346A6" w:rsidRPr="006D3D53" w:rsidRDefault="005F056C">
            <w:pPr>
              <w:pStyle w:val="In0"/>
              <w:framePr w:w="9749" w:h="1690" w:wrap="none" w:vAnchor="page" w:hAnchor="page" w:x="1026" w:y="256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áno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7D6050" w14:textId="77777777" w:rsidR="005346A6" w:rsidRPr="006D3D53" w:rsidRDefault="005F056C">
            <w:pPr>
              <w:pStyle w:val="In0"/>
              <w:framePr w:w="9749" w:h="1690" w:wrap="none" w:vAnchor="page" w:hAnchor="page" w:x="1026" w:y="256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E4DA7D" w14:textId="77777777" w:rsidR="005346A6" w:rsidRPr="006D3D53" w:rsidRDefault="005F056C">
            <w:pPr>
              <w:pStyle w:val="In0"/>
              <w:framePr w:w="9749" w:h="1690" w:wrap="none" w:vAnchor="page" w:hAnchor="page" w:x="1026" w:y="256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-</w:t>
            </w:r>
          </w:p>
        </w:tc>
      </w:tr>
      <w:tr w:rsidR="00342E5C" w:rsidRPr="006D3D53" w14:paraId="2EFB36E9" w14:textId="77777777">
        <w:trPr>
          <w:trHeight w:hRule="exact" w:val="432"/>
        </w:trPr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4E69E49" w14:textId="12975DB0" w:rsidR="00342E5C" w:rsidRPr="006D3D53" w:rsidRDefault="00342E5C">
            <w:pPr>
              <w:pStyle w:val="In0"/>
              <w:framePr w:w="9749" w:h="1690" w:wrap="none" w:vAnchor="page" w:hAnchor="page" w:x="1026" w:y="2564"/>
              <w:shd w:val="clear" w:color="auto" w:fill="auto"/>
              <w:spacing w:line="240" w:lineRule="auto"/>
              <w:rPr>
                <w:i/>
                <w:iCs/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Konsolidovaná účtovná jednotka - ZUŠ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E53165B" w14:textId="434F35BE" w:rsidR="00342E5C" w:rsidRPr="006D3D53" w:rsidRDefault="00342E5C">
            <w:pPr>
              <w:pStyle w:val="In0"/>
              <w:framePr w:w="9749" w:h="1690" w:wrap="none" w:vAnchor="page" w:hAnchor="page" w:x="1026" w:y="2564"/>
              <w:shd w:val="clear" w:color="auto" w:fill="auto"/>
              <w:spacing w:line="240" w:lineRule="auto"/>
              <w:rPr>
                <w:i/>
                <w:iCs/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áno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48D97F9" w14:textId="50CDA013" w:rsidR="00342E5C" w:rsidRPr="006D3D53" w:rsidRDefault="00342E5C">
            <w:pPr>
              <w:pStyle w:val="In0"/>
              <w:framePr w:w="9749" w:h="1690" w:wrap="none" w:vAnchor="page" w:hAnchor="page" w:x="1026" w:y="2564"/>
              <w:shd w:val="clear" w:color="auto" w:fill="auto"/>
              <w:spacing w:line="240" w:lineRule="auto"/>
              <w:rPr>
                <w:i/>
                <w:iCs/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0BE91F" w14:textId="7B82E1E0" w:rsidR="00342E5C" w:rsidRPr="006D3D53" w:rsidRDefault="00342E5C">
            <w:pPr>
              <w:pStyle w:val="In0"/>
              <w:framePr w:w="9749" w:h="1690" w:wrap="none" w:vAnchor="page" w:hAnchor="page" w:x="1026" w:y="2564"/>
              <w:shd w:val="clear" w:color="auto" w:fill="auto"/>
              <w:spacing w:line="240" w:lineRule="auto"/>
              <w:rPr>
                <w:i/>
                <w:iCs/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-</w:t>
            </w:r>
          </w:p>
        </w:tc>
      </w:tr>
    </w:tbl>
    <w:p w14:paraId="1F75ED21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shd w:val="clear" w:color="auto" w:fill="auto"/>
        <w:spacing w:after="260"/>
        <w:rPr>
          <w:sz w:val="22"/>
          <w:szCs w:val="22"/>
        </w:rPr>
      </w:pPr>
      <w:r w:rsidRPr="006D3D53">
        <w:rPr>
          <w:sz w:val="22"/>
          <w:szCs w:val="22"/>
        </w:rPr>
        <w:t>Metóda úplnej konsolidácie bola použitá pri dcérskych účtovných jednotkách.</w:t>
      </w:r>
    </w:p>
    <w:p w14:paraId="0A16CA15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shd w:val="clear" w:color="auto" w:fill="auto"/>
        <w:spacing w:after="40"/>
        <w:rPr>
          <w:sz w:val="22"/>
          <w:szCs w:val="22"/>
        </w:rPr>
      </w:pPr>
      <w:r w:rsidRPr="006D3D53">
        <w:rPr>
          <w:b/>
          <w:bCs/>
          <w:i/>
          <w:iCs/>
          <w:sz w:val="22"/>
          <w:szCs w:val="22"/>
        </w:rPr>
        <w:t>Moment prvej konsolidácie kapitálu :</w:t>
      </w:r>
    </w:p>
    <w:p w14:paraId="275338DC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numPr>
          <w:ilvl w:val="0"/>
          <w:numId w:val="1"/>
        </w:numPr>
        <w:shd w:val="clear" w:color="auto" w:fill="auto"/>
        <w:tabs>
          <w:tab w:val="left" w:pos="651"/>
        </w:tabs>
        <w:spacing w:line="576" w:lineRule="auto"/>
        <w:ind w:firstLine="380"/>
        <w:rPr>
          <w:sz w:val="22"/>
          <w:szCs w:val="22"/>
        </w:rPr>
      </w:pPr>
      <w:r w:rsidRPr="006D3D53">
        <w:rPr>
          <w:sz w:val="22"/>
          <w:szCs w:val="22"/>
        </w:rPr>
        <w:t>Pri rozpočtových organizáciách je to deň ich zriadenia.</w:t>
      </w:r>
    </w:p>
    <w:p w14:paraId="3EB9105C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numPr>
          <w:ilvl w:val="0"/>
          <w:numId w:val="1"/>
        </w:numPr>
        <w:shd w:val="clear" w:color="auto" w:fill="auto"/>
        <w:tabs>
          <w:tab w:val="left" w:pos="651"/>
        </w:tabs>
        <w:spacing w:line="576" w:lineRule="auto"/>
        <w:ind w:firstLine="380"/>
        <w:rPr>
          <w:sz w:val="22"/>
          <w:szCs w:val="22"/>
        </w:rPr>
      </w:pPr>
      <w:r w:rsidRPr="006D3D53">
        <w:rPr>
          <w:sz w:val="22"/>
          <w:szCs w:val="22"/>
        </w:rPr>
        <w:t>Pri príspevkových organizáciách je to deň ich zriadenia.</w:t>
      </w:r>
    </w:p>
    <w:p w14:paraId="5CB57B5A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numPr>
          <w:ilvl w:val="0"/>
          <w:numId w:val="1"/>
        </w:numPr>
        <w:shd w:val="clear" w:color="auto" w:fill="auto"/>
        <w:tabs>
          <w:tab w:val="left" w:pos="651"/>
        </w:tabs>
        <w:spacing w:line="576" w:lineRule="auto"/>
        <w:ind w:firstLine="380"/>
        <w:rPr>
          <w:sz w:val="22"/>
          <w:szCs w:val="22"/>
        </w:rPr>
      </w:pPr>
      <w:r w:rsidRPr="006D3D53">
        <w:rPr>
          <w:sz w:val="22"/>
          <w:szCs w:val="22"/>
        </w:rPr>
        <w:t>Pri obchodných spoločnostiach je to deň obstarania podielov.</w:t>
      </w:r>
    </w:p>
    <w:p w14:paraId="394A150C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shd w:val="clear" w:color="auto" w:fill="auto"/>
        <w:rPr>
          <w:sz w:val="22"/>
          <w:szCs w:val="22"/>
        </w:rPr>
      </w:pPr>
      <w:r w:rsidRPr="006D3D53">
        <w:rPr>
          <w:b/>
          <w:bCs/>
          <w:i/>
          <w:iCs/>
          <w:sz w:val="22"/>
          <w:szCs w:val="22"/>
        </w:rPr>
        <w:t xml:space="preserve">Informácie o </w:t>
      </w:r>
      <w:proofErr w:type="spellStart"/>
      <w:r w:rsidRPr="006D3D53">
        <w:rPr>
          <w:b/>
          <w:bCs/>
          <w:i/>
          <w:iCs/>
          <w:sz w:val="22"/>
          <w:szCs w:val="22"/>
        </w:rPr>
        <w:t>goodwille</w:t>
      </w:r>
      <w:proofErr w:type="spellEnd"/>
    </w:p>
    <w:p w14:paraId="6A162FAB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numPr>
          <w:ilvl w:val="0"/>
          <w:numId w:val="1"/>
        </w:numPr>
        <w:shd w:val="clear" w:color="auto" w:fill="auto"/>
        <w:tabs>
          <w:tab w:val="left" w:pos="651"/>
        </w:tabs>
        <w:ind w:left="660" w:hanging="280"/>
        <w:rPr>
          <w:sz w:val="22"/>
          <w:szCs w:val="22"/>
        </w:rPr>
      </w:pPr>
      <w:proofErr w:type="spellStart"/>
      <w:r w:rsidRPr="006D3D53">
        <w:rPr>
          <w:sz w:val="22"/>
          <w:szCs w:val="22"/>
        </w:rPr>
        <w:t>Goodwill</w:t>
      </w:r>
      <w:proofErr w:type="spellEnd"/>
      <w:r w:rsidRPr="006D3D53">
        <w:rPr>
          <w:sz w:val="22"/>
          <w:szCs w:val="22"/>
        </w:rPr>
        <w:t xml:space="preserve"> nevzniká pri konsolidovanej účtovnej jednotke, ktorou je rozpočtová organizácia.</w:t>
      </w:r>
    </w:p>
    <w:p w14:paraId="702FA9CE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numPr>
          <w:ilvl w:val="0"/>
          <w:numId w:val="1"/>
        </w:numPr>
        <w:shd w:val="clear" w:color="auto" w:fill="auto"/>
        <w:tabs>
          <w:tab w:val="left" w:pos="651"/>
        </w:tabs>
        <w:ind w:left="660" w:hanging="280"/>
        <w:rPr>
          <w:sz w:val="22"/>
          <w:szCs w:val="22"/>
        </w:rPr>
      </w:pPr>
      <w:proofErr w:type="spellStart"/>
      <w:r w:rsidRPr="006D3D53">
        <w:rPr>
          <w:sz w:val="22"/>
          <w:szCs w:val="22"/>
        </w:rPr>
        <w:t>Goodwill</w:t>
      </w:r>
      <w:proofErr w:type="spellEnd"/>
      <w:r w:rsidRPr="006D3D53">
        <w:rPr>
          <w:sz w:val="22"/>
          <w:szCs w:val="22"/>
        </w:rPr>
        <w:t xml:space="preserve"> nevzniká pri konsolidovanej účtovnej jednotke, ktorou je príspevková organizácia.</w:t>
      </w:r>
    </w:p>
    <w:p w14:paraId="6F92393F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numPr>
          <w:ilvl w:val="0"/>
          <w:numId w:val="1"/>
        </w:numPr>
        <w:shd w:val="clear" w:color="auto" w:fill="auto"/>
        <w:tabs>
          <w:tab w:val="left" w:pos="651"/>
        </w:tabs>
        <w:ind w:left="660" w:hanging="280"/>
        <w:rPr>
          <w:sz w:val="22"/>
          <w:szCs w:val="22"/>
        </w:rPr>
      </w:pPr>
      <w:proofErr w:type="spellStart"/>
      <w:r w:rsidRPr="006D3D53">
        <w:rPr>
          <w:sz w:val="22"/>
          <w:szCs w:val="22"/>
        </w:rPr>
        <w:t>Goodwill</w:t>
      </w:r>
      <w:proofErr w:type="spellEnd"/>
      <w:r w:rsidRPr="006D3D53">
        <w:rPr>
          <w:sz w:val="22"/>
          <w:szCs w:val="22"/>
        </w:rPr>
        <w:t xml:space="preserve"> nevzniká pri založení konsolidovanej účtovnej jednotky, ktorou je obchodná spoločnosť.</w:t>
      </w:r>
    </w:p>
    <w:p w14:paraId="57AB1800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numPr>
          <w:ilvl w:val="0"/>
          <w:numId w:val="1"/>
        </w:numPr>
        <w:shd w:val="clear" w:color="auto" w:fill="auto"/>
        <w:tabs>
          <w:tab w:val="left" w:pos="651"/>
        </w:tabs>
        <w:spacing w:after="40"/>
        <w:ind w:left="660" w:hanging="280"/>
        <w:rPr>
          <w:sz w:val="22"/>
          <w:szCs w:val="22"/>
        </w:rPr>
      </w:pPr>
      <w:proofErr w:type="spellStart"/>
      <w:r w:rsidRPr="006D3D53">
        <w:rPr>
          <w:sz w:val="22"/>
          <w:szCs w:val="22"/>
        </w:rPr>
        <w:t>Goodwill</w:t>
      </w:r>
      <w:proofErr w:type="spellEnd"/>
      <w:r w:rsidRPr="006D3D53">
        <w:rPr>
          <w:sz w:val="22"/>
          <w:szCs w:val="22"/>
        </w:rPr>
        <w:t xml:space="preserve"> vzniká pri kúpe už existujúcej konsolidovanej účtovnej jednotky, ktorou je obchodná spoločnosť.</w:t>
      </w:r>
    </w:p>
    <w:p w14:paraId="00AC330F" w14:textId="77777777" w:rsidR="009737A1" w:rsidRPr="006D3D53" w:rsidRDefault="005F056C" w:rsidP="009737A1">
      <w:pPr>
        <w:pStyle w:val="Zkladntext1"/>
        <w:framePr w:w="10272" w:h="11401" w:hRule="exact" w:wrap="none" w:vAnchor="page" w:hAnchor="page" w:x="1026" w:y="4647"/>
        <w:numPr>
          <w:ilvl w:val="0"/>
          <w:numId w:val="1"/>
        </w:numPr>
        <w:shd w:val="clear" w:color="auto" w:fill="auto"/>
        <w:tabs>
          <w:tab w:val="left" w:pos="651"/>
        </w:tabs>
        <w:spacing w:after="460" w:line="240" w:lineRule="auto"/>
        <w:ind w:firstLine="380"/>
        <w:rPr>
          <w:sz w:val="22"/>
          <w:szCs w:val="22"/>
        </w:rPr>
      </w:pPr>
      <w:proofErr w:type="spellStart"/>
      <w:r w:rsidRPr="006D3D53">
        <w:rPr>
          <w:sz w:val="22"/>
          <w:szCs w:val="22"/>
        </w:rPr>
        <w:t>Goodwill</w:t>
      </w:r>
      <w:proofErr w:type="spellEnd"/>
      <w:r w:rsidRPr="006D3D53">
        <w:rPr>
          <w:sz w:val="22"/>
          <w:szCs w:val="22"/>
        </w:rPr>
        <w:t xml:space="preserve"> sa odpisuje do 5 rokov.</w:t>
      </w:r>
    </w:p>
    <w:p w14:paraId="68CA8C5B" w14:textId="185B467F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shd w:val="clear" w:color="auto" w:fill="auto"/>
        <w:tabs>
          <w:tab w:val="left" w:pos="651"/>
        </w:tabs>
        <w:spacing w:after="460" w:line="240" w:lineRule="auto"/>
        <w:ind w:left="380"/>
        <w:jc w:val="center"/>
        <w:rPr>
          <w:sz w:val="22"/>
          <w:szCs w:val="22"/>
        </w:rPr>
      </w:pPr>
      <w:r w:rsidRPr="006D3D53">
        <w:rPr>
          <w:b/>
          <w:bCs/>
          <w:sz w:val="22"/>
          <w:szCs w:val="22"/>
        </w:rPr>
        <w:t>Čl. III</w:t>
      </w:r>
    </w:p>
    <w:p w14:paraId="3D7775D2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shd w:val="clear" w:color="auto" w:fill="auto"/>
        <w:spacing w:after="540" w:line="240" w:lineRule="auto"/>
        <w:jc w:val="center"/>
        <w:rPr>
          <w:sz w:val="22"/>
          <w:szCs w:val="22"/>
        </w:rPr>
      </w:pPr>
      <w:r w:rsidRPr="006D3D53">
        <w:rPr>
          <w:b/>
          <w:bCs/>
          <w:sz w:val="22"/>
          <w:szCs w:val="22"/>
        </w:rPr>
        <w:t>Informácie o údajoch aktív a pasív</w:t>
      </w:r>
    </w:p>
    <w:p w14:paraId="2AEFCF4F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shd w:val="clear" w:color="auto" w:fill="auto"/>
        <w:spacing w:after="320" w:line="240" w:lineRule="auto"/>
        <w:rPr>
          <w:sz w:val="22"/>
          <w:szCs w:val="22"/>
        </w:rPr>
      </w:pPr>
      <w:r w:rsidRPr="006D3D53">
        <w:rPr>
          <w:sz w:val="22"/>
          <w:szCs w:val="22"/>
        </w:rPr>
        <w:t>Popis údajov vyplnených v prehľade pohybov dlhodobého nehmotného a dlhodobého hmotného majetku</w:t>
      </w:r>
    </w:p>
    <w:p w14:paraId="4CF0D141" w14:textId="29311246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numPr>
          <w:ilvl w:val="0"/>
          <w:numId w:val="1"/>
        </w:numPr>
        <w:shd w:val="clear" w:color="auto" w:fill="auto"/>
        <w:tabs>
          <w:tab w:val="left" w:pos="1527"/>
        </w:tabs>
        <w:spacing w:line="576" w:lineRule="auto"/>
        <w:ind w:left="1180"/>
        <w:rPr>
          <w:sz w:val="22"/>
          <w:szCs w:val="22"/>
        </w:rPr>
      </w:pPr>
      <w:r w:rsidRPr="006D3D53">
        <w:rPr>
          <w:sz w:val="22"/>
          <w:szCs w:val="22"/>
        </w:rPr>
        <w:t>Bezprostredne predchádzajúce účtovné obdobie sa chápe k 31.12.20</w:t>
      </w:r>
      <w:r w:rsidR="00342E5C" w:rsidRPr="006D3D53">
        <w:rPr>
          <w:sz w:val="22"/>
          <w:szCs w:val="22"/>
        </w:rPr>
        <w:t>20</w:t>
      </w:r>
    </w:p>
    <w:p w14:paraId="4D98965C" w14:textId="64116201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numPr>
          <w:ilvl w:val="0"/>
          <w:numId w:val="1"/>
        </w:numPr>
        <w:shd w:val="clear" w:color="auto" w:fill="auto"/>
        <w:tabs>
          <w:tab w:val="left" w:pos="1527"/>
        </w:tabs>
        <w:spacing w:line="576" w:lineRule="auto"/>
        <w:ind w:left="1180"/>
        <w:rPr>
          <w:sz w:val="22"/>
          <w:szCs w:val="22"/>
        </w:rPr>
      </w:pPr>
      <w:r w:rsidRPr="006D3D53">
        <w:rPr>
          <w:sz w:val="22"/>
          <w:szCs w:val="22"/>
        </w:rPr>
        <w:t>Bežné účtovné obdobie sa vykazuje k 31.12.20</w:t>
      </w:r>
      <w:r w:rsidR="00836B59" w:rsidRPr="006D3D53">
        <w:rPr>
          <w:sz w:val="22"/>
          <w:szCs w:val="22"/>
        </w:rPr>
        <w:t>2</w:t>
      </w:r>
      <w:r w:rsidR="00342E5C" w:rsidRPr="006D3D53">
        <w:rPr>
          <w:sz w:val="22"/>
          <w:szCs w:val="22"/>
        </w:rPr>
        <w:t>1</w:t>
      </w:r>
    </w:p>
    <w:p w14:paraId="71CD28E7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numPr>
          <w:ilvl w:val="0"/>
          <w:numId w:val="1"/>
        </w:numPr>
        <w:shd w:val="clear" w:color="auto" w:fill="auto"/>
        <w:tabs>
          <w:tab w:val="left" w:pos="1527"/>
        </w:tabs>
        <w:spacing w:line="576" w:lineRule="auto"/>
        <w:ind w:left="1180"/>
        <w:rPr>
          <w:sz w:val="22"/>
          <w:szCs w:val="22"/>
        </w:rPr>
      </w:pPr>
      <w:r w:rsidRPr="006D3D53">
        <w:rPr>
          <w:sz w:val="22"/>
          <w:szCs w:val="22"/>
        </w:rPr>
        <w:t>Prírastok je prvotné vykázanie obstarania dlhodobého nehmotného</w:t>
      </w:r>
    </w:p>
    <w:p w14:paraId="66A70BD2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shd w:val="clear" w:color="auto" w:fill="auto"/>
        <w:ind w:left="1520"/>
        <w:rPr>
          <w:sz w:val="22"/>
          <w:szCs w:val="22"/>
        </w:rPr>
      </w:pPr>
      <w:r w:rsidRPr="006D3D53">
        <w:rPr>
          <w:sz w:val="22"/>
          <w:szCs w:val="22"/>
        </w:rPr>
        <w:t>a dlhodobého hmotného majetku akoukoľvek formou, zvýšenie aktív (napr. kúpa, darovanie)</w:t>
      </w:r>
    </w:p>
    <w:p w14:paraId="317D5254" w14:textId="77777777" w:rsidR="005346A6" w:rsidRPr="006D3D53" w:rsidRDefault="005F056C">
      <w:pPr>
        <w:pStyle w:val="Hlavikaalebopta0"/>
        <w:framePr w:wrap="none" w:vAnchor="page" w:hAnchor="page" w:x="5874" w:y="15927"/>
        <w:shd w:val="clear" w:color="auto" w:fill="auto"/>
        <w:rPr>
          <w:sz w:val="22"/>
          <w:szCs w:val="22"/>
        </w:rPr>
      </w:pPr>
      <w:r w:rsidRPr="006D3D53">
        <w:rPr>
          <w:sz w:val="22"/>
          <w:szCs w:val="22"/>
        </w:rPr>
        <w:t>3</w:t>
      </w:r>
    </w:p>
    <w:p w14:paraId="2FCC2E98" w14:textId="77777777" w:rsidR="005346A6" w:rsidRPr="006D3D53" w:rsidRDefault="005346A6">
      <w:pPr>
        <w:spacing w:line="1" w:lineRule="exact"/>
        <w:rPr>
          <w:sz w:val="22"/>
          <w:szCs w:val="22"/>
        </w:rPr>
        <w:sectPr w:rsidR="005346A6" w:rsidRPr="006D3D53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14:paraId="47243B09" w14:textId="77777777" w:rsidR="005346A6" w:rsidRPr="006D3D53" w:rsidRDefault="005346A6">
      <w:pPr>
        <w:spacing w:line="1" w:lineRule="exact"/>
        <w:rPr>
          <w:sz w:val="22"/>
          <w:szCs w:val="22"/>
        </w:rPr>
      </w:pPr>
    </w:p>
    <w:p w14:paraId="53F99C7D" w14:textId="77777777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510"/>
        </w:tabs>
        <w:ind w:left="1140"/>
        <w:rPr>
          <w:sz w:val="22"/>
          <w:szCs w:val="22"/>
        </w:rPr>
      </w:pPr>
      <w:r w:rsidRPr="006D3D53">
        <w:rPr>
          <w:sz w:val="22"/>
          <w:szCs w:val="22"/>
        </w:rPr>
        <w:t>Úbytok je vykázanie zníženia aktív (napr. predaj, darovanie)</w:t>
      </w:r>
    </w:p>
    <w:p w14:paraId="29F5478B" w14:textId="77777777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510"/>
        </w:tabs>
        <w:spacing w:after="260"/>
        <w:ind w:left="1540" w:hanging="380"/>
        <w:rPr>
          <w:sz w:val="22"/>
          <w:szCs w:val="22"/>
        </w:rPr>
      </w:pPr>
      <w:r w:rsidRPr="006D3D53">
        <w:rPr>
          <w:sz w:val="22"/>
          <w:szCs w:val="22"/>
        </w:rPr>
        <w:t>Presun je vykázanie zmeny hodnoty niektorej položky bez zmeny celkovej hodnoty aktív</w:t>
      </w:r>
    </w:p>
    <w:p w14:paraId="41C67B0F" w14:textId="77777777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shd w:val="clear" w:color="auto" w:fill="auto"/>
        <w:rPr>
          <w:sz w:val="22"/>
          <w:szCs w:val="22"/>
        </w:rPr>
      </w:pPr>
      <w:r w:rsidRPr="006D3D53">
        <w:rPr>
          <w:sz w:val="22"/>
          <w:szCs w:val="22"/>
        </w:rPr>
        <w:t>Popis významných informácií o aktívach a pasívach</w:t>
      </w:r>
    </w:p>
    <w:p w14:paraId="766BC6F0" w14:textId="77777777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150"/>
        </w:tabs>
        <w:ind w:left="1140" w:hanging="340"/>
        <w:rPr>
          <w:sz w:val="22"/>
          <w:szCs w:val="22"/>
        </w:rPr>
      </w:pPr>
      <w:r w:rsidRPr="006D3D53">
        <w:rPr>
          <w:sz w:val="22"/>
          <w:szCs w:val="22"/>
        </w:rPr>
        <w:t>Konsolidovaný celok Obce Bernolákovo zahŕňa jednu rozpočtovú organizáciu, jej identifikačné údaje sa nachádzajú v priloženom prehľade.</w:t>
      </w:r>
    </w:p>
    <w:p w14:paraId="09D5F765" w14:textId="04D1B0CF" w:rsidR="00916DB0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150"/>
        </w:tabs>
        <w:ind w:left="1140" w:hanging="340"/>
        <w:rPr>
          <w:sz w:val="22"/>
          <w:szCs w:val="22"/>
        </w:rPr>
      </w:pPr>
      <w:r w:rsidRPr="006D3D53">
        <w:rPr>
          <w:sz w:val="22"/>
          <w:szCs w:val="22"/>
        </w:rPr>
        <w:t>Prehľad o pohybe dlhodobého majetku sa nachádza v priloženom tabuľkovom formulári č. 2 vysvetľuje položky súvahy - aktív. V rámci dlhodobého finančného majetku vykaz</w:t>
      </w:r>
      <w:r w:rsidR="00916DB0" w:rsidRPr="006D3D53">
        <w:rPr>
          <w:sz w:val="22"/>
          <w:szCs w:val="22"/>
        </w:rPr>
        <w:t>ovala</w:t>
      </w:r>
      <w:r w:rsidRPr="006D3D53">
        <w:rPr>
          <w:sz w:val="22"/>
          <w:szCs w:val="22"/>
        </w:rPr>
        <w:t xml:space="preserve"> obec Bernolákovo akcie BVS v hodnote 1 525 520,39 €.</w:t>
      </w:r>
      <w:r w:rsidR="00916DB0" w:rsidRPr="006D3D53">
        <w:rPr>
          <w:sz w:val="22"/>
          <w:szCs w:val="22"/>
        </w:rPr>
        <w:t xml:space="preserve"> Na základe fyzickej inventúry k 31.12.2021 účtovná jednotka zistila, že hodnota CP Bratislavskej vodárenskej spoločnosti </w:t>
      </w:r>
      <w:proofErr w:type="spellStart"/>
      <w:r w:rsidR="00916DB0" w:rsidRPr="006D3D53">
        <w:rPr>
          <w:sz w:val="22"/>
          <w:szCs w:val="22"/>
        </w:rPr>
        <w:t>a.s</w:t>
      </w:r>
      <w:proofErr w:type="spellEnd"/>
      <w:r w:rsidR="00916DB0" w:rsidRPr="006D3D53">
        <w:rPr>
          <w:sz w:val="22"/>
          <w:szCs w:val="22"/>
        </w:rPr>
        <w:t>. v počte 50 638 ks bola  vedené nesprávne. Rozdiel vznikol chybným prepočtom trhovej ceny CP zo slovenských korún na EUR. Chyba nastala pravdepodobne v roku 2009. Oprava účtovnej hodnoty bola zaúčtovaná v roku 2021 zápisom 428/063.</w:t>
      </w:r>
    </w:p>
    <w:p w14:paraId="0395FEF3" w14:textId="77777777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150"/>
        </w:tabs>
        <w:ind w:firstLine="800"/>
        <w:rPr>
          <w:sz w:val="22"/>
          <w:szCs w:val="22"/>
        </w:rPr>
      </w:pPr>
      <w:r w:rsidRPr="006D3D53">
        <w:rPr>
          <w:sz w:val="22"/>
          <w:szCs w:val="22"/>
        </w:rPr>
        <w:t>Obec vlastní 50 % podiel v penzióne Pohoda.</w:t>
      </w:r>
    </w:p>
    <w:p w14:paraId="2C625166" w14:textId="77777777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150"/>
        </w:tabs>
        <w:ind w:left="1140" w:hanging="340"/>
        <w:rPr>
          <w:sz w:val="22"/>
          <w:szCs w:val="22"/>
        </w:rPr>
      </w:pPr>
      <w:r w:rsidRPr="006D3D53">
        <w:rPr>
          <w:sz w:val="22"/>
          <w:szCs w:val="22"/>
        </w:rPr>
        <w:t>Konsolidovaný celok vykazuje krátkodobé pohľadávky, ktoré sa nachádzajú v priloženom tabuľkovom formulári č. 9. Najväčší podiel na vykázaných krátkodobých pohľadávkach má obec.</w:t>
      </w:r>
    </w:p>
    <w:p w14:paraId="52D97478" w14:textId="77777777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150"/>
        </w:tabs>
        <w:ind w:left="1140" w:hanging="340"/>
        <w:rPr>
          <w:sz w:val="22"/>
          <w:szCs w:val="22"/>
        </w:rPr>
      </w:pPr>
      <w:r w:rsidRPr="006D3D53">
        <w:rPr>
          <w:sz w:val="22"/>
          <w:szCs w:val="22"/>
        </w:rPr>
        <w:t>Prehľad o časovom rozlíšení na strane aktív - náklady budúcich období sa nachádzajú v priloženom tabuľkovom formulári č. 10.</w:t>
      </w:r>
    </w:p>
    <w:p w14:paraId="7B560531" w14:textId="5213F10A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150"/>
        </w:tabs>
        <w:ind w:left="1140" w:hanging="340"/>
        <w:rPr>
          <w:sz w:val="22"/>
          <w:szCs w:val="22"/>
        </w:rPr>
      </w:pPr>
      <w:r w:rsidRPr="006D3D53">
        <w:rPr>
          <w:sz w:val="22"/>
          <w:szCs w:val="22"/>
        </w:rPr>
        <w:t>Prehľad o pohybe vlastného imania konsolidovaného celku od 1. 1 . 20</w:t>
      </w:r>
      <w:r w:rsidR="00836B59" w:rsidRPr="006D3D53">
        <w:rPr>
          <w:sz w:val="22"/>
          <w:szCs w:val="22"/>
        </w:rPr>
        <w:t>20</w:t>
      </w:r>
      <w:r w:rsidRPr="006D3D53">
        <w:rPr>
          <w:sz w:val="22"/>
          <w:szCs w:val="22"/>
        </w:rPr>
        <w:t xml:space="preserve"> do 31.12.20</w:t>
      </w:r>
      <w:r w:rsidR="00836B59" w:rsidRPr="006D3D53">
        <w:rPr>
          <w:sz w:val="22"/>
          <w:szCs w:val="22"/>
        </w:rPr>
        <w:t>20</w:t>
      </w:r>
      <w:r w:rsidRPr="006D3D53">
        <w:rPr>
          <w:sz w:val="22"/>
          <w:szCs w:val="22"/>
        </w:rPr>
        <w:t xml:space="preserve"> sa nachádza v priloženom tabuľkovom formulári č. 12.</w:t>
      </w:r>
    </w:p>
    <w:p w14:paraId="2E1234B1" w14:textId="77777777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150"/>
        </w:tabs>
        <w:ind w:left="1140" w:hanging="340"/>
        <w:rPr>
          <w:sz w:val="22"/>
          <w:szCs w:val="22"/>
        </w:rPr>
      </w:pPr>
      <w:r w:rsidRPr="006D3D53">
        <w:rPr>
          <w:sz w:val="22"/>
          <w:szCs w:val="22"/>
        </w:rPr>
        <w:t>Rezervy sa v konsolidovanom celku tvorili v rámci hlavne j činnosti konkrétne hodnoty sa nachádzajú v priloženom tabuľkovom formulári č. 14. Najvýznamnejšia tvorba, zrušenie rezerv sa vykázala v oblasti tvorby rezerv na overenie účtovnej závierky.</w:t>
      </w:r>
    </w:p>
    <w:p w14:paraId="0B7C48F0" w14:textId="77777777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150"/>
        </w:tabs>
        <w:ind w:left="1140" w:hanging="340"/>
        <w:rPr>
          <w:sz w:val="22"/>
          <w:szCs w:val="22"/>
        </w:rPr>
      </w:pPr>
      <w:r w:rsidRPr="006D3D53">
        <w:rPr>
          <w:sz w:val="22"/>
          <w:szCs w:val="22"/>
        </w:rPr>
        <w:t>Prehľad o záväzkoch v lehote splatnosti sa nachádza v priloženom tabuľkovom formulári č. 15. Najväčší podiel na vykázaných dlhodobých záväzkoch má obec. Konsolidovaný celok nevykazuje záväzky po lehote splatnosti.</w:t>
      </w:r>
    </w:p>
    <w:p w14:paraId="3A06E279" w14:textId="77777777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150"/>
        </w:tabs>
        <w:ind w:left="1140" w:hanging="340"/>
        <w:rPr>
          <w:sz w:val="22"/>
          <w:szCs w:val="22"/>
        </w:rPr>
      </w:pPr>
      <w:r w:rsidRPr="006D3D53">
        <w:rPr>
          <w:sz w:val="22"/>
          <w:szCs w:val="22"/>
        </w:rPr>
        <w:t>Konsolidovaný celok vykazuje o časovom rozlíšení na strane pasív - výnosy budúcich období sa nachádza v priloženom tabuľkovom formulári č. 18. Jedná sa o kapitálové transfery zo ŠR a od iných subjektov.</w:t>
      </w:r>
    </w:p>
    <w:p w14:paraId="352B1A25" w14:textId="77777777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150"/>
        </w:tabs>
        <w:ind w:left="1140" w:hanging="340"/>
        <w:rPr>
          <w:sz w:val="22"/>
          <w:szCs w:val="22"/>
        </w:rPr>
      </w:pPr>
      <w:r w:rsidRPr="006D3D53">
        <w:rPr>
          <w:sz w:val="22"/>
          <w:szCs w:val="22"/>
        </w:rPr>
        <w:t>Podrobný prehľad vybraných položiek konsolidovaného celku o nákladoch sa nachádza v priloženom tabuľkovom formulári č. 19, 20 a 21.</w:t>
      </w:r>
    </w:p>
    <w:p w14:paraId="5196BD48" w14:textId="77777777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150"/>
        </w:tabs>
        <w:ind w:left="1140" w:hanging="340"/>
        <w:rPr>
          <w:sz w:val="22"/>
          <w:szCs w:val="22"/>
        </w:rPr>
      </w:pPr>
      <w:r w:rsidRPr="006D3D53">
        <w:rPr>
          <w:sz w:val="22"/>
          <w:szCs w:val="22"/>
        </w:rPr>
        <w:t>Podrobný prehľad vybraných položiek konsolidovaného celku o výnosov sa nachádza v priloženom tabuľkovom formulári c. 22.</w:t>
      </w:r>
    </w:p>
    <w:p w14:paraId="1EE843B5" w14:textId="77777777" w:rsidR="005346A6" w:rsidRPr="006D3D53" w:rsidRDefault="005F056C">
      <w:pPr>
        <w:pStyle w:val="Hlavikaalebopta0"/>
        <w:framePr w:wrap="none" w:vAnchor="page" w:hAnchor="page" w:x="5874" w:y="15927"/>
        <w:shd w:val="clear" w:color="auto" w:fill="auto"/>
        <w:rPr>
          <w:sz w:val="22"/>
          <w:szCs w:val="22"/>
        </w:rPr>
      </w:pPr>
      <w:r w:rsidRPr="006D3D53">
        <w:rPr>
          <w:sz w:val="22"/>
          <w:szCs w:val="22"/>
        </w:rPr>
        <w:t>4</w:t>
      </w:r>
    </w:p>
    <w:p w14:paraId="4F7A3458" w14:textId="77777777" w:rsidR="005346A6" w:rsidRPr="006D3D53" w:rsidRDefault="005346A6">
      <w:pPr>
        <w:spacing w:line="1" w:lineRule="exact"/>
        <w:rPr>
          <w:sz w:val="22"/>
          <w:szCs w:val="22"/>
        </w:rPr>
        <w:sectPr w:rsidR="005346A6" w:rsidRPr="006D3D53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14:paraId="1E36F9A6" w14:textId="77777777" w:rsidR="005346A6" w:rsidRPr="006D3D53" w:rsidRDefault="005346A6">
      <w:pPr>
        <w:spacing w:line="1" w:lineRule="exact"/>
        <w:rPr>
          <w:sz w:val="22"/>
          <w:szCs w:val="22"/>
        </w:rPr>
      </w:pPr>
    </w:p>
    <w:p w14:paraId="3E141B70" w14:textId="77777777" w:rsidR="005346A6" w:rsidRPr="006D3D53" w:rsidRDefault="005F056C">
      <w:pPr>
        <w:pStyle w:val="Zkladntext1"/>
        <w:framePr w:w="10272" w:h="326" w:hRule="exact" w:wrap="none" w:vAnchor="page" w:hAnchor="page" w:x="1026" w:y="879"/>
        <w:shd w:val="clear" w:color="auto" w:fill="auto"/>
        <w:spacing w:line="240" w:lineRule="auto"/>
        <w:jc w:val="center"/>
        <w:rPr>
          <w:sz w:val="22"/>
          <w:szCs w:val="22"/>
        </w:rPr>
      </w:pPr>
      <w:r w:rsidRPr="006D3D53">
        <w:rPr>
          <w:b/>
          <w:bCs/>
          <w:sz w:val="22"/>
          <w:szCs w:val="22"/>
        </w:rPr>
        <w:t>Čl. IV</w:t>
      </w:r>
    </w:p>
    <w:p w14:paraId="246D7221" w14:textId="77777777" w:rsidR="005346A6" w:rsidRPr="006D3D53" w:rsidRDefault="005F056C">
      <w:pPr>
        <w:pStyle w:val="Zkladntext1"/>
        <w:framePr w:w="10272" w:h="3792" w:hRule="exact" w:wrap="none" w:vAnchor="page" w:hAnchor="page" w:x="1026" w:y="1306"/>
        <w:shd w:val="clear" w:color="auto" w:fill="auto"/>
        <w:spacing w:after="1140" w:line="240" w:lineRule="auto"/>
        <w:jc w:val="center"/>
        <w:rPr>
          <w:sz w:val="22"/>
          <w:szCs w:val="22"/>
        </w:rPr>
      </w:pPr>
      <w:r w:rsidRPr="006D3D53">
        <w:rPr>
          <w:b/>
          <w:bCs/>
          <w:sz w:val="22"/>
          <w:szCs w:val="22"/>
        </w:rPr>
        <w:t>Informácie o skutočnostiach, ktoré nastali po dni, ku ktorému sa zostavuje účtovná</w:t>
      </w:r>
      <w:r w:rsidRPr="006D3D53">
        <w:rPr>
          <w:b/>
          <w:bCs/>
          <w:sz w:val="22"/>
          <w:szCs w:val="22"/>
        </w:rPr>
        <w:br/>
        <w:t>závierka do dňa zostavenia účtovnej závierky</w:t>
      </w:r>
    </w:p>
    <w:p w14:paraId="15C018AF" w14:textId="77777777" w:rsidR="005346A6" w:rsidRPr="006D3D53" w:rsidRDefault="005F056C">
      <w:pPr>
        <w:pStyle w:val="Zkladntext1"/>
        <w:framePr w:w="10272" w:h="3792" w:hRule="exact" w:wrap="none" w:vAnchor="page" w:hAnchor="page" w:x="1026" w:y="1306"/>
        <w:shd w:val="clear" w:color="auto" w:fill="auto"/>
        <w:spacing w:line="389" w:lineRule="auto"/>
        <w:ind w:left="1160" w:hanging="340"/>
        <w:rPr>
          <w:sz w:val="22"/>
          <w:szCs w:val="22"/>
        </w:rPr>
      </w:pPr>
      <w:r w:rsidRPr="006D3D53">
        <w:rPr>
          <w:sz w:val="22"/>
          <w:szCs w:val="22"/>
        </w:rPr>
        <w:t>■ Nenastali žiadne skutočnosti, ktoré by mali za následok pokles alebo zvýšenie trhovej ceny finančného majetku, zmenu výšky rezerv a opravných položiek, ako i zmenu významných položiek dlhodobého finančného majetku. Nenastala zmena právnej formy účtovnej jednotky, ani mimoriadne udalosti, ktoré majú vplyv na hospodárenie účtovnej jednotky.</w:t>
      </w:r>
    </w:p>
    <w:p w14:paraId="057FAA00" w14:textId="60645593" w:rsidR="005346A6" w:rsidRPr="006D3D53" w:rsidRDefault="005F056C">
      <w:pPr>
        <w:pStyle w:val="Zkladntext1"/>
        <w:framePr w:wrap="none" w:vAnchor="page" w:hAnchor="page" w:x="1026" w:y="6135"/>
        <w:shd w:val="clear" w:color="auto" w:fill="auto"/>
        <w:spacing w:line="240" w:lineRule="auto"/>
        <w:rPr>
          <w:sz w:val="22"/>
          <w:szCs w:val="22"/>
        </w:rPr>
      </w:pPr>
      <w:r w:rsidRPr="006D3D53">
        <w:rPr>
          <w:sz w:val="22"/>
          <w:szCs w:val="22"/>
        </w:rPr>
        <w:t xml:space="preserve">V Bernolákove, dňa </w:t>
      </w:r>
      <w:r w:rsidR="00836B59" w:rsidRPr="006D3D53">
        <w:rPr>
          <w:sz w:val="22"/>
          <w:szCs w:val="22"/>
        </w:rPr>
        <w:t>1</w:t>
      </w:r>
      <w:r w:rsidR="00916DB0" w:rsidRPr="006D3D53">
        <w:rPr>
          <w:sz w:val="22"/>
          <w:szCs w:val="22"/>
        </w:rPr>
        <w:t>5</w:t>
      </w:r>
      <w:r w:rsidRPr="006D3D53">
        <w:rPr>
          <w:sz w:val="22"/>
          <w:szCs w:val="22"/>
        </w:rPr>
        <w:t>.06.202</w:t>
      </w:r>
      <w:r w:rsidR="00836B59" w:rsidRPr="006D3D53">
        <w:rPr>
          <w:sz w:val="22"/>
          <w:szCs w:val="22"/>
        </w:rPr>
        <w:t>1</w:t>
      </w:r>
    </w:p>
    <w:p w14:paraId="0DA96CDD" w14:textId="637CE735" w:rsidR="005346A6" w:rsidRPr="006D3D53" w:rsidRDefault="00836B59">
      <w:pPr>
        <w:pStyle w:val="Zkladntext1"/>
        <w:framePr w:w="10272" w:h="610" w:hRule="exact" w:wrap="none" w:vAnchor="page" w:hAnchor="page" w:x="1026" w:y="7368"/>
        <w:shd w:val="clear" w:color="auto" w:fill="auto"/>
        <w:spacing w:line="240" w:lineRule="auto"/>
        <w:ind w:left="82" w:right="6249" w:firstLine="500"/>
        <w:rPr>
          <w:sz w:val="22"/>
          <w:szCs w:val="22"/>
        </w:rPr>
      </w:pPr>
      <w:r w:rsidRPr="006D3D53">
        <w:rPr>
          <w:sz w:val="22"/>
          <w:szCs w:val="22"/>
        </w:rPr>
        <w:t>Ing. Katarína Kiššová</w:t>
      </w:r>
      <w:r w:rsidR="005F056C" w:rsidRPr="006D3D53">
        <w:rPr>
          <w:sz w:val="22"/>
          <w:szCs w:val="22"/>
        </w:rPr>
        <w:t xml:space="preserve"> </w:t>
      </w:r>
      <w:proofErr w:type="spellStart"/>
      <w:r w:rsidR="005F056C" w:rsidRPr="006D3D53">
        <w:rPr>
          <w:sz w:val="22"/>
          <w:szCs w:val="22"/>
        </w:rPr>
        <w:t>v.r</w:t>
      </w:r>
      <w:proofErr w:type="spellEnd"/>
      <w:r w:rsidR="005F056C" w:rsidRPr="006D3D53">
        <w:rPr>
          <w:sz w:val="22"/>
          <w:szCs w:val="22"/>
        </w:rPr>
        <w:t>.</w:t>
      </w:r>
      <w:r w:rsidR="005F056C" w:rsidRPr="006D3D53">
        <w:rPr>
          <w:sz w:val="22"/>
          <w:szCs w:val="22"/>
        </w:rPr>
        <w:br/>
        <w:t>zodpovedná osoba za vypracovanie</w:t>
      </w:r>
    </w:p>
    <w:p w14:paraId="37C209DE" w14:textId="7590D10D" w:rsidR="005346A6" w:rsidRPr="006D3D53" w:rsidRDefault="00916DB0">
      <w:pPr>
        <w:pStyle w:val="Zkladntext1"/>
        <w:framePr w:w="3000" w:h="610" w:hRule="exact" w:wrap="none" w:vAnchor="page" w:hAnchor="page" w:x="7011" w:y="7368"/>
        <w:shd w:val="clear" w:color="auto" w:fill="auto"/>
        <w:spacing w:line="240" w:lineRule="auto"/>
        <w:ind w:left="24" w:right="39"/>
        <w:jc w:val="center"/>
        <w:rPr>
          <w:sz w:val="22"/>
          <w:szCs w:val="22"/>
        </w:rPr>
      </w:pPr>
      <w:r w:rsidRPr="006D3D53">
        <w:rPr>
          <w:sz w:val="22"/>
          <w:szCs w:val="22"/>
        </w:rPr>
        <w:t xml:space="preserve">Bc. Miroslav </w:t>
      </w:r>
      <w:proofErr w:type="spellStart"/>
      <w:r w:rsidRPr="006D3D53">
        <w:rPr>
          <w:sz w:val="22"/>
          <w:szCs w:val="22"/>
        </w:rPr>
        <w:t>Turenič</w:t>
      </w:r>
      <w:proofErr w:type="spellEnd"/>
      <w:r w:rsidR="005F056C" w:rsidRPr="006D3D53">
        <w:rPr>
          <w:sz w:val="22"/>
          <w:szCs w:val="22"/>
        </w:rPr>
        <w:t xml:space="preserve"> </w:t>
      </w:r>
      <w:proofErr w:type="spellStart"/>
      <w:r w:rsidR="005F056C" w:rsidRPr="006D3D53">
        <w:rPr>
          <w:sz w:val="22"/>
          <w:szCs w:val="22"/>
        </w:rPr>
        <w:t>v.r</w:t>
      </w:r>
      <w:proofErr w:type="spellEnd"/>
      <w:r w:rsidR="005F056C" w:rsidRPr="006D3D53">
        <w:rPr>
          <w:sz w:val="22"/>
          <w:szCs w:val="22"/>
        </w:rPr>
        <w:t>.</w:t>
      </w:r>
      <w:r w:rsidR="005F056C" w:rsidRPr="006D3D53">
        <w:rPr>
          <w:sz w:val="22"/>
          <w:szCs w:val="22"/>
        </w:rPr>
        <w:br/>
        <w:t>štatutárny orgán obce</w:t>
      </w:r>
    </w:p>
    <w:p w14:paraId="2A014A3D" w14:textId="77777777" w:rsidR="005346A6" w:rsidRPr="006D3D53" w:rsidRDefault="005F056C">
      <w:pPr>
        <w:pStyle w:val="Hlavikaalebopta0"/>
        <w:framePr w:wrap="none" w:vAnchor="page" w:hAnchor="page" w:x="5874" w:y="15927"/>
        <w:shd w:val="clear" w:color="auto" w:fill="auto"/>
        <w:rPr>
          <w:sz w:val="22"/>
          <w:szCs w:val="22"/>
        </w:rPr>
      </w:pPr>
      <w:r w:rsidRPr="006D3D53">
        <w:rPr>
          <w:sz w:val="22"/>
          <w:szCs w:val="22"/>
        </w:rPr>
        <w:t>5</w:t>
      </w:r>
    </w:p>
    <w:p w14:paraId="0E89CFAB" w14:textId="77777777" w:rsidR="005346A6" w:rsidRPr="006D3D53" w:rsidRDefault="005346A6">
      <w:pPr>
        <w:spacing w:line="1" w:lineRule="exact"/>
        <w:rPr>
          <w:sz w:val="22"/>
          <w:szCs w:val="22"/>
        </w:rPr>
      </w:pPr>
    </w:p>
    <w:sectPr w:rsidR="005346A6" w:rsidRPr="006D3D53">
      <w:pgSz w:w="11900" w:h="16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C04E4F" w14:textId="77777777" w:rsidR="007D6475" w:rsidRDefault="007D6475">
      <w:r>
        <w:separator/>
      </w:r>
    </w:p>
  </w:endnote>
  <w:endnote w:type="continuationSeparator" w:id="0">
    <w:p w14:paraId="200D470B" w14:textId="77777777" w:rsidR="007D6475" w:rsidRDefault="007D6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E08347" w14:textId="77777777" w:rsidR="007D6475" w:rsidRDefault="007D6475"/>
  </w:footnote>
  <w:footnote w:type="continuationSeparator" w:id="0">
    <w:p w14:paraId="5DFA1F5E" w14:textId="77777777" w:rsidR="007D6475" w:rsidRDefault="007D647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EB6F50"/>
    <w:multiLevelType w:val="multilevel"/>
    <w:tmpl w:val="488A34C0"/>
    <w:lvl w:ilvl="0">
      <w:start w:val="1"/>
      <w:numFmt w:val="bullet"/>
      <w:lvlText w:val="■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9998471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46A6"/>
    <w:rsid w:val="002650E4"/>
    <w:rsid w:val="00342E5C"/>
    <w:rsid w:val="005346A6"/>
    <w:rsid w:val="005F056C"/>
    <w:rsid w:val="006D3D53"/>
    <w:rsid w:val="007D6475"/>
    <w:rsid w:val="00836B59"/>
    <w:rsid w:val="00916DB0"/>
    <w:rsid w:val="009737A1"/>
    <w:rsid w:val="00CB0DF7"/>
    <w:rsid w:val="00FC2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5A742F"/>
  <w15:docId w15:val="{CC412F95-F9D5-4A33-AB96-8774E66E4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/>
      <w:bCs/>
      <w:i/>
      <w:iCs/>
      <w:smallCaps w:val="0"/>
      <w:strike w:val="0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line="360" w:lineRule="auto"/>
    </w:pPr>
    <w:rPr>
      <w:rFonts w:ascii="Arial" w:eastAsia="Arial" w:hAnsi="Arial" w:cs="Arial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b/>
      <w:bCs/>
      <w:i/>
      <w:iCs/>
    </w:rPr>
  </w:style>
  <w:style w:type="paragraph" w:customStyle="1" w:styleId="In0">
    <w:name w:val="Iné"/>
    <w:basedOn w:val="Normlny"/>
    <w:link w:val="In"/>
    <w:pPr>
      <w:shd w:val="clear" w:color="auto" w:fill="FFFFFF"/>
      <w:spacing w:line="360" w:lineRule="auto"/>
    </w:pPr>
    <w:rPr>
      <w:rFonts w:ascii="Arial" w:eastAsia="Arial" w:hAnsi="Arial" w:cs="Arial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</w:pPr>
    <w:rPr>
      <w:rFonts w:ascii="Calibri" w:eastAsia="Calibri" w:hAnsi="Calibri" w:cs="Calibr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1200</Words>
  <Characters>6840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8024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branicka</dc:creator>
  <cp:keywords/>
  <cp:lastModifiedBy>Katarina Kissova</cp:lastModifiedBy>
  <cp:revision>7</cp:revision>
  <dcterms:created xsi:type="dcterms:W3CDTF">2021-06-15T08:49:00Z</dcterms:created>
  <dcterms:modified xsi:type="dcterms:W3CDTF">2022-06-15T10:14:00Z</dcterms:modified>
</cp:coreProperties>
</file>