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0CB760" w14:textId="77777777" w:rsidR="00891191" w:rsidRPr="00DC7A4A" w:rsidRDefault="00891191" w:rsidP="0044403B">
      <w:pPr>
        <w:pStyle w:val="Default"/>
        <w:spacing w:line="259" w:lineRule="auto"/>
        <w:rPr>
          <w:rFonts w:asciiTheme="minorHAnsi" w:hAnsiTheme="minorHAnsi"/>
          <w:sz w:val="22"/>
          <w:szCs w:val="22"/>
        </w:rPr>
      </w:pPr>
    </w:p>
    <w:p w14:paraId="1CE3C3DB" w14:textId="77777777" w:rsidR="00891191" w:rsidRPr="00DC7A4A" w:rsidRDefault="00891191" w:rsidP="00891191">
      <w:pPr>
        <w:pStyle w:val="Default"/>
        <w:spacing w:line="259" w:lineRule="auto"/>
        <w:jc w:val="center"/>
        <w:rPr>
          <w:rFonts w:asciiTheme="minorHAnsi" w:hAnsiTheme="minorHAnsi"/>
          <w:sz w:val="28"/>
          <w:szCs w:val="28"/>
        </w:rPr>
      </w:pPr>
      <w:r w:rsidRPr="00DC7A4A">
        <w:rPr>
          <w:rFonts w:asciiTheme="minorHAnsi" w:hAnsiTheme="minorHAnsi"/>
          <w:b/>
          <w:bCs/>
          <w:sz w:val="28"/>
          <w:szCs w:val="28"/>
        </w:rPr>
        <w:t>Poznámky</w:t>
      </w:r>
    </w:p>
    <w:p w14:paraId="68DD6433" w14:textId="77777777" w:rsidR="00891191" w:rsidRPr="00DC7A4A" w:rsidRDefault="00891191" w:rsidP="00891191">
      <w:pPr>
        <w:pStyle w:val="Default"/>
        <w:spacing w:line="259" w:lineRule="auto"/>
        <w:jc w:val="center"/>
        <w:rPr>
          <w:rFonts w:asciiTheme="minorHAnsi" w:hAnsiTheme="minorHAnsi"/>
          <w:sz w:val="28"/>
          <w:szCs w:val="28"/>
        </w:rPr>
      </w:pPr>
      <w:r w:rsidRPr="00DC7A4A">
        <w:rPr>
          <w:rFonts w:asciiTheme="minorHAnsi" w:hAnsiTheme="minorHAnsi"/>
          <w:b/>
          <w:bCs/>
          <w:sz w:val="28"/>
          <w:szCs w:val="28"/>
        </w:rPr>
        <w:t>konsolidovanej účtovnej závierky obce Nálepkovo</w:t>
      </w:r>
    </w:p>
    <w:p w14:paraId="64468B05" w14:textId="16B44203" w:rsidR="00891191" w:rsidRPr="00DC7A4A" w:rsidRDefault="00E10AB3" w:rsidP="00891191">
      <w:pPr>
        <w:pStyle w:val="Default"/>
        <w:spacing w:line="259" w:lineRule="auto"/>
        <w:jc w:val="center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b/>
          <w:bCs/>
          <w:sz w:val="28"/>
          <w:szCs w:val="28"/>
        </w:rPr>
        <w:t>zostavenej k 31. decembru 202</w:t>
      </w:r>
      <w:r w:rsidR="00144012">
        <w:rPr>
          <w:rFonts w:asciiTheme="minorHAnsi" w:hAnsiTheme="minorHAnsi"/>
          <w:b/>
          <w:bCs/>
          <w:sz w:val="28"/>
          <w:szCs w:val="28"/>
        </w:rPr>
        <w:t>1</w:t>
      </w:r>
    </w:p>
    <w:p w14:paraId="015035E2" w14:textId="77777777" w:rsidR="00AE25ED" w:rsidRPr="00DC7A4A" w:rsidRDefault="00891191" w:rsidP="00AE25ED">
      <w:pPr>
        <w:pStyle w:val="Default"/>
        <w:spacing w:line="259" w:lineRule="auto"/>
        <w:jc w:val="center"/>
        <w:rPr>
          <w:rFonts w:asciiTheme="minorHAnsi" w:hAnsiTheme="minorHAnsi"/>
          <w:b/>
          <w:bCs/>
          <w:sz w:val="23"/>
          <w:szCs w:val="23"/>
        </w:rPr>
      </w:pPr>
      <w:r w:rsidRPr="00DC7A4A">
        <w:rPr>
          <w:rFonts w:asciiTheme="minorHAnsi" w:hAnsiTheme="minorHAnsi"/>
          <w:b/>
          <w:bCs/>
          <w:sz w:val="23"/>
          <w:szCs w:val="23"/>
        </w:rPr>
        <w:t>Č</w:t>
      </w:r>
      <w:r w:rsidR="00AE25ED" w:rsidRPr="00DC7A4A">
        <w:rPr>
          <w:rFonts w:asciiTheme="minorHAnsi" w:hAnsiTheme="minorHAnsi"/>
          <w:b/>
          <w:bCs/>
          <w:sz w:val="23"/>
          <w:szCs w:val="23"/>
        </w:rPr>
        <w:t>l. I</w:t>
      </w:r>
    </w:p>
    <w:p w14:paraId="7D2FC443" w14:textId="77777777" w:rsidR="00FD2FEC" w:rsidRPr="00DC7A4A" w:rsidRDefault="00891191" w:rsidP="00287BBE">
      <w:pPr>
        <w:pStyle w:val="Default"/>
        <w:spacing w:after="240" w:line="259" w:lineRule="auto"/>
        <w:jc w:val="center"/>
        <w:rPr>
          <w:rFonts w:asciiTheme="minorHAnsi" w:hAnsiTheme="minorHAnsi"/>
          <w:b/>
          <w:bCs/>
          <w:sz w:val="23"/>
          <w:szCs w:val="23"/>
        </w:rPr>
      </w:pPr>
      <w:r w:rsidRPr="00DC7A4A">
        <w:rPr>
          <w:rFonts w:asciiTheme="minorHAnsi" w:hAnsiTheme="minorHAnsi"/>
          <w:b/>
          <w:bCs/>
          <w:sz w:val="23"/>
          <w:szCs w:val="23"/>
        </w:rPr>
        <w:t xml:space="preserve"> Všeobecné údaje</w:t>
      </w:r>
    </w:p>
    <w:p w14:paraId="2C894224" w14:textId="77777777" w:rsidR="00FD2FEC" w:rsidRPr="004310BE" w:rsidRDefault="00891191" w:rsidP="004310BE">
      <w:pPr>
        <w:pStyle w:val="Default"/>
        <w:numPr>
          <w:ilvl w:val="0"/>
          <w:numId w:val="1"/>
        </w:numPr>
        <w:spacing w:after="120" w:line="259" w:lineRule="auto"/>
        <w:ind w:left="357" w:hanging="357"/>
        <w:rPr>
          <w:rFonts w:asciiTheme="minorHAnsi" w:hAnsiTheme="minorHAnsi"/>
          <w:b/>
          <w:bCs/>
          <w:sz w:val="22"/>
          <w:szCs w:val="22"/>
        </w:rPr>
      </w:pPr>
      <w:r w:rsidRPr="004310BE">
        <w:rPr>
          <w:rFonts w:asciiTheme="minorHAnsi" w:hAnsiTheme="minorHAnsi"/>
          <w:b/>
          <w:bCs/>
          <w:sz w:val="22"/>
          <w:szCs w:val="22"/>
        </w:rPr>
        <w:t xml:space="preserve">Identifikačné údaje o konsolidujúcej účtovnej jednotke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962"/>
        <w:gridCol w:w="4110"/>
      </w:tblGrid>
      <w:tr w:rsidR="00A71AD2" w:rsidRPr="00DC7A4A" w14:paraId="613A3319" w14:textId="77777777" w:rsidTr="00090C12">
        <w:trPr>
          <w:trHeight w:val="348"/>
        </w:trPr>
        <w:tc>
          <w:tcPr>
            <w:tcW w:w="4962" w:type="dxa"/>
            <w:vAlign w:val="center"/>
          </w:tcPr>
          <w:p w14:paraId="28BB3193" w14:textId="77777777" w:rsidR="00A71AD2" w:rsidRPr="00271863" w:rsidRDefault="00A71AD2" w:rsidP="00090C12">
            <w:pPr>
              <w:pStyle w:val="Default"/>
              <w:spacing w:after="60" w:line="259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271863">
              <w:rPr>
                <w:rFonts w:asciiTheme="minorHAnsi" w:hAnsiTheme="minorHAnsi" w:cs="Arial"/>
                <w:sz w:val="20"/>
                <w:szCs w:val="20"/>
              </w:rPr>
              <w:t>Názov konsolidujúcej účtovnej jednotky:</w:t>
            </w:r>
          </w:p>
        </w:tc>
        <w:tc>
          <w:tcPr>
            <w:tcW w:w="4110" w:type="dxa"/>
            <w:vAlign w:val="center"/>
          </w:tcPr>
          <w:p w14:paraId="3069ADB8" w14:textId="77777777" w:rsidR="00A71AD2" w:rsidRPr="00271863" w:rsidRDefault="00A71AD2" w:rsidP="00090C12">
            <w:pPr>
              <w:pStyle w:val="Default"/>
              <w:spacing w:after="60" w:line="259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271863">
              <w:rPr>
                <w:rFonts w:asciiTheme="minorHAnsi" w:hAnsiTheme="minorHAnsi" w:cs="Arial"/>
                <w:sz w:val="20"/>
                <w:szCs w:val="20"/>
              </w:rPr>
              <w:t>Obec Nálepkovo</w:t>
            </w:r>
          </w:p>
        </w:tc>
      </w:tr>
      <w:tr w:rsidR="00A71AD2" w:rsidRPr="00DC7A4A" w14:paraId="34109DBC" w14:textId="77777777" w:rsidTr="00090C12">
        <w:trPr>
          <w:trHeight w:val="348"/>
        </w:trPr>
        <w:tc>
          <w:tcPr>
            <w:tcW w:w="4962" w:type="dxa"/>
            <w:vAlign w:val="center"/>
          </w:tcPr>
          <w:p w14:paraId="10C73C52" w14:textId="77777777" w:rsidR="00A71AD2" w:rsidRPr="00271863" w:rsidRDefault="00A71AD2" w:rsidP="00090C12">
            <w:pPr>
              <w:pStyle w:val="Default"/>
              <w:spacing w:after="60" w:line="259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271863">
              <w:rPr>
                <w:rFonts w:asciiTheme="minorHAnsi" w:hAnsiTheme="minorHAnsi" w:cs="Arial"/>
                <w:sz w:val="20"/>
                <w:szCs w:val="20"/>
              </w:rPr>
              <w:t>IČO:</w:t>
            </w:r>
          </w:p>
        </w:tc>
        <w:tc>
          <w:tcPr>
            <w:tcW w:w="4110" w:type="dxa"/>
            <w:vAlign w:val="center"/>
          </w:tcPr>
          <w:p w14:paraId="4661E164" w14:textId="77777777" w:rsidR="00A71AD2" w:rsidRPr="00271863" w:rsidRDefault="00A71AD2" w:rsidP="00090C12">
            <w:pPr>
              <w:pStyle w:val="Default"/>
              <w:spacing w:after="60" w:line="259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271863">
              <w:rPr>
                <w:rFonts w:asciiTheme="minorHAnsi" w:hAnsiTheme="minorHAnsi" w:cs="Arial"/>
                <w:sz w:val="20"/>
                <w:szCs w:val="20"/>
              </w:rPr>
              <w:t>00329 398</w:t>
            </w:r>
          </w:p>
        </w:tc>
      </w:tr>
      <w:tr w:rsidR="00A71AD2" w:rsidRPr="00DC7A4A" w14:paraId="6EF2E02D" w14:textId="77777777" w:rsidTr="00090C12">
        <w:trPr>
          <w:trHeight w:val="348"/>
        </w:trPr>
        <w:tc>
          <w:tcPr>
            <w:tcW w:w="4962" w:type="dxa"/>
            <w:vAlign w:val="center"/>
          </w:tcPr>
          <w:p w14:paraId="7C7FF80E" w14:textId="77777777" w:rsidR="00A71AD2" w:rsidRPr="00271863" w:rsidRDefault="00A71AD2" w:rsidP="00090C12">
            <w:pPr>
              <w:pStyle w:val="Default"/>
              <w:spacing w:after="60" w:line="259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271863">
              <w:rPr>
                <w:rFonts w:asciiTheme="minorHAnsi" w:hAnsiTheme="minorHAnsi" w:cs="Arial"/>
                <w:sz w:val="20"/>
                <w:szCs w:val="20"/>
              </w:rPr>
              <w:t>Sídlo konsolidujúcej účtovnej jednotky:</w:t>
            </w:r>
          </w:p>
        </w:tc>
        <w:tc>
          <w:tcPr>
            <w:tcW w:w="4110" w:type="dxa"/>
            <w:vAlign w:val="center"/>
          </w:tcPr>
          <w:p w14:paraId="545C2B38" w14:textId="77777777" w:rsidR="00A71AD2" w:rsidRPr="00271863" w:rsidRDefault="00A71AD2" w:rsidP="00090C12">
            <w:pPr>
              <w:pStyle w:val="Default"/>
              <w:spacing w:after="60" w:line="259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271863">
              <w:rPr>
                <w:rFonts w:asciiTheme="minorHAnsi" w:hAnsiTheme="minorHAnsi" w:cs="Arial"/>
                <w:sz w:val="20"/>
                <w:szCs w:val="20"/>
              </w:rPr>
              <w:t>Nálepkovo</w:t>
            </w:r>
          </w:p>
        </w:tc>
      </w:tr>
      <w:tr w:rsidR="00086785" w:rsidRPr="00DC7A4A" w14:paraId="43678D72" w14:textId="77777777" w:rsidTr="00090C12">
        <w:trPr>
          <w:trHeight w:val="348"/>
        </w:trPr>
        <w:tc>
          <w:tcPr>
            <w:tcW w:w="4962" w:type="dxa"/>
            <w:vAlign w:val="center"/>
          </w:tcPr>
          <w:p w14:paraId="768F2092" w14:textId="77777777" w:rsidR="00086785" w:rsidRPr="00271863" w:rsidRDefault="00086785" w:rsidP="00090C12">
            <w:pPr>
              <w:pStyle w:val="Default"/>
              <w:spacing w:after="60" w:line="259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271863">
              <w:rPr>
                <w:rFonts w:asciiTheme="minorHAnsi" w:hAnsiTheme="minorHAnsi" w:cs="Arial"/>
                <w:sz w:val="20"/>
                <w:szCs w:val="20"/>
              </w:rPr>
              <w:t>Dátum založenia, vzniku konsolidujúcej účtovnej jednotky:</w:t>
            </w:r>
          </w:p>
        </w:tc>
        <w:tc>
          <w:tcPr>
            <w:tcW w:w="4110" w:type="dxa"/>
            <w:vAlign w:val="center"/>
          </w:tcPr>
          <w:p w14:paraId="6BE1758D" w14:textId="77777777" w:rsidR="00086785" w:rsidRPr="00271863" w:rsidRDefault="00086785" w:rsidP="00090C12">
            <w:pPr>
              <w:pStyle w:val="Default"/>
              <w:spacing w:after="60" w:line="259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271863">
              <w:rPr>
                <w:rFonts w:asciiTheme="minorHAnsi" w:hAnsiTheme="minorHAnsi" w:cs="Arial"/>
                <w:sz w:val="20"/>
                <w:szCs w:val="20"/>
              </w:rPr>
              <w:t>01.01.1990 Zákonom o obecnom zriadení</w:t>
            </w:r>
          </w:p>
        </w:tc>
      </w:tr>
    </w:tbl>
    <w:p w14:paraId="76AA258D" w14:textId="77777777" w:rsidR="00FD2FEC" w:rsidRPr="00DC7A4A" w:rsidRDefault="00FD2FEC" w:rsidP="006B1C95">
      <w:pPr>
        <w:pStyle w:val="Default"/>
        <w:spacing w:after="60" w:line="259" w:lineRule="auto"/>
        <w:rPr>
          <w:rFonts w:asciiTheme="minorHAnsi" w:hAnsiTheme="minorHAnsi" w:cs="Arial"/>
          <w:sz w:val="22"/>
          <w:szCs w:val="22"/>
        </w:rPr>
      </w:pPr>
    </w:p>
    <w:p w14:paraId="786F9BF0" w14:textId="77777777" w:rsidR="00891191" w:rsidRPr="00DC7A4A" w:rsidRDefault="00891191" w:rsidP="006B1C95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>Konsolidovaná účtovná závierka konsolidovaného celku obce Nálepkovo bola zostavená v súlade so zákonom č. 431/2002 Z. z. o účtovníctve v znení neskorších predpisov (ďalej len ,,zákon o účtovníctve“) a v súlade s Opatrením Ministerstva financií Slovenskej republiky zo dňa 17.</w:t>
      </w:r>
      <w:r w:rsidR="00B5281E">
        <w:rPr>
          <w:rFonts w:asciiTheme="minorHAnsi" w:hAnsiTheme="minorHAnsi" w:cs="Arial"/>
          <w:sz w:val="22"/>
          <w:szCs w:val="22"/>
        </w:rPr>
        <w:t xml:space="preserve"> decembra 2008 č. MF/27526/2008–</w:t>
      </w:r>
      <w:r w:rsidRPr="00DC7A4A">
        <w:rPr>
          <w:rFonts w:asciiTheme="minorHAnsi" w:hAnsiTheme="minorHAnsi" w:cs="Arial"/>
          <w:sz w:val="22"/>
          <w:szCs w:val="22"/>
        </w:rPr>
        <w:t>31, ktorým sa ustanovujú podrobnosti o metódach a postupoch konsolidácie vo verejnej správe a podrobnosti o usporiadaní a označovaní položiek konsolidovanej účtovnej závierky vo verejnej správe v znení neskorších predpisov.</w:t>
      </w:r>
    </w:p>
    <w:p w14:paraId="6CBE40FE" w14:textId="77777777" w:rsidR="00A71AD2" w:rsidRPr="004310BE" w:rsidRDefault="00891191" w:rsidP="004310BE">
      <w:pPr>
        <w:pStyle w:val="Default"/>
        <w:numPr>
          <w:ilvl w:val="0"/>
          <w:numId w:val="1"/>
        </w:numPr>
        <w:spacing w:before="240" w:after="120" w:line="259" w:lineRule="auto"/>
        <w:ind w:left="357" w:hanging="357"/>
        <w:rPr>
          <w:rFonts w:asciiTheme="minorHAnsi" w:hAnsiTheme="minorHAnsi"/>
          <w:b/>
          <w:bCs/>
          <w:sz w:val="22"/>
          <w:szCs w:val="22"/>
        </w:rPr>
      </w:pPr>
      <w:r w:rsidRPr="004310BE">
        <w:rPr>
          <w:rFonts w:asciiTheme="minorHAnsi" w:hAnsiTheme="minorHAnsi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Style w:val="Mriekatabuky"/>
        <w:tblW w:w="9052" w:type="dxa"/>
        <w:tblInd w:w="108" w:type="dxa"/>
        <w:tblLook w:val="04A0" w:firstRow="1" w:lastRow="0" w:firstColumn="1" w:lastColumn="0" w:noHBand="0" w:noVBand="1"/>
      </w:tblPr>
      <w:tblGrid>
        <w:gridCol w:w="4951"/>
        <w:gridCol w:w="4101"/>
      </w:tblGrid>
      <w:tr w:rsidR="00A71AD2" w:rsidRPr="00DC7A4A" w14:paraId="522176B7" w14:textId="77777777" w:rsidTr="00AE25ED">
        <w:trPr>
          <w:trHeight w:val="464"/>
        </w:trPr>
        <w:tc>
          <w:tcPr>
            <w:tcW w:w="4951" w:type="dxa"/>
            <w:vAlign w:val="center"/>
          </w:tcPr>
          <w:p w14:paraId="59D04563" w14:textId="77777777" w:rsidR="00A71AD2" w:rsidRPr="00271863" w:rsidRDefault="00A71AD2" w:rsidP="00287BBE">
            <w:pPr>
              <w:rPr>
                <w:b/>
                <w:sz w:val="20"/>
                <w:szCs w:val="20"/>
              </w:rPr>
            </w:pPr>
            <w:r w:rsidRPr="00271863">
              <w:rPr>
                <w:b/>
                <w:sz w:val="20"/>
                <w:szCs w:val="20"/>
              </w:rPr>
              <w:t xml:space="preserve">Starosta obce:                   </w:t>
            </w:r>
          </w:p>
        </w:tc>
        <w:tc>
          <w:tcPr>
            <w:tcW w:w="4101" w:type="dxa"/>
            <w:vAlign w:val="center"/>
          </w:tcPr>
          <w:p w14:paraId="2602BD36" w14:textId="77777777" w:rsidR="00A71AD2" w:rsidRPr="00271863" w:rsidRDefault="00A71AD2" w:rsidP="00287BBE">
            <w:pPr>
              <w:rPr>
                <w:b/>
                <w:sz w:val="20"/>
                <w:szCs w:val="20"/>
              </w:rPr>
            </w:pPr>
            <w:r w:rsidRPr="00271863">
              <w:rPr>
                <w:b/>
                <w:sz w:val="20"/>
                <w:szCs w:val="20"/>
              </w:rPr>
              <w:t xml:space="preserve">Ondrej </w:t>
            </w:r>
            <w:proofErr w:type="spellStart"/>
            <w:r w:rsidRPr="00271863">
              <w:rPr>
                <w:b/>
                <w:sz w:val="20"/>
                <w:szCs w:val="20"/>
              </w:rPr>
              <w:t>Klekner</w:t>
            </w:r>
            <w:proofErr w:type="spellEnd"/>
            <w:r w:rsidRPr="00271863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A71AD2" w:rsidRPr="00DC7A4A" w14:paraId="56BE372A" w14:textId="77777777" w:rsidTr="00AE25ED">
        <w:trPr>
          <w:trHeight w:val="395"/>
        </w:trPr>
        <w:tc>
          <w:tcPr>
            <w:tcW w:w="4951" w:type="dxa"/>
            <w:vAlign w:val="center"/>
          </w:tcPr>
          <w:p w14:paraId="68D429DD" w14:textId="77777777" w:rsidR="00A71AD2" w:rsidRPr="00271863" w:rsidRDefault="00A71AD2" w:rsidP="00287BBE">
            <w:pPr>
              <w:rPr>
                <w:sz w:val="20"/>
                <w:szCs w:val="20"/>
              </w:rPr>
            </w:pPr>
            <w:r w:rsidRPr="00271863">
              <w:rPr>
                <w:sz w:val="20"/>
                <w:szCs w:val="20"/>
              </w:rPr>
              <w:t>Zástupca starostu:</w:t>
            </w:r>
          </w:p>
        </w:tc>
        <w:tc>
          <w:tcPr>
            <w:tcW w:w="4101" w:type="dxa"/>
            <w:vAlign w:val="center"/>
          </w:tcPr>
          <w:p w14:paraId="2E56E5E4" w14:textId="77777777" w:rsidR="00A71AD2" w:rsidRPr="00271863" w:rsidRDefault="00A71AD2" w:rsidP="00287BBE">
            <w:pPr>
              <w:rPr>
                <w:sz w:val="20"/>
                <w:szCs w:val="20"/>
              </w:rPr>
            </w:pPr>
            <w:r w:rsidRPr="00271863">
              <w:rPr>
                <w:sz w:val="20"/>
                <w:szCs w:val="20"/>
              </w:rPr>
              <w:t xml:space="preserve">Jana </w:t>
            </w:r>
            <w:proofErr w:type="spellStart"/>
            <w:r w:rsidRPr="00271863">
              <w:rPr>
                <w:sz w:val="20"/>
                <w:szCs w:val="20"/>
              </w:rPr>
              <w:t>Pronská</w:t>
            </w:r>
            <w:proofErr w:type="spellEnd"/>
          </w:p>
        </w:tc>
      </w:tr>
      <w:tr w:rsidR="00A71AD2" w:rsidRPr="00DC7A4A" w14:paraId="23B923FF" w14:textId="77777777" w:rsidTr="00AE25ED">
        <w:trPr>
          <w:trHeight w:val="395"/>
        </w:trPr>
        <w:tc>
          <w:tcPr>
            <w:tcW w:w="4951" w:type="dxa"/>
            <w:vAlign w:val="center"/>
          </w:tcPr>
          <w:p w14:paraId="5A573035" w14:textId="77777777" w:rsidR="00A71AD2" w:rsidRPr="00271863" w:rsidRDefault="00A71AD2" w:rsidP="00287BBE">
            <w:pPr>
              <w:rPr>
                <w:sz w:val="20"/>
                <w:szCs w:val="20"/>
              </w:rPr>
            </w:pPr>
            <w:r w:rsidRPr="00271863">
              <w:rPr>
                <w:sz w:val="20"/>
                <w:szCs w:val="20"/>
              </w:rPr>
              <w:t>Hlavný kontrolór obce:</w:t>
            </w:r>
          </w:p>
        </w:tc>
        <w:tc>
          <w:tcPr>
            <w:tcW w:w="4101" w:type="dxa"/>
            <w:vAlign w:val="center"/>
          </w:tcPr>
          <w:p w14:paraId="5DE134F3" w14:textId="77777777" w:rsidR="00A71AD2" w:rsidRPr="00271863" w:rsidRDefault="00E10AB3" w:rsidP="00287BBE">
            <w:pPr>
              <w:rPr>
                <w:sz w:val="20"/>
                <w:szCs w:val="20"/>
              </w:rPr>
            </w:pPr>
            <w:r w:rsidRPr="00271863">
              <w:rPr>
                <w:sz w:val="20"/>
                <w:szCs w:val="20"/>
              </w:rPr>
              <w:t>Ing. Klaudia Baranová</w:t>
            </w:r>
          </w:p>
        </w:tc>
      </w:tr>
    </w:tbl>
    <w:p w14:paraId="10A6BFB0" w14:textId="77777777" w:rsidR="00FD2FEC" w:rsidRPr="00DC7A4A" w:rsidRDefault="00FD2FEC" w:rsidP="006B1C95">
      <w:pPr>
        <w:pStyle w:val="Default"/>
        <w:spacing w:after="60" w:line="259" w:lineRule="auto"/>
        <w:rPr>
          <w:rFonts w:asciiTheme="minorHAnsi" w:hAnsiTheme="minorHAnsi" w:cs="Arial"/>
          <w:sz w:val="22"/>
          <w:szCs w:val="22"/>
        </w:rPr>
      </w:pPr>
    </w:p>
    <w:p w14:paraId="68147271" w14:textId="77777777" w:rsidR="00FD2FEC" w:rsidRPr="00DC7A4A" w:rsidRDefault="00891191" w:rsidP="004310BE">
      <w:pPr>
        <w:pStyle w:val="Default"/>
        <w:numPr>
          <w:ilvl w:val="0"/>
          <w:numId w:val="1"/>
        </w:numPr>
        <w:spacing w:before="120" w:after="120" w:line="259" w:lineRule="auto"/>
        <w:ind w:left="357" w:hanging="357"/>
        <w:rPr>
          <w:rFonts w:asciiTheme="minorHAnsi" w:hAnsiTheme="minorHAnsi"/>
          <w:b/>
          <w:bCs/>
          <w:sz w:val="23"/>
          <w:szCs w:val="23"/>
        </w:rPr>
      </w:pPr>
      <w:r w:rsidRPr="00DC7A4A">
        <w:rPr>
          <w:rFonts w:asciiTheme="minorHAnsi" w:hAnsiTheme="minorHAnsi"/>
          <w:b/>
          <w:bCs/>
          <w:sz w:val="23"/>
          <w:szCs w:val="23"/>
        </w:rPr>
        <w:t xml:space="preserve">Informácie o konsolidovanom celku </w:t>
      </w:r>
    </w:p>
    <w:p w14:paraId="73773908" w14:textId="77777777" w:rsidR="00FD2FEC" w:rsidRPr="00DC7A4A" w:rsidRDefault="00891191" w:rsidP="00B57D1A">
      <w:pPr>
        <w:pStyle w:val="Default"/>
        <w:spacing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Identifikačné údaje všetkých účtovných jednotiek konsolidovaného celku obce Nálepkovo sú uvedené v tabuľkovej časti </w:t>
      </w:r>
      <w:r w:rsidRPr="00AF7EB0">
        <w:rPr>
          <w:rFonts w:asciiTheme="minorHAnsi" w:hAnsiTheme="minorHAnsi" w:cs="Arial"/>
          <w:b/>
          <w:color w:val="0000FF"/>
          <w:sz w:val="22"/>
          <w:szCs w:val="22"/>
        </w:rPr>
        <w:t>(tabuľka č. 1)</w:t>
      </w:r>
      <w:r w:rsidRPr="00982E00">
        <w:rPr>
          <w:rFonts w:asciiTheme="minorHAnsi" w:hAnsiTheme="minorHAnsi" w:cs="Arial"/>
          <w:b/>
          <w:sz w:val="22"/>
          <w:szCs w:val="22"/>
        </w:rPr>
        <w:t xml:space="preserve"> </w:t>
      </w:r>
      <w:r w:rsidRPr="00DC7A4A">
        <w:rPr>
          <w:rFonts w:asciiTheme="minorHAnsi" w:hAnsiTheme="minorHAnsi" w:cs="Arial"/>
          <w:sz w:val="22"/>
          <w:szCs w:val="22"/>
        </w:rPr>
        <w:t xml:space="preserve">poznámok konsolidovanej účtovnej závierky. </w:t>
      </w:r>
    </w:p>
    <w:p w14:paraId="3FD3DBE5" w14:textId="77777777" w:rsidR="00FD2FEC" w:rsidRDefault="00891191" w:rsidP="004310BE">
      <w:pPr>
        <w:pStyle w:val="Default"/>
        <w:numPr>
          <w:ilvl w:val="0"/>
          <w:numId w:val="1"/>
        </w:numPr>
        <w:spacing w:before="120" w:after="120" w:line="259" w:lineRule="auto"/>
        <w:ind w:left="357" w:hanging="357"/>
        <w:rPr>
          <w:rFonts w:asciiTheme="minorHAnsi" w:hAnsiTheme="minorHAnsi"/>
          <w:b/>
          <w:bCs/>
          <w:sz w:val="23"/>
          <w:szCs w:val="23"/>
        </w:rPr>
      </w:pPr>
      <w:r w:rsidRPr="00DC7A4A">
        <w:rPr>
          <w:rFonts w:asciiTheme="minorHAnsi" w:hAnsiTheme="minorHAnsi"/>
          <w:b/>
          <w:bCs/>
          <w:sz w:val="23"/>
          <w:szCs w:val="23"/>
        </w:rPr>
        <w:t>Informácie o zame</w:t>
      </w:r>
      <w:r w:rsidR="007C4E54">
        <w:rPr>
          <w:rFonts w:asciiTheme="minorHAnsi" w:hAnsiTheme="minorHAnsi"/>
          <w:b/>
          <w:bCs/>
          <w:sz w:val="23"/>
          <w:szCs w:val="23"/>
        </w:rPr>
        <w:t>stnancoch konsolidovaného celku</w:t>
      </w:r>
    </w:p>
    <w:p w14:paraId="3DA7C0ED" w14:textId="180FFD19" w:rsidR="007C4E54" w:rsidRPr="00CA2E3B" w:rsidRDefault="007C4E54" w:rsidP="003F1B6B">
      <w:pPr>
        <w:pStyle w:val="Default"/>
        <w:spacing w:line="259" w:lineRule="auto"/>
        <w:rPr>
          <w:rFonts w:asciiTheme="minorHAnsi" w:hAnsiTheme="minorHAnsi" w:cstheme="minorHAnsi"/>
          <w:sz w:val="22"/>
          <w:szCs w:val="22"/>
        </w:rPr>
      </w:pPr>
      <w:r w:rsidRPr="00CA2E3B">
        <w:rPr>
          <w:rFonts w:asciiTheme="minorHAnsi" w:hAnsiTheme="minorHAnsi" w:cstheme="minorHAnsi"/>
          <w:sz w:val="22"/>
          <w:szCs w:val="22"/>
        </w:rPr>
        <w:t>Priemerný počet zamestnancov konsolidovaného celku počas účtovného obdobia 20</w:t>
      </w:r>
      <w:r w:rsidR="00144012">
        <w:rPr>
          <w:rFonts w:asciiTheme="minorHAnsi" w:hAnsiTheme="minorHAnsi" w:cstheme="minorHAnsi"/>
          <w:sz w:val="22"/>
          <w:szCs w:val="22"/>
        </w:rPr>
        <w:t>20</w:t>
      </w:r>
    </w:p>
    <w:p w14:paraId="67A10AAE" w14:textId="1BEA6409" w:rsidR="007C4E54" w:rsidRPr="00144012" w:rsidRDefault="007C4E54" w:rsidP="00144012">
      <w:pPr>
        <w:pStyle w:val="Default"/>
        <w:spacing w:after="60" w:line="259" w:lineRule="auto"/>
        <w:rPr>
          <w:rFonts w:asciiTheme="minorHAnsi" w:hAnsiTheme="minorHAnsi" w:cstheme="minorHAnsi"/>
          <w:color w:val="auto"/>
          <w:sz w:val="22"/>
          <w:szCs w:val="22"/>
        </w:rPr>
      </w:pPr>
      <w:r w:rsidRPr="00CA2E3B">
        <w:rPr>
          <w:rFonts w:asciiTheme="minorHAnsi" w:hAnsiTheme="minorHAnsi" w:cstheme="minorHAnsi"/>
          <w:sz w:val="22"/>
          <w:szCs w:val="22"/>
        </w:rPr>
        <w:t xml:space="preserve"> - </w:t>
      </w:r>
      <w:r w:rsidR="00144012" w:rsidRPr="00CA2E3B">
        <w:rPr>
          <w:rFonts w:asciiTheme="minorHAnsi" w:hAnsiTheme="minorHAnsi" w:cstheme="minorHAnsi"/>
          <w:color w:val="auto"/>
          <w:sz w:val="22"/>
          <w:szCs w:val="22"/>
        </w:rPr>
        <w:t xml:space="preserve">167 z toho 11 vedúcich pracovníkov </w:t>
      </w:r>
    </w:p>
    <w:p w14:paraId="28239319" w14:textId="1C8E5B85" w:rsidR="00891191" w:rsidRPr="00CA2E3B" w:rsidRDefault="00891191" w:rsidP="006B1C95">
      <w:pPr>
        <w:pStyle w:val="Default"/>
        <w:spacing w:line="259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CA2E3B">
        <w:rPr>
          <w:rFonts w:asciiTheme="minorHAnsi" w:hAnsiTheme="minorHAnsi" w:cstheme="minorHAnsi"/>
          <w:sz w:val="22"/>
          <w:szCs w:val="22"/>
        </w:rPr>
        <w:t>Priemerný počet zamestnancov konsolidovaného c</w:t>
      </w:r>
      <w:r w:rsidR="000A6A9C" w:rsidRPr="00CA2E3B">
        <w:rPr>
          <w:rFonts w:asciiTheme="minorHAnsi" w:hAnsiTheme="minorHAnsi" w:cstheme="minorHAnsi"/>
          <w:sz w:val="22"/>
          <w:szCs w:val="22"/>
        </w:rPr>
        <w:t>elku počas účtovného obdobia 202</w:t>
      </w:r>
      <w:r w:rsidR="00144012">
        <w:rPr>
          <w:rFonts w:asciiTheme="minorHAnsi" w:hAnsiTheme="minorHAnsi" w:cstheme="minorHAnsi"/>
          <w:sz w:val="22"/>
          <w:szCs w:val="22"/>
        </w:rPr>
        <w:t>1</w:t>
      </w:r>
    </w:p>
    <w:p w14:paraId="77CEF068" w14:textId="77777777" w:rsidR="00891191" w:rsidRPr="006211C1" w:rsidRDefault="00891191" w:rsidP="006B1C95">
      <w:pPr>
        <w:pStyle w:val="Default"/>
        <w:spacing w:after="60" w:line="259" w:lineRule="auto"/>
        <w:rPr>
          <w:rFonts w:asciiTheme="minorHAnsi" w:hAnsiTheme="minorHAnsi"/>
          <w:b/>
          <w:bCs/>
          <w:sz w:val="23"/>
          <w:szCs w:val="23"/>
        </w:rPr>
      </w:pPr>
      <w:r w:rsidRPr="006211C1">
        <w:rPr>
          <w:rFonts w:asciiTheme="minorHAnsi" w:hAnsiTheme="minorHAnsi" w:cstheme="minorHAnsi"/>
          <w:color w:val="auto"/>
          <w:sz w:val="22"/>
          <w:szCs w:val="22"/>
        </w:rPr>
        <w:t xml:space="preserve">- </w:t>
      </w:r>
      <w:r w:rsidR="008E7AA1" w:rsidRPr="006211C1">
        <w:rPr>
          <w:rFonts w:asciiTheme="minorHAnsi" w:hAnsiTheme="minorHAnsi" w:cstheme="minorHAnsi"/>
          <w:color w:val="auto"/>
          <w:sz w:val="22"/>
          <w:szCs w:val="22"/>
        </w:rPr>
        <w:t>167</w:t>
      </w:r>
      <w:r w:rsidR="00723A1C" w:rsidRPr="006211C1">
        <w:rPr>
          <w:rFonts w:asciiTheme="minorHAnsi" w:hAnsiTheme="minorHAnsi" w:cstheme="minorHAnsi"/>
          <w:color w:val="auto"/>
          <w:sz w:val="22"/>
          <w:szCs w:val="22"/>
        </w:rPr>
        <w:t xml:space="preserve"> z toho </w:t>
      </w:r>
      <w:r w:rsidR="008E7AA1" w:rsidRPr="006211C1">
        <w:rPr>
          <w:rFonts w:asciiTheme="minorHAnsi" w:hAnsiTheme="minorHAnsi" w:cstheme="minorHAnsi"/>
          <w:color w:val="auto"/>
          <w:sz w:val="22"/>
          <w:szCs w:val="22"/>
        </w:rPr>
        <w:t>11</w:t>
      </w:r>
      <w:r w:rsidRPr="006211C1">
        <w:rPr>
          <w:rFonts w:asciiTheme="minorHAnsi" w:hAnsiTheme="minorHAnsi" w:cstheme="minorHAnsi"/>
          <w:color w:val="auto"/>
          <w:sz w:val="22"/>
          <w:szCs w:val="22"/>
        </w:rPr>
        <w:t xml:space="preserve"> vedúcich pracovníkov</w:t>
      </w:r>
      <w:r w:rsidRPr="006211C1">
        <w:rPr>
          <w:rFonts w:asciiTheme="minorHAnsi" w:hAnsiTheme="minorHAnsi"/>
          <w:b/>
          <w:bCs/>
          <w:sz w:val="23"/>
          <w:szCs w:val="23"/>
        </w:rPr>
        <w:t xml:space="preserve"> </w:t>
      </w:r>
    </w:p>
    <w:p w14:paraId="58E9CD2D" w14:textId="77777777" w:rsidR="00FD2FEC" w:rsidRPr="00DC7A4A" w:rsidRDefault="00891191" w:rsidP="004310BE">
      <w:pPr>
        <w:pStyle w:val="Default"/>
        <w:numPr>
          <w:ilvl w:val="0"/>
          <w:numId w:val="1"/>
        </w:numPr>
        <w:spacing w:before="120" w:after="120" w:line="259" w:lineRule="auto"/>
        <w:ind w:left="357" w:hanging="357"/>
        <w:rPr>
          <w:rFonts w:asciiTheme="minorHAnsi" w:hAnsiTheme="minorHAnsi"/>
          <w:b/>
          <w:bCs/>
          <w:sz w:val="23"/>
          <w:szCs w:val="23"/>
        </w:rPr>
      </w:pPr>
      <w:r w:rsidRPr="00DC7A4A">
        <w:rPr>
          <w:rFonts w:asciiTheme="minorHAnsi" w:hAnsiTheme="minorHAnsi"/>
          <w:b/>
          <w:bCs/>
          <w:sz w:val="23"/>
          <w:szCs w:val="23"/>
        </w:rPr>
        <w:t xml:space="preserve">Informácie o účtovných zásadách a účtovných metódach </w:t>
      </w:r>
    </w:p>
    <w:p w14:paraId="1C7119E1" w14:textId="77777777" w:rsidR="00891191" w:rsidRPr="00DC7A4A" w:rsidRDefault="00891191" w:rsidP="00C25CD9">
      <w:pPr>
        <w:pStyle w:val="Default"/>
        <w:spacing w:after="60" w:line="259" w:lineRule="auto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b/>
          <w:bCs/>
          <w:sz w:val="22"/>
          <w:szCs w:val="22"/>
        </w:rPr>
        <w:t xml:space="preserve">a) Dlhodobý nehmotný a dlhodobý hmotný majetok </w:t>
      </w:r>
    </w:p>
    <w:p w14:paraId="39FAA11C" w14:textId="77777777" w:rsidR="00891191" w:rsidRPr="00DC7A4A" w:rsidRDefault="00891191" w:rsidP="00C25CD9">
      <w:pPr>
        <w:spacing w:after="60" w:line="259" w:lineRule="auto"/>
        <w:jc w:val="both"/>
      </w:pPr>
      <w:r w:rsidRPr="00DC7A4A">
        <w:t xml:space="preserve">Dlhodobý majetok obstaraný kúpou sa oceňuje obstarávacou cenou, ktorá zahrňuje cenu obstarania a náklady súvisiace s obstaraním (clo, prepravu, montáž, poistné a pod.). Súčasťou obstarávacej ceny dlhodobého hmotného a nehmotného majetku nie sú/sú úroky z úverov (podľa rozhodnutia účtovnej jednotky). Zľava z ceny, ktorú poskytol dodávateľ k majetku </w:t>
      </w:r>
      <w:r w:rsidR="006B1C95" w:rsidRPr="00DC7A4A">
        <w:t xml:space="preserve">sa účtuje ako zníženie nákladov </w:t>
      </w:r>
      <w:r w:rsidRPr="00DC7A4A">
        <w:t xml:space="preserve">napredaný alebo spotrebovaný majetok. </w:t>
      </w:r>
    </w:p>
    <w:p w14:paraId="5F0376E0" w14:textId="77777777" w:rsidR="00891191" w:rsidRPr="00DC7A4A" w:rsidRDefault="00891191" w:rsidP="00C25CD9">
      <w:pPr>
        <w:spacing w:after="60" w:line="259" w:lineRule="auto"/>
        <w:jc w:val="both"/>
      </w:pPr>
      <w:r w:rsidRPr="00DC7A4A">
        <w:lastRenderedPageBreak/>
        <w:t xml:space="preserve">Hodnota obstarávaného dlhodobého hmotného majetku, ktorý sa používa, sa trvalo zníži o oprávky, ktoré zodpovedajú výške opotrebenia majetku. </w:t>
      </w:r>
    </w:p>
    <w:p w14:paraId="22F46910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O opravných položkách sa účtuje v prípade prechodného zníženia hodnoty majetku ku dňu, ku ktorému sa zostavuje účtovná závierka. </w:t>
      </w:r>
    </w:p>
    <w:p w14:paraId="156F3DB1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Dlhodobý majetok vytvorený vlastnou činnosťou sa oceňuje vlastnými nákladmi. Za vlastné sa považujú všetky priame náklady vynaložené na výrobu alebo inú činnosť a všetky nepriame náklady vzťahujúce sa na výrobu alebo inú činnosť. </w:t>
      </w:r>
    </w:p>
    <w:p w14:paraId="679E6F96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Dlhodobý majetok nadobudnutý bezodplatným prevodom pri splynutí, zlúčení, rozdelení alebo pri prevode správy sa oceňuje cenou, v ktorej sa doteraz viedol v účtovníctve. Ak cenu nie je možné zistiť, oceňuje sa reprodukčnou obstarávacou cenou. Dlhodobý nehmotný a hmotný majetok obstaraný iným spôsobom (napr. bezodplatne nadobudnutý majetok, delimitovaný, novo zistený majetok pri inventarizácii) sa oceňuje reprodukčnou obstarávacou cenou, t.j. cenou, za ktorú by sa majetok obstaral v čase, keď sa o ňom účtuje. </w:t>
      </w:r>
    </w:p>
    <w:p w14:paraId="442BC7DA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Dlhodobý nehmotný majetok a dlhodobý hmotný majetok odpisovaný sa odpisuje podľa odpisového plánu, ktorý bol zostavený na základe predpokladanej doby jeho používania a predpokladaného priebehu jeho morálneho a fyzického opotrebenia. Účtovná jednotka odpisuje majetok na základe zákona o účtovníctve a účtuje o účtovných odpisoch. </w:t>
      </w:r>
    </w:p>
    <w:p w14:paraId="5E9EC16C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b/>
          <w:bCs/>
          <w:sz w:val="22"/>
          <w:szCs w:val="22"/>
        </w:rPr>
        <w:t xml:space="preserve">b) Dlhodobý finančný majetok </w:t>
      </w:r>
    </w:p>
    <w:p w14:paraId="0B6F342A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Finančné investície, cenné papiere a majetkové účasti sa oceňujú obstarávacou cenou, vrátane nákladov súvisiacich s obstaraním (provízie maklérom, poplatky burze). </w:t>
      </w:r>
    </w:p>
    <w:p w14:paraId="4430E043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b/>
          <w:bCs/>
          <w:sz w:val="22"/>
          <w:szCs w:val="22"/>
        </w:rPr>
        <w:t xml:space="preserve">c) Zásoby </w:t>
      </w:r>
    </w:p>
    <w:p w14:paraId="22183C3D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 </w:t>
      </w:r>
    </w:p>
    <w:p w14:paraId="16CBB818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Zásoby vytvorené vlastnou činnosťou sa oceňujú vlastnými nákladmi. Toto ocenenie sa upravuje o zníženie hodnoty zásob. </w:t>
      </w:r>
    </w:p>
    <w:p w14:paraId="20623295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b/>
          <w:bCs/>
          <w:sz w:val="22"/>
          <w:szCs w:val="22"/>
        </w:rPr>
        <w:t xml:space="preserve">d) Pohľadávky </w:t>
      </w:r>
    </w:p>
    <w:p w14:paraId="723B4B01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Pohľadávky pri ich vzniku sa oceňujú menovitou hodnotou. Pohľadávky pri odplatnom nadobudnutí alebo pohľadávky nadobudnuté vkladom do základného imania sa oceňujú obstarávacou cenou, t.j. vrátane nákladov súvisiacich s obstaraním. </w:t>
      </w:r>
    </w:p>
    <w:p w14:paraId="67B94D23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Opravná položka sa vytvára napr. k pohľadávkam po splatnosti a nedobytným pohľadávkam, kde existuje riziko nevymožiteľnosti pohľadávok. </w:t>
      </w:r>
    </w:p>
    <w:p w14:paraId="4AD12795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b/>
          <w:bCs/>
          <w:sz w:val="22"/>
          <w:szCs w:val="22"/>
        </w:rPr>
        <w:t xml:space="preserve">e) Finančné účty </w:t>
      </w:r>
    </w:p>
    <w:p w14:paraId="54E8603C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Peňažné prostriedky a ceniny sa oceňujú menovitou hodnotou. </w:t>
      </w:r>
    </w:p>
    <w:p w14:paraId="71C0C738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b/>
          <w:bCs/>
          <w:sz w:val="22"/>
          <w:szCs w:val="22"/>
        </w:rPr>
        <w:t xml:space="preserve">f) Náklady budúcich období a príjmy budúcich období </w:t>
      </w:r>
    </w:p>
    <w:p w14:paraId="55A8A04E" w14:textId="2496D5F7" w:rsidR="00271863" w:rsidRPr="00DC7A4A" w:rsidRDefault="00891191" w:rsidP="00C25CD9">
      <w:pPr>
        <w:spacing w:after="60" w:line="259" w:lineRule="auto"/>
      </w:pPr>
      <w:r w:rsidRPr="00DC7A4A">
        <w:t xml:space="preserve">Náklady budúcich období a príjmy budúcich období sú vykázané vo výške, ktorá je potrebná na dodržanie zásady vecnej a časovej súvislosti s účtovným obdobím. </w:t>
      </w:r>
    </w:p>
    <w:p w14:paraId="411AA7DA" w14:textId="77777777" w:rsidR="004310BE" w:rsidRDefault="00891191" w:rsidP="004310BE">
      <w:pPr>
        <w:spacing w:after="60" w:line="259" w:lineRule="auto"/>
        <w:rPr>
          <w:b/>
        </w:rPr>
      </w:pPr>
      <w:r w:rsidRPr="00DC7A4A">
        <w:rPr>
          <w:b/>
        </w:rPr>
        <w:t xml:space="preserve">g) Rezervy </w:t>
      </w:r>
    </w:p>
    <w:p w14:paraId="36A63608" w14:textId="58E0B47A" w:rsidR="0078163A" w:rsidRDefault="00891191" w:rsidP="004310BE">
      <w:pPr>
        <w:spacing w:after="60" w:line="259" w:lineRule="auto"/>
        <w:jc w:val="both"/>
      </w:pPr>
      <w:r w:rsidRPr="00DC7A4A">
        <w:t xml:space="preserve">Rezervy sú záväzky s neurčitým časovým vymedzením alebo výškou a oceňujú sa v očakávanej výške záväzku. V účtovnej závierke sa tvorili rezervy najmä na nevyfakturované dodávky a služby, mzdy za dovolenku zamestnancov vrátane sociálneho a zdravotného poistenia, súdne spory a podobne. </w:t>
      </w:r>
    </w:p>
    <w:p w14:paraId="3F788C3B" w14:textId="77777777" w:rsidR="00AA2AE2" w:rsidRPr="00271863" w:rsidRDefault="00AA2AE2" w:rsidP="004310BE">
      <w:pPr>
        <w:spacing w:after="60" w:line="259" w:lineRule="auto"/>
        <w:jc w:val="both"/>
      </w:pPr>
    </w:p>
    <w:p w14:paraId="21739099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b/>
          <w:bCs/>
          <w:sz w:val="22"/>
          <w:szCs w:val="22"/>
        </w:rPr>
        <w:lastRenderedPageBreak/>
        <w:t xml:space="preserve">h) Záväzky </w:t>
      </w:r>
    </w:p>
    <w:p w14:paraId="697F0031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>Záväzky sa pri ich vzniku oceňujú menovitou hodnotou a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 xml:space="preserve">pri ich prevzatí sa oceňujú obstarávacou cenou. </w:t>
      </w:r>
    </w:p>
    <w:p w14:paraId="483743FF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>Ak sa pri inventarizácii zistí, že suma záväzkov je iná ako ich výška v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účtovníctve, uvedú sa záväzky v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účtovníctve a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v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účtovnej závierke v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 xml:space="preserve">tomto zistenom ocenení. </w:t>
      </w:r>
    </w:p>
    <w:p w14:paraId="0B387292" w14:textId="77777777" w:rsidR="00891191" w:rsidRPr="00DC7A4A" w:rsidRDefault="00891191" w:rsidP="0078163A">
      <w:pPr>
        <w:pStyle w:val="Default"/>
        <w:numPr>
          <w:ilvl w:val="0"/>
          <w:numId w:val="5"/>
        </w:numPr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b/>
          <w:bCs/>
          <w:sz w:val="22"/>
          <w:szCs w:val="22"/>
        </w:rPr>
        <w:t>Výdavky budúcich období a</w:t>
      </w:r>
      <w:r w:rsidR="0078163A">
        <w:rPr>
          <w:rFonts w:asciiTheme="minorHAnsi" w:hAnsiTheme="minorHAnsi" w:cs="Arial"/>
          <w:b/>
          <w:bCs/>
          <w:sz w:val="22"/>
          <w:szCs w:val="22"/>
        </w:rPr>
        <w:t> </w:t>
      </w:r>
      <w:r w:rsidRPr="00DC7A4A">
        <w:rPr>
          <w:rFonts w:asciiTheme="minorHAnsi" w:hAnsiTheme="minorHAnsi" w:cs="Arial"/>
          <w:b/>
          <w:bCs/>
          <w:sz w:val="22"/>
          <w:szCs w:val="22"/>
        </w:rPr>
        <w:t xml:space="preserve">výnosy budúcich období </w:t>
      </w:r>
    </w:p>
    <w:p w14:paraId="0F8FF1DB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>Výdavky budúcich období a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výnosy budúcich období sú vykázané vo výške, ktorá je potrebná na dodržanie zásady vecnej a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časovej súvislosti s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 xml:space="preserve">účtovným obdobím. </w:t>
      </w:r>
    </w:p>
    <w:p w14:paraId="203E157C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b/>
          <w:bCs/>
          <w:sz w:val="22"/>
          <w:szCs w:val="22"/>
        </w:rPr>
        <w:t xml:space="preserve">j) Cudzia mena </w:t>
      </w:r>
    </w:p>
    <w:p w14:paraId="08CAEEFF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>Majetok a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záväzky vyjadrené v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cudzej mene sa prepočítavajú na slovenskú menu euro referenčným výmenným kurzom určeným a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vyhláseným Európskou centrálnou bankou alebo Národnou bankou Slovenska v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deň predchádzajúci dňu uskutočnenia účtovného prípadu alebo v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iný deň, ak to ustanovuje osobitný predpis, resp. v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 xml:space="preserve">deň, ku ktorému sa zostavuje účtovná závierka. </w:t>
      </w:r>
    </w:p>
    <w:p w14:paraId="6C3F61E9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b/>
          <w:bCs/>
          <w:sz w:val="22"/>
          <w:szCs w:val="22"/>
        </w:rPr>
        <w:t xml:space="preserve">k) Zásady pre vykazovanie transferov </w:t>
      </w:r>
    </w:p>
    <w:p w14:paraId="569C071A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>O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nároku na dotácie zo štátneho rozpočtu sa účtuje, ak je takmer isté, že sa splnia všetky podmienky súvisiace s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dotáciou a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 xml:space="preserve">súčasne, že sa dotácia poskytne. </w:t>
      </w:r>
    </w:p>
    <w:p w14:paraId="3AC95A2B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Bežný transfer od cudzích subjektov </w:t>
      </w:r>
      <w:r w:rsidR="0078163A">
        <w:rPr>
          <w:rFonts w:asciiTheme="minorHAnsi" w:hAnsiTheme="minorHAnsi" w:cs="Arial"/>
          <w:sz w:val="22"/>
          <w:szCs w:val="22"/>
        </w:rPr>
        <w:t>–</w:t>
      </w:r>
      <w:r w:rsidRPr="00DC7A4A">
        <w:rPr>
          <w:rFonts w:asciiTheme="minorHAnsi" w:hAnsiTheme="minorHAnsi" w:cs="Arial"/>
          <w:sz w:val="22"/>
          <w:szCs w:val="22"/>
        </w:rPr>
        <w:t xml:space="preserve"> sa zúčtuje do výnosov vo vecnej a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časovej súvislosti s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 xml:space="preserve">nákladmi. </w:t>
      </w:r>
    </w:p>
    <w:p w14:paraId="599508C6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Bežný transfer od zriaďovateľa </w:t>
      </w:r>
      <w:r w:rsidR="0078163A">
        <w:rPr>
          <w:rFonts w:asciiTheme="minorHAnsi" w:hAnsiTheme="minorHAnsi" w:cs="Arial"/>
          <w:sz w:val="22"/>
          <w:szCs w:val="22"/>
        </w:rPr>
        <w:t>–</w:t>
      </w:r>
      <w:r w:rsidRPr="00DC7A4A">
        <w:rPr>
          <w:rFonts w:asciiTheme="minorHAnsi" w:hAnsiTheme="minorHAnsi" w:cs="Arial"/>
          <w:sz w:val="22"/>
          <w:szCs w:val="22"/>
        </w:rPr>
        <w:t xml:space="preserve"> sa zúčtuje do výnosov vo vecnej a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časovej súvislosti s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 xml:space="preserve">výdavkami. </w:t>
      </w:r>
    </w:p>
    <w:p w14:paraId="457E7603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Kapitálový transfer od cudzích subjektov </w:t>
      </w:r>
      <w:r w:rsidR="0078163A">
        <w:rPr>
          <w:rFonts w:asciiTheme="minorHAnsi" w:hAnsiTheme="minorHAnsi" w:cs="Arial"/>
          <w:sz w:val="22"/>
          <w:szCs w:val="22"/>
        </w:rPr>
        <w:t>–</w:t>
      </w:r>
      <w:r w:rsidRPr="00DC7A4A">
        <w:rPr>
          <w:rFonts w:asciiTheme="minorHAnsi" w:hAnsiTheme="minorHAnsi" w:cs="Arial"/>
          <w:sz w:val="22"/>
          <w:szCs w:val="22"/>
        </w:rPr>
        <w:t xml:space="preserve"> sa zúčtuje do výnosov vo vecnej a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časovej súvislosti s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nákladmi (napr. s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odpismi, s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 xml:space="preserve">opravnou položkou, so zostatkovou hodnotou vyradeného dlhodobého majetku). </w:t>
      </w:r>
    </w:p>
    <w:p w14:paraId="1F822204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Kapitálový transfer od zriaďovateľa </w:t>
      </w:r>
      <w:r w:rsidR="0078163A">
        <w:rPr>
          <w:rFonts w:asciiTheme="minorHAnsi" w:hAnsiTheme="minorHAnsi" w:cs="Arial"/>
          <w:sz w:val="22"/>
          <w:szCs w:val="22"/>
        </w:rPr>
        <w:t>–</w:t>
      </w:r>
      <w:r w:rsidRPr="00DC7A4A">
        <w:rPr>
          <w:rFonts w:asciiTheme="minorHAnsi" w:hAnsiTheme="minorHAnsi" w:cs="Arial"/>
          <w:sz w:val="22"/>
          <w:szCs w:val="22"/>
        </w:rPr>
        <w:t xml:space="preserve"> sa zúčtuje do výnosov vo vecnej a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časovej súvislosti s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nákladmi (napr. s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odpismi, s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 xml:space="preserve">opravnou položkou, so zostatkovou hodnotou vyradeného dlhodobého majetku). </w:t>
      </w:r>
    </w:p>
    <w:p w14:paraId="5E5FAD85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b/>
          <w:bCs/>
          <w:sz w:val="22"/>
          <w:szCs w:val="22"/>
        </w:rPr>
        <w:t xml:space="preserve">l) Výnosy </w:t>
      </w:r>
    </w:p>
    <w:p w14:paraId="1790BEC1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>Tržby za vlastné výkony a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tovar neobsahujú daň z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pridanej hodnoty. Sú tiež znížené o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zľavy a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zrážky (rabaty, bonusy, skontá, dobropisy a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pod.) bez ohľadu na to, či zákazník mal vopred na zľavu nárok, alebo či ide o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 xml:space="preserve">dodatočne uznanú zľavu. Tržby sú účtované ku dňu splnenia dodávky alebo služby. </w:t>
      </w:r>
    </w:p>
    <w:p w14:paraId="3E3870CC" w14:textId="0EA87A18" w:rsidR="00271863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>O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výnosoch z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poplatkov sa účtuje v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časovej a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>vecnej súvislosti s</w:t>
      </w:r>
      <w:r w:rsidR="0078163A">
        <w:rPr>
          <w:rFonts w:asciiTheme="minorHAnsi" w:hAnsiTheme="minorHAnsi" w:cs="Arial"/>
          <w:sz w:val="22"/>
          <w:szCs w:val="22"/>
        </w:rPr>
        <w:t> </w:t>
      </w:r>
      <w:r w:rsidRPr="00DC7A4A">
        <w:rPr>
          <w:rFonts w:asciiTheme="minorHAnsi" w:hAnsiTheme="minorHAnsi" w:cs="Arial"/>
          <w:sz w:val="22"/>
          <w:szCs w:val="22"/>
        </w:rPr>
        <w:t xml:space="preserve">vyrubením poplatkov (ak je účtovná jednotka výbercom poplatkov). </w:t>
      </w:r>
    </w:p>
    <w:p w14:paraId="164C24DE" w14:textId="77777777" w:rsidR="00271863" w:rsidRPr="00DC7A4A" w:rsidRDefault="00271863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</w:p>
    <w:p w14:paraId="022F1B90" w14:textId="77777777" w:rsidR="00AE25ED" w:rsidRPr="00DC7A4A" w:rsidRDefault="00891191" w:rsidP="00AE25ED">
      <w:pPr>
        <w:pStyle w:val="Default"/>
        <w:spacing w:before="240" w:line="259" w:lineRule="auto"/>
        <w:jc w:val="center"/>
        <w:rPr>
          <w:rFonts w:asciiTheme="minorHAnsi" w:hAnsiTheme="minorHAnsi"/>
          <w:b/>
          <w:bCs/>
          <w:sz w:val="23"/>
          <w:szCs w:val="23"/>
        </w:rPr>
      </w:pPr>
      <w:r w:rsidRPr="00DC7A4A">
        <w:rPr>
          <w:rFonts w:asciiTheme="minorHAnsi" w:hAnsiTheme="minorHAnsi"/>
          <w:b/>
          <w:bCs/>
          <w:sz w:val="23"/>
          <w:szCs w:val="23"/>
        </w:rPr>
        <w:t>Čl. II</w:t>
      </w:r>
    </w:p>
    <w:p w14:paraId="64411EA7" w14:textId="77777777" w:rsidR="00FD2FEC" w:rsidRPr="00DC7A4A" w:rsidRDefault="00891191" w:rsidP="00AE25ED">
      <w:pPr>
        <w:pStyle w:val="Default"/>
        <w:spacing w:after="240" w:line="259" w:lineRule="auto"/>
        <w:jc w:val="center"/>
        <w:rPr>
          <w:rFonts w:asciiTheme="minorHAnsi" w:hAnsiTheme="minorHAnsi"/>
          <w:b/>
          <w:bCs/>
          <w:sz w:val="23"/>
          <w:szCs w:val="23"/>
        </w:rPr>
      </w:pPr>
      <w:r w:rsidRPr="00DC7A4A">
        <w:rPr>
          <w:rFonts w:asciiTheme="minorHAnsi" w:hAnsiTheme="minorHAnsi"/>
          <w:b/>
          <w:bCs/>
          <w:sz w:val="23"/>
          <w:szCs w:val="23"/>
        </w:rPr>
        <w:t xml:space="preserve"> Informácie o</w:t>
      </w:r>
      <w:r w:rsidR="0078163A">
        <w:rPr>
          <w:rFonts w:asciiTheme="minorHAnsi" w:hAnsiTheme="minorHAnsi"/>
          <w:b/>
          <w:bCs/>
          <w:sz w:val="23"/>
          <w:szCs w:val="23"/>
        </w:rPr>
        <w:t> </w:t>
      </w:r>
      <w:r w:rsidRPr="00DC7A4A">
        <w:rPr>
          <w:rFonts w:asciiTheme="minorHAnsi" w:hAnsiTheme="minorHAnsi"/>
          <w:b/>
          <w:bCs/>
          <w:sz w:val="23"/>
          <w:szCs w:val="23"/>
        </w:rPr>
        <w:t>metódach a</w:t>
      </w:r>
      <w:r w:rsidR="0078163A">
        <w:rPr>
          <w:rFonts w:asciiTheme="minorHAnsi" w:hAnsiTheme="minorHAnsi"/>
          <w:b/>
          <w:bCs/>
          <w:sz w:val="23"/>
          <w:szCs w:val="23"/>
        </w:rPr>
        <w:t> </w:t>
      </w:r>
      <w:r w:rsidRPr="00DC7A4A">
        <w:rPr>
          <w:rFonts w:asciiTheme="minorHAnsi" w:hAnsiTheme="minorHAnsi"/>
          <w:b/>
          <w:bCs/>
          <w:sz w:val="23"/>
          <w:szCs w:val="23"/>
        </w:rPr>
        <w:t>postupoch konsolidácie</w:t>
      </w:r>
    </w:p>
    <w:p w14:paraId="3141E77B" w14:textId="77777777" w:rsidR="00FD2FEC" w:rsidRPr="00DC7A4A" w:rsidRDefault="00891191" w:rsidP="00FD2FEC">
      <w:pPr>
        <w:pStyle w:val="Default"/>
        <w:numPr>
          <w:ilvl w:val="0"/>
          <w:numId w:val="2"/>
        </w:numPr>
        <w:spacing w:line="259" w:lineRule="auto"/>
        <w:rPr>
          <w:rFonts w:asciiTheme="minorHAnsi" w:hAnsiTheme="minorHAnsi" w:cs="Arial"/>
          <w:b/>
          <w:bCs/>
          <w:sz w:val="22"/>
          <w:szCs w:val="22"/>
        </w:rPr>
      </w:pPr>
      <w:r w:rsidRPr="00DC7A4A">
        <w:rPr>
          <w:rFonts w:asciiTheme="minorHAnsi" w:hAnsiTheme="minorHAnsi" w:cs="Arial"/>
          <w:b/>
          <w:bCs/>
          <w:sz w:val="22"/>
          <w:szCs w:val="22"/>
        </w:rPr>
        <w:t>Informácie o</w:t>
      </w:r>
      <w:r w:rsidR="0078163A">
        <w:rPr>
          <w:rFonts w:asciiTheme="minorHAnsi" w:hAnsiTheme="minorHAnsi" w:cs="Arial"/>
          <w:b/>
          <w:bCs/>
          <w:sz w:val="22"/>
          <w:szCs w:val="22"/>
        </w:rPr>
        <w:t> </w:t>
      </w:r>
      <w:r w:rsidRPr="00DC7A4A">
        <w:rPr>
          <w:rFonts w:asciiTheme="minorHAnsi" w:hAnsiTheme="minorHAnsi" w:cs="Arial"/>
          <w:b/>
          <w:bCs/>
          <w:sz w:val="22"/>
          <w:szCs w:val="22"/>
        </w:rPr>
        <w:t xml:space="preserve">použitých metódach konsolidácie </w:t>
      </w:r>
    </w:p>
    <w:p w14:paraId="485A18FF" w14:textId="77777777" w:rsidR="00891191" w:rsidRPr="00DC7A4A" w:rsidRDefault="00891191" w:rsidP="00C25CD9">
      <w:pPr>
        <w:pStyle w:val="Default"/>
        <w:spacing w:after="60" w:line="259" w:lineRule="auto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Účtovné jednotky konsolidovaného celku obce Nálepkovo boli zahrnuté do konsolidovanej účtovnej závierky: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845"/>
        <w:gridCol w:w="1850"/>
        <w:gridCol w:w="1676"/>
        <w:gridCol w:w="1560"/>
      </w:tblGrid>
      <w:tr w:rsidR="00A716B6" w:rsidRPr="00DC7A4A" w14:paraId="045F8B2F" w14:textId="77777777" w:rsidTr="0078163A">
        <w:trPr>
          <w:trHeight w:val="501"/>
        </w:trPr>
        <w:tc>
          <w:tcPr>
            <w:tcW w:w="3845" w:type="dxa"/>
            <w:vAlign w:val="center"/>
          </w:tcPr>
          <w:p w14:paraId="437DDB22" w14:textId="77777777" w:rsidR="00A716B6" w:rsidRPr="00DC7A4A" w:rsidRDefault="00A716B6" w:rsidP="0078163A">
            <w:pPr>
              <w:autoSpaceDE w:val="0"/>
              <w:autoSpaceDN w:val="0"/>
              <w:adjustRightInd w:val="0"/>
              <w:jc w:val="center"/>
              <w:rPr>
                <w:rFonts w:cs="Tahoma"/>
                <w:b/>
                <w:sz w:val="20"/>
                <w:szCs w:val="20"/>
              </w:rPr>
            </w:pPr>
            <w:r w:rsidRPr="00DC7A4A">
              <w:rPr>
                <w:rFonts w:cs="Tahoma"/>
                <w:b/>
                <w:sz w:val="20"/>
                <w:szCs w:val="20"/>
              </w:rPr>
              <w:t>Názov resp. obchodné</w:t>
            </w:r>
            <w:r w:rsidR="00F62921" w:rsidRPr="00DC7A4A">
              <w:rPr>
                <w:rFonts w:cs="Tahoma"/>
                <w:b/>
                <w:sz w:val="20"/>
                <w:szCs w:val="20"/>
              </w:rPr>
              <w:t xml:space="preserve"> </w:t>
            </w:r>
            <w:r w:rsidRPr="00DC7A4A">
              <w:rPr>
                <w:rFonts w:cs="Tahoma"/>
                <w:b/>
                <w:sz w:val="20"/>
                <w:szCs w:val="20"/>
              </w:rPr>
              <w:t>meno</w:t>
            </w:r>
            <w:r w:rsidR="00F62921" w:rsidRPr="00DC7A4A">
              <w:rPr>
                <w:b/>
                <w:sz w:val="20"/>
                <w:szCs w:val="20"/>
              </w:rPr>
              <w:t xml:space="preserve"> </w:t>
            </w:r>
            <w:r w:rsidRPr="00DC7A4A">
              <w:rPr>
                <w:rFonts w:cs="Tahoma"/>
                <w:b/>
                <w:sz w:val="20"/>
                <w:szCs w:val="20"/>
              </w:rPr>
              <w:t>konsolidovanej úč</w:t>
            </w:r>
            <w:r w:rsidR="00F62921" w:rsidRPr="00DC7A4A">
              <w:rPr>
                <w:b/>
                <w:sz w:val="20"/>
                <w:szCs w:val="20"/>
              </w:rPr>
              <w:t xml:space="preserve">tovnej </w:t>
            </w:r>
            <w:r w:rsidRPr="00DC7A4A">
              <w:rPr>
                <w:rFonts w:cs="Tahoma"/>
                <w:b/>
                <w:sz w:val="20"/>
                <w:szCs w:val="20"/>
              </w:rPr>
              <w:t>jednotky</w:t>
            </w:r>
          </w:p>
        </w:tc>
        <w:tc>
          <w:tcPr>
            <w:tcW w:w="1850" w:type="dxa"/>
            <w:vAlign w:val="center"/>
          </w:tcPr>
          <w:p w14:paraId="4E4C81CA" w14:textId="77777777" w:rsidR="00A716B6" w:rsidRPr="00DC7A4A" w:rsidRDefault="00A716B6" w:rsidP="0078163A">
            <w:pPr>
              <w:autoSpaceDE w:val="0"/>
              <w:autoSpaceDN w:val="0"/>
              <w:adjustRightInd w:val="0"/>
              <w:jc w:val="center"/>
              <w:rPr>
                <w:rFonts w:cs="Tahoma"/>
                <w:b/>
                <w:sz w:val="20"/>
                <w:szCs w:val="20"/>
              </w:rPr>
            </w:pPr>
            <w:r w:rsidRPr="00DC7A4A">
              <w:rPr>
                <w:rFonts w:cs="Tahoma"/>
                <w:b/>
                <w:sz w:val="20"/>
                <w:szCs w:val="20"/>
              </w:rPr>
              <w:t>Metóda</w:t>
            </w:r>
            <w:r w:rsidR="00F62921" w:rsidRPr="00DC7A4A">
              <w:rPr>
                <w:rFonts w:cs="Tahoma"/>
                <w:b/>
                <w:sz w:val="20"/>
                <w:szCs w:val="20"/>
              </w:rPr>
              <w:t xml:space="preserve"> </w:t>
            </w:r>
            <w:r w:rsidRPr="00DC7A4A">
              <w:rPr>
                <w:rFonts w:cs="Tahoma"/>
                <w:b/>
                <w:sz w:val="20"/>
                <w:szCs w:val="20"/>
              </w:rPr>
              <w:t>úplnej</w:t>
            </w:r>
            <w:r w:rsidR="00F62921" w:rsidRPr="00DC7A4A">
              <w:rPr>
                <w:rFonts w:cs="Tahoma"/>
                <w:b/>
                <w:sz w:val="20"/>
                <w:szCs w:val="20"/>
              </w:rPr>
              <w:t xml:space="preserve"> </w:t>
            </w:r>
            <w:r w:rsidRPr="00DC7A4A">
              <w:rPr>
                <w:rFonts w:cs="Tahoma"/>
                <w:b/>
                <w:sz w:val="20"/>
                <w:szCs w:val="20"/>
              </w:rPr>
              <w:t>konsolidácie</w:t>
            </w:r>
          </w:p>
        </w:tc>
        <w:tc>
          <w:tcPr>
            <w:tcW w:w="1676" w:type="dxa"/>
            <w:vAlign w:val="center"/>
          </w:tcPr>
          <w:p w14:paraId="681C0570" w14:textId="77777777" w:rsidR="00A716B6" w:rsidRPr="00DC7A4A" w:rsidRDefault="00A716B6" w:rsidP="0078163A">
            <w:pPr>
              <w:autoSpaceDE w:val="0"/>
              <w:autoSpaceDN w:val="0"/>
              <w:adjustRightInd w:val="0"/>
              <w:jc w:val="center"/>
              <w:rPr>
                <w:rFonts w:cs="Tahoma"/>
                <w:b/>
                <w:sz w:val="20"/>
                <w:szCs w:val="20"/>
              </w:rPr>
            </w:pPr>
            <w:r w:rsidRPr="00DC7A4A">
              <w:rPr>
                <w:rFonts w:cs="Tahoma"/>
                <w:b/>
                <w:sz w:val="20"/>
                <w:szCs w:val="20"/>
              </w:rPr>
              <w:t>Metóda</w:t>
            </w:r>
            <w:r w:rsidR="00F62921" w:rsidRPr="00DC7A4A">
              <w:rPr>
                <w:rFonts w:cs="Tahoma"/>
                <w:b/>
                <w:sz w:val="20"/>
                <w:szCs w:val="20"/>
              </w:rPr>
              <w:t xml:space="preserve"> podielovej </w:t>
            </w:r>
            <w:r w:rsidRPr="00DC7A4A">
              <w:rPr>
                <w:rFonts w:cs="Tahoma"/>
                <w:b/>
                <w:sz w:val="20"/>
                <w:szCs w:val="20"/>
              </w:rPr>
              <w:t>konsolidácie</w:t>
            </w:r>
          </w:p>
        </w:tc>
        <w:tc>
          <w:tcPr>
            <w:tcW w:w="1560" w:type="dxa"/>
            <w:vAlign w:val="center"/>
          </w:tcPr>
          <w:p w14:paraId="1609787A" w14:textId="77777777" w:rsidR="00A716B6" w:rsidRPr="00DC7A4A" w:rsidRDefault="00F62921" w:rsidP="0078163A">
            <w:pPr>
              <w:autoSpaceDE w:val="0"/>
              <w:autoSpaceDN w:val="0"/>
              <w:adjustRightInd w:val="0"/>
              <w:jc w:val="center"/>
              <w:rPr>
                <w:rFonts w:cs="Tahoma"/>
                <w:b/>
                <w:sz w:val="20"/>
                <w:szCs w:val="20"/>
              </w:rPr>
            </w:pPr>
            <w:r w:rsidRPr="00DC7A4A">
              <w:rPr>
                <w:rFonts w:cs="Tahoma"/>
                <w:b/>
                <w:sz w:val="20"/>
                <w:szCs w:val="20"/>
              </w:rPr>
              <w:t>Metóda vlastného imania</w:t>
            </w:r>
          </w:p>
        </w:tc>
      </w:tr>
      <w:tr w:rsidR="00A716B6" w:rsidRPr="00DC7A4A" w14:paraId="55198A9F" w14:textId="77777777" w:rsidTr="0078163A">
        <w:trPr>
          <w:trHeight w:val="406"/>
        </w:trPr>
        <w:tc>
          <w:tcPr>
            <w:tcW w:w="3845" w:type="dxa"/>
            <w:vAlign w:val="center"/>
          </w:tcPr>
          <w:p w14:paraId="606B39A7" w14:textId="77777777" w:rsidR="00A716B6" w:rsidRPr="00DC7A4A" w:rsidRDefault="00F62921" w:rsidP="0078163A">
            <w:pPr>
              <w:pStyle w:val="Default"/>
              <w:spacing w:after="60" w:line="259" w:lineRule="auto"/>
              <w:rPr>
                <w:rFonts w:asciiTheme="minorHAnsi" w:hAnsiTheme="minorHAnsi" w:cs="Arial"/>
                <w:sz w:val="20"/>
                <w:szCs w:val="20"/>
              </w:rPr>
            </w:pPr>
            <w:proofErr w:type="spellStart"/>
            <w:r w:rsidRPr="00DC7A4A">
              <w:rPr>
                <w:rFonts w:asciiTheme="minorHAnsi" w:hAnsiTheme="minorHAnsi" w:cs="Arial"/>
                <w:sz w:val="20"/>
                <w:szCs w:val="20"/>
              </w:rPr>
              <w:t>ZŠsMŠ</w:t>
            </w:r>
            <w:proofErr w:type="spellEnd"/>
            <w:r w:rsidRPr="00DC7A4A">
              <w:rPr>
                <w:rFonts w:asciiTheme="minorHAnsi" w:hAnsiTheme="minorHAnsi" w:cs="Arial"/>
                <w:sz w:val="20"/>
                <w:szCs w:val="20"/>
              </w:rPr>
              <w:t xml:space="preserve"> Nálepkovo</w:t>
            </w:r>
          </w:p>
        </w:tc>
        <w:tc>
          <w:tcPr>
            <w:tcW w:w="1850" w:type="dxa"/>
            <w:vAlign w:val="center"/>
          </w:tcPr>
          <w:p w14:paraId="0C8FA29F" w14:textId="77777777" w:rsidR="00A716B6" w:rsidRPr="00DC7A4A" w:rsidRDefault="00F62921" w:rsidP="0078163A">
            <w:pPr>
              <w:pStyle w:val="Default"/>
              <w:spacing w:after="60" w:line="259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DC7A4A">
              <w:rPr>
                <w:rFonts w:asciiTheme="minorHAnsi" w:hAnsiTheme="minorHAnsi" w:cs="Arial"/>
                <w:sz w:val="20"/>
                <w:szCs w:val="20"/>
              </w:rPr>
              <w:t>Áno</w:t>
            </w:r>
          </w:p>
        </w:tc>
        <w:tc>
          <w:tcPr>
            <w:tcW w:w="1676" w:type="dxa"/>
            <w:vAlign w:val="center"/>
          </w:tcPr>
          <w:p w14:paraId="7D5E7743" w14:textId="77777777" w:rsidR="00A716B6" w:rsidRPr="00DC7A4A" w:rsidRDefault="0078163A" w:rsidP="0078163A">
            <w:pPr>
              <w:pStyle w:val="Default"/>
              <w:spacing w:after="60" w:line="259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-</w:t>
            </w:r>
          </w:p>
        </w:tc>
        <w:tc>
          <w:tcPr>
            <w:tcW w:w="1560" w:type="dxa"/>
            <w:vAlign w:val="center"/>
          </w:tcPr>
          <w:p w14:paraId="2C124CD0" w14:textId="77777777" w:rsidR="00A716B6" w:rsidRPr="00DC7A4A" w:rsidRDefault="0078163A" w:rsidP="0078163A">
            <w:pPr>
              <w:pStyle w:val="Default"/>
              <w:spacing w:after="60" w:line="259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-</w:t>
            </w:r>
          </w:p>
        </w:tc>
      </w:tr>
      <w:tr w:rsidR="00A716B6" w:rsidRPr="00DC7A4A" w14:paraId="5A3091E0" w14:textId="77777777" w:rsidTr="0078163A">
        <w:trPr>
          <w:trHeight w:val="406"/>
        </w:trPr>
        <w:tc>
          <w:tcPr>
            <w:tcW w:w="3845" w:type="dxa"/>
            <w:vAlign w:val="center"/>
          </w:tcPr>
          <w:p w14:paraId="4FE7E567" w14:textId="77777777" w:rsidR="00A716B6" w:rsidRPr="00DC7A4A" w:rsidRDefault="00F62921" w:rsidP="0078163A">
            <w:pPr>
              <w:pStyle w:val="Default"/>
              <w:spacing w:after="60" w:line="259" w:lineRule="auto"/>
              <w:rPr>
                <w:rFonts w:asciiTheme="minorHAnsi" w:hAnsiTheme="minorHAnsi" w:cs="Arial"/>
                <w:sz w:val="20"/>
                <w:szCs w:val="20"/>
              </w:rPr>
            </w:pPr>
            <w:r w:rsidRPr="00DC7A4A">
              <w:rPr>
                <w:rFonts w:asciiTheme="minorHAnsi" w:hAnsiTheme="minorHAnsi" w:cs="Arial"/>
                <w:sz w:val="20"/>
                <w:szCs w:val="20"/>
              </w:rPr>
              <w:t>Lesy obce Nálepkovo, s.r.o.</w:t>
            </w:r>
          </w:p>
        </w:tc>
        <w:tc>
          <w:tcPr>
            <w:tcW w:w="1850" w:type="dxa"/>
            <w:vAlign w:val="center"/>
          </w:tcPr>
          <w:p w14:paraId="0E5892FD" w14:textId="77777777" w:rsidR="00A716B6" w:rsidRPr="00DC7A4A" w:rsidRDefault="00F62921" w:rsidP="0078163A">
            <w:pPr>
              <w:pStyle w:val="Default"/>
              <w:spacing w:after="60" w:line="259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 w:rsidRPr="00DC7A4A">
              <w:rPr>
                <w:rFonts w:asciiTheme="minorHAnsi" w:hAnsiTheme="minorHAnsi" w:cs="Arial"/>
                <w:sz w:val="20"/>
                <w:szCs w:val="20"/>
              </w:rPr>
              <w:t>Áno</w:t>
            </w:r>
          </w:p>
        </w:tc>
        <w:tc>
          <w:tcPr>
            <w:tcW w:w="1676" w:type="dxa"/>
            <w:vAlign w:val="center"/>
          </w:tcPr>
          <w:p w14:paraId="770B9CF8" w14:textId="77777777" w:rsidR="00A716B6" w:rsidRPr="00DC7A4A" w:rsidRDefault="0078163A" w:rsidP="0078163A">
            <w:pPr>
              <w:pStyle w:val="Default"/>
              <w:spacing w:after="60" w:line="259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-</w:t>
            </w:r>
          </w:p>
        </w:tc>
        <w:tc>
          <w:tcPr>
            <w:tcW w:w="1560" w:type="dxa"/>
            <w:vAlign w:val="center"/>
          </w:tcPr>
          <w:p w14:paraId="1391C49E" w14:textId="77777777" w:rsidR="00A716B6" w:rsidRPr="00DC7A4A" w:rsidRDefault="0078163A" w:rsidP="0078163A">
            <w:pPr>
              <w:pStyle w:val="Default"/>
              <w:spacing w:after="60" w:line="259" w:lineRule="auto"/>
              <w:jc w:val="center"/>
              <w:rPr>
                <w:rFonts w:asciiTheme="minorHAnsi" w:hAnsiTheme="minorHAnsi" w:cs="Arial"/>
                <w:sz w:val="20"/>
                <w:szCs w:val="20"/>
              </w:rPr>
            </w:pPr>
            <w:r>
              <w:rPr>
                <w:rFonts w:asciiTheme="minorHAnsi" w:hAnsiTheme="minorHAnsi" w:cs="Arial"/>
                <w:sz w:val="20"/>
                <w:szCs w:val="20"/>
              </w:rPr>
              <w:t>-</w:t>
            </w:r>
          </w:p>
        </w:tc>
      </w:tr>
    </w:tbl>
    <w:p w14:paraId="14592C39" w14:textId="77777777" w:rsidR="00A716B6" w:rsidRPr="00DC7A4A" w:rsidRDefault="00A716B6" w:rsidP="00C25CD9">
      <w:pPr>
        <w:pStyle w:val="Default"/>
        <w:spacing w:after="60" w:line="259" w:lineRule="auto"/>
        <w:rPr>
          <w:rFonts w:asciiTheme="minorHAnsi" w:hAnsiTheme="minorHAnsi" w:cs="Arial"/>
          <w:sz w:val="22"/>
          <w:szCs w:val="22"/>
        </w:rPr>
      </w:pPr>
    </w:p>
    <w:p w14:paraId="3C02451F" w14:textId="77777777" w:rsidR="00891191" w:rsidRPr="00DC7A4A" w:rsidRDefault="00891191" w:rsidP="00C25CD9">
      <w:pPr>
        <w:spacing w:after="60" w:line="259" w:lineRule="auto"/>
      </w:pPr>
      <w:r w:rsidRPr="00DC7A4A">
        <w:lastRenderedPageBreak/>
        <w:t xml:space="preserve">Metóda úplnej konsolidácie bola použitá pri dcérskych účtovných jednotkách, metóda vlastného imania bola použitá pri pridružených účtovných jednotkách. </w:t>
      </w:r>
    </w:p>
    <w:p w14:paraId="3E229BDD" w14:textId="77777777" w:rsidR="00891191" w:rsidRPr="00DC7A4A" w:rsidRDefault="00891191" w:rsidP="00C25CD9">
      <w:pPr>
        <w:spacing w:after="60" w:line="259" w:lineRule="auto"/>
        <w:rPr>
          <w:u w:val="single"/>
        </w:rPr>
      </w:pPr>
      <w:r w:rsidRPr="00DC7A4A">
        <w:rPr>
          <w:u w:val="single"/>
        </w:rPr>
        <w:t xml:space="preserve">Moment prvej konsolidácie kapitálu: </w:t>
      </w:r>
    </w:p>
    <w:p w14:paraId="50C252D0" w14:textId="77777777" w:rsidR="00891191" w:rsidRPr="00DC7A4A" w:rsidRDefault="00891191" w:rsidP="002158CC">
      <w:pPr>
        <w:spacing w:after="0" w:line="259" w:lineRule="auto"/>
      </w:pPr>
      <w:r w:rsidRPr="00DC7A4A">
        <w:t xml:space="preserve">- Pri rozpočtových organizáciách je to deň zriadenia </w:t>
      </w:r>
    </w:p>
    <w:p w14:paraId="49EFD41F" w14:textId="77777777" w:rsidR="00891191" w:rsidRPr="00DC7A4A" w:rsidRDefault="00891191" w:rsidP="002158CC">
      <w:pPr>
        <w:spacing w:after="0" w:line="259" w:lineRule="auto"/>
      </w:pPr>
      <w:r w:rsidRPr="00DC7A4A">
        <w:t xml:space="preserve">- Pri obchodných spoločnostiach je to deň obstarania podielov. </w:t>
      </w:r>
    </w:p>
    <w:p w14:paraId="10A98BF2" w14:textId="77777777" w:rsidR="00891191" w:rsidRPr="00DC7A4A" w:rsidRDefault="00891191" w:rsidP="002158CC">
      <w:pPr>
        <w:spacing w:before="120" w:after="0" w:line="259" w:lineRule="auto"/>
        <w:rPr>
          <w:b/>
        </w:rPr>
      </w:pPr>
      <w:r w:rsidRPr="00DC7A4A">
        <w:rPr>
          <w:b/>
        </w:rPr>
        <w:t xml:space="preserve">2. </w:t>
      </w:r>
      <w:proofErr w:type="spellStart"/>
      <w:r w:rsidRPr="00DC7A4A">
        <w:rPr>
          <w:b/>
        </w:rPr>
        <w:t>Goodwill</w:t>
      </w:r>
      <w:proofErr w:type="spellEnd"/>
      <w:r w:rsidRPr="00DC7A4A">
        <w:rPr>
          <w:b/>
        </w:rPr>
        <w:t xml:space="preserve">/záporný </w:t>
      </w:r>
      <w:proofErr w:type="spellStart"/>
      <w:r w:rsidRPr="00DC7A4A">
        <w:rPr>
          <w:b/>
        </w:rPr>
        <w:t>goodwil</w:t>
      </w:r>
      <w:proofErr w:type="spellEnd"/>
      <w:r w:rsidRPr="00DC7A4A">
        <w:rPr>
          <w:b/>
        </w:rPr>
        <w:t xml:space="preserve"> </w:t>
      </w:r>
    </w:p>
    <w:p w14:paraId="536A7EDB" w14:textId="77777777" w:rsidR="00891191" w:rsidRPr="00DC7A4A" w:rsidRDefault="00891191" w:rsidP="00497E97">
      <w:pPr>
        <w:spacing w:after="120" w:line="259" w:lineRule="auto"/>
      </w:pPr>
      <w:proofErr w:type="spellStart"/>
      <w:r w:rsidRPr="00DC7A4A">
        <w:t>Goodwille</w:t>
      </w:r>
      <w:proofErr w:type="spellEnd"/>
      <w:r w:rsidRPr="00DC7A4A">
        <w:t xml:space="preserve"> v konsolidovanej účtovnej jednotke nevznikol. </w:t>
      </w:r>
    </w:p>
    <w:p w14:paraId="37917D63" w14:textId="5B1764D8" w:rsidR="00891191" w:rsidRPr="00144012" w:rsidRDefault="00891191" w:rsidP="00144012">
      <w:pPr>
        <w:pStyle w:val="Odsekzoznamu"/>
        <w:numPr>
          <w:ilvl w:val="0"/>
          <w:numId w:val="2"/>
        </w:numPr>
        <w:spacing w:after="0" w:line="259" w:lineRule="auto"/>
        <w:rPr>
          <w:b/>
        </w:rPr>
      </w:pPr>
      <w:r w:rsidRPr="00144012">
        <w:rPr>
          <w:b/>
        </w:rPr>
        <w:t xml:space="preserve">Konsolidácia medzivýsledku </w:t>
      </w:r>
    </w:p>
    <w:p w14:paraId="58A8B43D" w14:textId="77777777" w:rsidR="00144012" w:rsidRPr="00144012" w:rsidRDefault="00144012" w:rsidP="00144012">
      <w:pPr>
        <w:spacing w:after="0" w:line="259" w:lineRule="auto"/>
        <w:rPr>
          <w:b/>
        </w:rPr>
      </w:pPr>
    </w:p>
    <w:p w14:paraId="5CDB1277" w14:textId="77777777" w:rsidR="00AE25ED" w:rsidRPr="00DC7A4A" w:rsidRDefault="00891191" w:rsidP="00AE25ED">
      <w:pPr>
        <w:pStyle w:val="Default"/>
        <w:spacing w:before="240" w:line="259" w:lineRule="auto"/>
        <w:jc w:val="center"/>
        <w:rPr>
          <w:rFonts w:asciiTheme="minorHAnsi" w:hAnsiTheme="minorHAnsi"/>
          <w:b/>
          <w:bCs/>
          <w:sz w:val="23"/>
          <w:szCs w:val="23"/>
        </w:rPr>
      </w:pPr>
      <w:r w:rsidRPr="00DC7A4A">
        <w:rPr>
          <w:rFonts w:asciiTheme="minorHAnsi" w:hAnsiTheme="minorHAnsi"/>
          <w:b/>
          <w:bCs/>
          <w:sz w:val="23"/>
          <w:szCs w:val="23"/>
        </w:rPr>
        <w:t xml:space="preserve">Čl. III </w:t>
      </w:r>
    </w:p>
    <w:p w14:paraId="5B604309" w14:textId="77777777" w:rsidR="00FD2FEC" w:rsidRPr="00DC7A4A" w:rsidRDefault="00891191" w:rsidP="00AE25ED">
      <w:pPr>
        <w:pStyle w:val="Default"/>
        <w:spacing w:after="240" w:line="259" w:lineRule="auto"/>
        <w:jc w:val="center"/>
        <w:rPr>
          <w:rFonts w:asciiTheme="minorHAnsi" w:hAnsiTheme="minorHAnsi"/>
          <w:b/>
          <w:bCs/>
          <w:sz w:val="23"/>
          <w:szCs w:val="23"/>
        </w:rPr>
      </w:pPr>
      <w:r w:rsidRPr="00DC7A4A">
        <w:rPr>
          <w:rFonts w:asciiTheme="minorHAnsi" w:hAnsiTheme="minorHAnsi"/>
          <w:b/>
          <w:bCs/>
          <w:sz w:val="23"/>
          <w:szCs w:val="23"/>
        </w:rPr>
        <w:t>Informácie o údajoch aktív a pasív</w:t>
      </w:r>
    </w:p>
    <w:p w14:paraId="16F88803" w14:textId="77777777" w:rsidR="00FD2FEC" w:rsidRPr="00DC7A4A" w:rsidRDefault="00891191" w:rsidP="00C25CD9">
      <w:pPr>
        <w:pStyle w:val="Default"/>
        <w:numPr>
          <w:ilvl w:val="0"/>
          <w:numId w:val="4"/>
        </w:numPr>
        <w:spacing w:after="60" w:line="259" w:lineRule="auto"/>
        <w:jc w:val="both"/>
        <w:rPr>
          <w:rFonts w:asciiTheme="minorHAnsi" w:hAnsiTheme="minorHAnsi" w:cs="Arial"/>
          <w:b/>
          <w:bCs/>
          <w:sz w:val="22"/>
          <w:szCs w:val="22"/>
        </w:rPr>
      </w:pPr>
      <w:r w:rsidRPr="00DC7A4A">
        <w:rPr>
          <w:rFonts w:asciiTheme="minorHAnsi" w:hAnsiTheme="minorHAnsi" w:cs="Arial"/>
          <w:b/>
          <w:bCs/>
          <w:sz w:val="22"/>
          <w:szCs w:val="22"/>
        </w:rPr>
        <w:t xml:space="preserve">Údaje o konsolidovanom celku </w:t>
      </w:r>
    </w:p>
    <w:p w14:paraId="5786A977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Konsolidovaný celok obce Nálepkovo zahŕňa 1 obchodnú spoločnosť a 1 rozpočtovú organizáciu. Identifikačné údaje o účtovných jednotkách konsolidovaného celku sú uvedené v tabuľkovej časti </w:t>
      </w:r>
      <w:r w:rsidRPr="00AF7EB0">
        <w:rPr>
          <w:rFonts w:asciiTheme="minorHAnsi" w:hAnsiTheme="minorHAnsi" w:cs="Arial"/>
          <w:b/>
          <w:color w:val="0000FF"/>
          <w:sz w:val="22"/>
          <w:szCs w:val="22"/>
        </w:rPr>
        <w:t>(tabuľka č. 1).</w:t>
      </w:r>
      <w:r w:rsidRPr="00DC7A4A">
        <w:rPr>
          <w:rFonts w:asciiTheme="minorHAnsi" w:hAnsiTheme="minorHAnsi" w:cs="Arial"/>
          <w:sz w:val="22"/>
          <w:szCs w:val="22"/>
        </w:rPr>
        <w:t xml:space="preserve"> </w:t>
      </w:r>
    </w:p>
    <w:p w14:paraId="642013EB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b/>
          <w:bCs/>
          <w:sz w:val="22"/>
          <w:szCs w:val="22"/>
        </w:rPr>
        <w:t xml:space="preserve">2. Prehľad o pohybe dlhodobého majetku </w:t>
      </w:r>
    </w:p>
    <w:p w14:paraId="3DA90878" w14:textId="6A0733AD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>a) Prehľad o pohybe dlhodobého nehmotného a dlhodobého hmotného majetku od 1. j</w:t>
      </w:r>
      <w:r w:rsidR="00792161">
        <w:rPr>
          <w:rFonts w:asciiTheme="minorHAnsi" w:hAnsiTheme="minorHAnsi" w:cs="Arial"/>
          <w:sz w:val="22"/>
          <w:szCs w:val="22"/>
        </w:rPr>
        <w:t>anuára 202</w:t>
      </w:r>
      <w:r w:rsidR="00144012">
        <w:rPr>
          <w:rFonts w:asciiTheme="minorHAnsi" w:hAnsiTheme="minorHAnsi" w:cs="Arial"/>
          <w:sz w:val="22"/>
          <w:szCs w:val="22"/>
        </w:rPr>
        <w:t>1</w:t>
      </w:r>
      <w:r w:rsidR="002158CC" w:rsidRPr="00DC7A4A">
        <w:rPr>
          <w:rFonts w:asciiTheme="minorHAnsi" w:hAnsiTheme="minorHAnsi" w:cs="Arial"/>
          <w:sz w:val="22"/>
          <w:szCs w:val="22"/>
        </w:rPr>
        <w:t xml:space="preserve"> do 31. decembra </w:t>
      </w:r>
      <w:r w:rsidR="00792161">
        <w:rPr>
          <w:rFonts w:asciiTheme="minorHAnsi" w:hAnsiTheme="minorHAnsi" w:cs="Arial"/>
          <w:sz w:val="22"/>
          <w:szCs w:val="22"/>
        </w:rPr>
        <w:t>202</w:t>
      </w:r>
      <w:r w:rsidR="00144012">
        <w:rPr>
          <w:rFonts w:asciiTheme="minorHAnsi" w:hAnsiTheme="minorHAnsi" w:cs="Arial"/>
          <w:sz w:val="22"/>
          <w:szCs w:val="22"/>
        </w:rPr>
        <w:t>1</w:t>
      </w:r>
      <w:r w:rsidRPr="00DC7A4A">
        <w:rPr>
          <w:rFonts w:asciiTheme="minorHAnsi" w:hAnsiTheme="minorHAnsi" w:cs="Arial"/>
          <w:sz w:val="22"/>
          <w:szCs w:val="22"/>
        </w:rPr>
        <w:t xml:space="preserve"> je uvedený v tabuľkovej časti konsolidovaných poznámok </w:t>
      </w:r>
      <w:r w:rsidRPr="00AF7EB0">
        <w:rPr>
          <w:rFonts w:asciiTheme="minorHAnsi" w:hAnsiTheme="minorHAnsi" w:cs="Arial"/>
          <w:b/>
          <w:color w:val="0000FF"/>
          <w:sz w:val="22"/>
          <w:szCs w:val="22"/>
        </w:rPr>
        <w:t>(tabuľka č. 2).</w:t>
      </w:r>
      <w:r w:rsidRPr="00DC7A4A">
        <w:rPr>
          <w:rFonts w:asciiTheme="minorHAnsi" w:hAnsiTheme="minorHAnsi" w:cs="Arial"/>
          <w:sz w:val="22"/>
          <w:szCs w:val="22"/>
        </w:rPr>
        <w:t xml:space="preserve"> </w:t>
      </w:r>
    </w:p>
    <w:p w14:paraId="18B6C53A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b/>
          <w:bCs/>
          <w:sz w:val="22"/>
          <w:szCs w:val="22"/>
        </w:rPr>
        <w:t xml:space="preserve">3. Prehľad o pohybe dlhodobého finančného majetku </w:t>
      </w:r>
    </w:p>
    <w:p w14:paraId="36B90F8C" w14:textId="5BA3946C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>Detailnejšie informácie o dlhodobom finan</w:t>
      </w:r>
      <w:r w:rsidR="00792161">
        <w:rPr>
          <w:rFonts w:asciiTheme="minorHAnsi" w:hAnsiTheme="minorHAnsi" w:cs="Arial"/>
          <w:sz w:val="22"/>
          <w:szCs w:val="22"/>
        </w:rPr>
        <w:t>čnom majetku k 31. decembru 202</w:t>
      </w:r>
      <w:r w:rsidR="00144012">
        <w:rPr>
          <w:rFonts w:asciiTheme="minorHAnsi" w:hAnsiTheme="minorHAnsi" w:cs="Arial"/>
          <w:sz w:val="22"/>
          <w:szCs w:val="22"/>
        </w:rPr>
        <w:t>1</w:t>
      </w:r>
      <w:r w:rsidRPr="00DC7A4A">
        <w:rPr>
          <w:rFonts w:asciiTheme="minorHAnsi" w:hAnsiTheme="minorHAnsi" w:cs="Arial"/>
          <w:sz w:val="22"/>
          <w:szCs w:val="22"/>
        </w:rPr>
        <w:t xml:space="preserve"> sú uvedené v tabuľkovej časti </w:t>
      </w:r>
      <w:r w:rsidRPr="00AF7EB0">
        <w:rPr>
          <w:rFonts w:asciiTheme="minorHAnsi" w:hAnsiTheme="minorHAnsi" w:cs="Arial"/>
          <w:b/>
          <w:color w:val="0000FF"/>
          <w:sz w:val="22"/>
          <w:szCs w:val="22"/>
        </w:rPr>
        <w:t>(tabuľky č. 2)</w:t>
      </w:r>
      <w:r w:rsidRPr="00DC7A4A">
        <w:rPr>
          <w:rFonts w:asciiTheme="minorHAnsi" w:hAnsiTheme="minorHAnsi" w:cs="Arial"/>
          <w:sz w:val="22"/>
          <w:szCs w:val="22"/>
        </w:rPr>
        <w:t xml:space="preserve"> </w:t>
      </w:r>
    </w:p>
    <w:p w14:paraId="749640A7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>Rea</w:t>
      </w:r>
      <w:r w:rsidR="00C7253A">
        <w:rPr>
          <w:rFonts w:asciiTheme="minorHAnsi" w:hAnsiTheme="minorHAnsi" w:cs="Arial"/>
          <w:sz w:val="22"/>
          <w:szCs w:val="22"/>
        </w:rPr>
        <w:t xml:space="preserve">lizovateľné cenné papiere v € - </w:t>
      </w:r>
      <w:r w:rsidRPr="00AF7EB0">
        <w:rPr>
          <w:rFonts w:asciiTheme="minorHAnsi" w:hAnsiTheme="minorHAnsi" w:cs="Arial"/>
          <w:b/>
          <w:color w:val="0000FF"/>
          <w:sz w:val="22"/>
          <w:szCs w:val="22"/>
        </w:rPr>
        <w:t>tabuľka č. 4</w:t>
      </w:r>
      <w:r w:rsidRPr="00DC7A4A">
        <w:rPr>
          <w:rFonts w:asciiTheme="minorHAnsi" w:hAnsiTheme="minorHAnsi" w:cs="Arial"/>
          <w:sz w:val="22"/>
          <w:szCs w:val="22"/>
        </w:rPr>
        <w:t xml:space="preserve"> </w:t>
      </w:r>
    </w:p>
    <w:p w14:paraId="433B3BDB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b/>
          <w:bCs/>
          <w:sz w:val="22"/>
          <w:szCs w:val="22"/>
        </w:rPr>
        <w:t xml:space="preserve">4. Vývoj opravnej položky k zásobám </w:t>
      </w:r>
    </w:p>
    <w:p w14:paraId="52741DB2" w14:textId="678584FF" w:rsidR="00891191" w:rsidRPr="00AA2AE2" w:rsidRDefault="0079216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color w:val="auto"/>
          <w:sz w:val="22"/>
          <w:szCs w:val="22"/>
        </w:rPr>
      </w:pPr>
      <w:r w:rsidRPr="00AA2AE2">
        <w:rPr>
          <w:rFonts w:asciiTheme="minorHAnsi" w:hAnsiTheme="minorHAnsi" w:cs="Arial"/>
          <w:color w:val="auto"/>
          <w:sz w:val="22"/>
          <w:szCs w:val="22"/>
        </w:rPr>
        <w:t>Konsolidovaný celok v roku 202</w:t>
      </w:r>
      <w:r w:rsidR="00144012" w:rsidRPr="00AA2AE2">
        <w:rPr>
          <w:rFonts w:asciiTheme="minorHAnsi" w:hAnsiTheme="minorHAnsi" w:cs="Arial"/>
          <w:color w:val="auto"/>
          <w:sz w:val="22"/>
          <w:szCs w:val="22"/>
        </w:rPr>
        <w:t>1</w:t>
      </w:r>
      <w:r w:rsidR="00891191" w:rsidRPr="00AA2AE2">
        <w:rPr>
          <w:rFonts w:asciiTheme="minorHAnsi" w:hAnsiTheme="minorHAnsi" w:cs="Arial"/>
          <w:color w:val="auto"/>
          <w:sz w:val="22"/>
          <w:szCs w:val="22"/>
        </w:rPr>
        <w:t xml:space="preserve"> netvo</w:t>
      </w:r>
      <w:r w:rsidRPr="00AA2AE2">
        <w:rPr>
          <w:rFonts w:asciiTheme="minorHAnsi" w:hAnsiTheme="minorHAnsi" w:cs="Arial"/>
          <w:color w:val="auto"/>
          <w:sz w:val="22"/>
          <w:szCs w:val="22"/>
        </w:rPr>
        <w:t>ril opravné položky</w:t>
      </w:r>
      <w:r w:rsidR="00891191" w:rsidRPr="00AA2AE2">
        <w:rPr>
          <w:rFonts w:asciiTheme="minorHAnsi" w:hAnsiTheme="minorHAnsi" w:cs="Arial"/>
          <w:color w:val="auto"/>
          <w:sz w:val="22"/>
          <w:szCs w:val="22"/>
        </w:rPr>
        <w:t xml:space="preserve">. </w:t>
      </w:r>
    </w:p>
    <w:p w14:paraId="4BA40709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b/>
          <w:bCs/>
          <w:sz w:val="22"/>
          <w:szCs w:val="22"/>
        </w:rPr>
        <w:t xml:space="preserve">5. Pohľadávky konsolidovaného celku v € </w:t>
      </w:r>
    </w:p>
    <w:p w14:paraId="6EAEC825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a) vývoj opravnej položky k pohľadávkam </w:t>
      </w:r>
      <w:r w:rsidRPr="00AF7EB0">
        <w:rPr>
          <w:rFonts w:asciiTheme="minorHAnsi" w:hAnsiTheme="minorHAnsi" w:cs="Arial"/>
          <w:b/>
          <w:color w:val="0000FF"/>
          <w:sz w:val="22"/>
          <w:szCs w:val="22"/>
        </w:rPr>
        <w:t>(tabuľka č. 8)</w:t>
      </w:r>
      <w:r w:rsidRPr="00DC7A4A">
        <w:rPr>
          <w:rFonts w:asciiTheme="minorHAnsi" w:hAnsiTheme="minorHAnsi" w:cs="Arial"/>
          <w:sz w:val="22"/>
          <w:szCs w:val="22"/>
        </w:rPr>
        <w:t xml:space="preserve"> </w:t>
      </w:r>
    </w:p>
    <w:p w14:paraId="42413884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K pochybným a nedobytným pohľadávkam, kde existuje riziko nevymožiteľnosti, </w:t>
      </w:r>
      <w:r w:rsidR="00EB5DA9">
        <w:rPr>
          <w:rFonts w:asciiTheme="minorHAnsi" w:hAnsiTheme="minorHAnsi" w:cs="Arial"/>
          <w:sz w:val="22"/>
          <w:szCs w:val="22"/>
        </w:rPr>
        <w:t>ne</w:t>
      </w:r>
      <w:r w:rsidRPr="00DC7A4A">
        <w:rPr>
          <w:rFonts w:asciiTheme="minorHAnsi" w:hAnsiTheme="minorHAnsi" w:cs="Arial"/>
          <w:sz w:val="22"/>
          <w:szCs w:val="22"/>
        </w:rPr>
        <w:t xml:space="preserve">bola vytvorená opravná položka. </w:t>
      </w:r>
    </w:p>
    <w:p w14:paraId="5B21EA35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b) pohľadávky podľa doby splatnosti a podľa zostatkovej doby splatnosti </w:t>
      </w:r>
    </w:p>
    <w:p w14:paraId="3F22CD51" w14:textId="77777777" w:rsidR="00C43788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Prehľad pohľadávok z hľadiska ich vekovej štruktúry a z hľadiska splatnosti je uvedený v tabuľkovej prílohe konsolidovaných poznámok </w:t>
      </w:r>
      <w:r w:rsidR="00AF7EB0">
        <w:rPr>
          <w:rFonts w:asciiTheme="minorHAnsi" w:hAnsiTheme="minorHAnsi" w:cs="Arial"/>
          <w:b/>
          <w:color w:val="0000FF"/>
          <w:sz w:val="22"/>
          <w:szCs w:val="22"/>
        </w:rPr>
        <w:t>tabuľka č. 9</w:t>
      </w:r>
    </w:p>
    <w:p w14:paraId="352B8301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b/>
          <w:bCs/>
          <w:sz w:val="22"/>
          <w:szCs w:val="22"/>
        </w:rPr>
        <w:t xml:space="preserve">6. Časové rozlíšenie aktív </w:t>
      </w:r>
    </w:p>
    <w:p w14:paraId="614D8A63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4310BE">
        <w:rPr>
          <w:rFonts w:asciiTheme="minorHAnsi" w:hAnsiTheme="minorHAnsi" w:cs="Arial"/>
          <w:b/>
          <w:sz w:val="22"/>
          <w:szCs w:val="22"/>
        </w:rPr>
        <w:t>a) Náklady budúcich období</w:t>
      </w:r>
      <w:r w:rsidR="00982E00">
        <w:rPr>
          <w:rFonts w:asciiTheme="minorHAnsi" w:hAnsiTheme="minorHAnsi" w:cs="Arial"/>
          <w:b/>
          <w:sz w:val="22"/>
          <w:szCs w:val="22"/>
        </w:rPr>
        <w:t xml:space="preserve"> – </w:t>
      </w:r>
      <w:r w:rsidRPr="00CC65FE">
        <w:rPr>
          <w:rFonts w:asciiTheme="minorHAnsi" w:hAnsiTheme="minorHAnsi" w:cs="Arial"/>
          <w:color w:val="0000FF"/>
          <w:sz w:val="22"/>
          <w:szCs w:val="22"/>
        </w:rPr>
        <w:t xml:space="preserve"> </w:t>
      </w:r>
      <w:r w:rsidR="00AF7EB0">
        <w:rPr>
          <w:rFonts w:asciiTheme="minorHAnsi" w:hAnsiTheme="minorHAnsi" w:cs="Arial"/>
          <w:b/>
          <w:color w:val="0000FF"/>
          <w:sz w:val="22"/>
          <w:szCs w:val="22"/>
        </w:rPr>
        <w:t>tabuľka č. 10</w:t>
      </w:r>
    </w:p>
    <w:p w14:paraId="76C2EDAD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4310BE">
        <w:rPr>
          <w:rFonts w:asciiTheme="minorHAnsi" w:hAnsiTheme="minorHAnsi" w:cs="Arial"/>
          <w:b/>
          <w:sz w:val="22"/>
          <w:szCs w:val="22"/>
        </w:rPr>
        <w:t>b) Príjmy budúcich období</w:t>
      </w:r>
      <w:r w:rsidRPr="00DC7A4A">
        <w:rPr>
          <w:rFonts w:asciiTheme="minorHAnsi" w:hAnsiTheme="minorHAnsi" w:cs="Arial"/>
          <w:sz w:val="22"/>
          <w:szCs w:val="22"/>
        </w:rPr>
        <w:t xml:space="preserve"> </w:t>
      </w:r>
      <w:r w:rsidR="00AF7EB0">
        <w:rPr>
          <w:rFonts w:asciiTheme="minorHAnsi" w:hAnsiTheme="minorHAnsi" w:cs="Arial"/>
          <w:sz w:val="22"/>
          <w:szCs w:val="22"/>
        </w:rPr>
        <w:t>–</w:t>
      </w:r>
      <w:r w:rsidR="00982E00" w:rsidRPr="00CC65FE">
        <w:rPr>
          <w:rFonts w:asciiTheme="minorHAnsi" w:hAnsiTheme="minorHAnsi" w:cs="Arial"/>
          <w:color w:val="0000FF"/>
          <w:sz w:val="22"/>
          <w:szCs w:val="22"/>
        </w:rPr>
        <w:t xml:space="preserve"> </w:t>
      </w:r>
      <w:r w:rsidR="00AF7EB0">
        <w:rPr>
          <w:rFonts w:asciiTheme="minorHAnsi" w:hAnsiTheme="minorHAnsi" w:cs="Arial"/>
          <w:b/>
          <w:color w:val="0000FF"/>
          <w:sz w:val="22"/>
          <w:szCs w:val="22"/>
        </w:rPr>
        <w:t>tabuľka č. 11</w:t>
      </w:r>
      <w:r w:rsidRPr="00CC65FE">
        <w:rPr>
          <w:rFonts w:asciiTheme="minorHAnsi" w:hAnsiTheme="minorHAnsi" w:cs="Arial"/>
          <w:color w:val="0000FF"/>
          <w:sz w:val="22"/>
          <w:szCs w:val="22"/>
        </w:rPr>
        <w:t xml:space="preserve"> </w:t>
      </w:r>
    </w:p>
    <w:p w14:paraId="2F24ED66" w14:textId="77777777" w:rsidR="00891191" w:rsidRPr="00DC7A4A" w:rsidRDefault="00891191" w:rsidP="00C25CD9">
      <w:pPr>
        <w:spacing w:after="60" w:line="259" w:lineRule="auto"/>
        <w:jc w:val="both"/>
        <w:rPr>
          <w:b/>
        </w:rPr>
      </w:pPr>
      <w:r w:rsidRPr="00DC7A4A">
        <w:rPr>
          <w:b/>
        </w:rPr>
        <w:t xml:space="preserve">7. Vlastné imanie </w:t>
      </w:r>
    </w:p>
    <w:p w14:paraId="36B43D18" w14:textId="090008AC" w:rsidR="00EC5742" w:rsidRDefault="00891191" w:rsidP="00C25CD9">
      <w:pPr>
        <w:spacing w:after="60" w:line="259" w:lineRule="auto"/>
        <w:jc w:val="both"/>
      </w:pPr>
      <w:r w:rsidRPr="002619DD">
        <w:t>Prehľad o pohybe vlastného imania konsolidovaného celku obce Nálepkovo od 1. január</w:t>
      </w:r>
      <w:r w:rsidR="001F0537">
        <w:t>a 202</w:t>
      </w:r>
      <w:r w:rsidR="00144012">
        <w:t>1</w:t>
      </w:r>
      <w:r w:rsidR="001F0537">
        <w:t xml:space="preserve"> do</w:t>
      </w:r>
      <w:r w:rsidR="00792161">
        <w:t xml:space="preserve"> </w:t>
      </w:r>
      <w:r w:rsidR="001F0537">
        <w:t xml:space="preserve"> 31. decembra 202</w:t>
      </w:r>
      <w:r w:rsidR="00144012">
        <w:t>1</w:t>
      </w:r>
      <w:r w:rsidRPr="002619DD">
        <w:t xml:space="preserve"> je uvedený v tabuľkovej prílohe konsolidovaných poznámok – </w:t>
      </w:r>
      <w:r w:rsidRPr="00AF7EB0">
        <w:rPr>
          <w:b/>
          <w:color w:val="0000FF"/>
        </w:rPr>
        <w:t>tabuľka č. 12.</w:t>
      </w:r>
      <w:r w:rsidRPr="002619DD">
        <w:t xml:space="preserve"> </w:t>
      </w:r>
    </w:p>
    <w:p w14:paraId="61596328" w14:textId="3D3DE9F8" w:rsidR="00AA2AE2" w:rsidRDefault="00AA2AE2" w:rsidP="00C25CD9">
      <w:pPr>
        <w:spacing w:after="60" w:line="259" w:lineRule="auto"/>
        <w:jc w:val="both"/>
      </w:pPr>
    </w:p>
    <w:p w14:paraId="0B45B347" w14:textId="0BFB58A7" w:rsidR="00AA2AE2" w:rsidRDefault="00AA2AE2" w:rsidP="00C25CD9">
      <w:pPr>
        <w:spacing w:after="60" w:line="259" w:lineRule="auto"/>
        <w:jc w:val="both"/>
      </w:pPr>
    </w:p>
    <w:p w14:paraId="6B3F7BBD" w14:textId="77777777" w:rsidR="00AA2AE2" w:rsidRPr="001F0537" w:rsidRDefault="00AA2AE2" w:rsidP="00C25CD9">
      <w:pPr>
        <w:spacing w:after="60" w:line="259" w:lineRule="auto"/>
        <w:jc w:val="both"/>
      </w:pPr>
    </w:p>
    <w:p w14:paraId="3B988FCB" w14:textId="77777777" w:rsidR="00891191" w:rsidRPr="00DC7A4A" w:rsidRDefault="00891191" w:rsidP="00C25CD9">
      <w:pPr>
        <w:spacing w:after="60" w:line="259" w:lineRule="auto"/>
        <w:jc w:val="both"/>
        <w:rPr>
          <w:b/>
        </w:rPr>
      </w:pPr>
      <w:r w:rsidRPr="00DC7A4A">
        <w:rPr>
          <w:b/>
        </w:rPr>
        <w:lastRenderedPageBreak/>
        <w:t xml:space="preserve">8. Rezervy </w:t>
      </w:r>
    </w:p>
    <w:p w14:paraId="66D142EC" w14:textId="46E4D5AB" w:rsidR="00891191" w:rsidRPr="00DC7A4A" w:rsidRDefault="00891191" w:rsidP="00C25CD9">
      <w:pPr>
        <w:spacing w:after="60" w:line="259" w:lineRule="auto"/>
        <w:jc w:val="both"/>
      </w:pPr>
      <w:r w:rsidRPr="00DC7A4A">
        <w:t>Prehľad rezerv konsolidovaného celku v členení na zákonné a ostatné, dlhodo</w:t>
      </w:r>
      <w:r w:rsidR="001F0537">
        <w:t>bé a krátkodobé od</w:t>
      </w:r>
      <w:r w:rsidR="00792161">
        <w:t xml:space="preserve">    </w:t>
      </w:r>
      <w:r w:rsidR="001F0537">
        <w:t xml:space="preserve"> 1. januára 202</w:t>
      </w:r>
      <w:r w:rsidR="00144012">
        <w:t>1</w:t>
      </w:r>
      <w:r w:rsidR="001F0537">
        <w:t xml:space="preserve"> do 31. decembra 202</w:t>
      </w:r>
      <w:r w:rsidR="00144012">
        <w:t>1</w:t>
      </w:r>
      <w:r w:rsidRPr="00DC7A4A">
        <w:t xml:space="preserve"> je uvedený v tabuľkovej prílohe konsolidovaný</w:t>
      </w:r>
      <w:r w:rsidR="009B1E8F" w:rsidRPr="00DC7A4A">
        <w:t xml:space="preserve">ch poznámok – </w:t>
      </w:r>
      <w:r w:rsidR="004166DF" w:rsidRPr="00CC65FE">
        <w:rPr>
          <w:color w:val="0000FF"/>
        </w:rPr>
        <w:t>(</w:t>
      </w:r>
      <w:r w:rsidR="009B1E8F" w:rsidRPr="00CC65FE">
        <w:rPr>
          <w:b/>
          <w:color w:val="0000FF"/>
        </w:rPr>
        <w:t>tabuľky č.13 a</w:t>
      </w:r>
      <w:r w:rsidR="004166DF" w:rsidRPr="00CC65FE">
        <w:rPr>
          <w:b/>
          <w:color w:val="0000FF"/>
        </w:rPr>
        <w:t> </w:t>
      </w:r>
      <w:r w:rsidR="009B1E8F" w:rsidRPr="00CC65FE">
        <w:rPr>
          <w:b/>
          <w:color w:val="0000FF"/>
        </w:rPr>
        <w:t>14</w:t>
      </w:r>
      <w:r w:rsidR="004166DF" w:rsidRPr="00CC65FE">
        <w:rPr>
          <w:b/>
          <w:color w:val="0000FF"/>
        </w:rPr>
        <w:t>)</w:t>
      </w:r>
      <w:r w:rsidR="009B1E8F" w:rsidRPr="00CC65FE">
        <w:rPr>
          <w:b/>
          <w:color w:val="0000FF"/>
        </w:rPr>
        <w:t>.</w:t>
      </w:r>
    </w:p>
    <w:p w14:paraId="05015252" w14:textId="77777777" w:rsidR="00891191" w:rsidRPr="00DC7A4A" w:rsidRDefault="00891191" w:rsidP="00C25CD9">
      <w:pPr>
        <w:spacing w:after="60" w:line="259" w:lineRule="auto"/>
        <w:jc w:val="both"/>
        <w:rPr>
          <w:b/>
        </w:rPr>
      </w:pPr>
      <w:r w:rsidRPr="00DC7A4A">
        <w:rPr>
          <w:b/>
        </w:rPr>
        <w:t xml:space="preserve">9. Záväzky </w:t>
      </w:r>
    </w:p>
    <w:p w14:paraId="1EBFCD90" w14:textId="77777777" w:rsidR="00891191" w:rsidRPr="00DC7A4A" w:rsidRDefault="00891191" w:rsidP="00C25CD9">
      <w:pPr>
        <w:spacing w:after="60" w:line="259" w:lineRule="auto"/>
        <w:jc w:val="both"/>
      </w:pPr>
      <w:r w:rsidRPr="00DC7A4A">
        <w:t xml:space="preserve">Prehľad záväzkov z hľadiska ich vekovej štruktúry a podľa doby splatnosti je uvedený v tabuľkovej časti </w:t>
      </w:r>
      <w:r w:rsidRPr="00CC65FE">
        <w:rPr>
          <w:b/>
          <w:color w:val="0000FF"/>
        </w:rPr>
        <w:t>(tabuľka č. 15).</w:t>
      </w:r>
      <w:r w:rsidRPr="00982E00">
        <w:rPr>
          <w:b/>
        </w:rPr>
        <w:t xml:space="preserve"> </w:t>
      </w:r>
    </w:p>
    <w:p w14:paraId="3F3DC283" w14:textId="7AD594A8" w:rsidR="00891191" w:rsidRPr="00880414" w:rsidRDefault="00891191" w:rsidP="00880414">
      <w:pPr>
        <w:jc w:val="both"/>
        <w:rPr>
          <w:rFonts w:eastAsia="Times New Roman" w:cstheme="minorHAnsi"/>
          <w:lang w:eastAsia="sk-SK"/>
        </w:rPr>
      </w:pPr>
      <w:r w:rsidRPr="00880414">
        <w:rPr>
          <w:rFonts w:cstheme="minorHAnsi"/>
        </w:rPr>
        <w:t xml:space="preserve">Významnou položkou dlhodobých záväzkov sú prijaté úvery </w:t>
      </w:r>
      <w:r w:rsidR="00903818" w:rsidRPr="00880414">
        <w:rPr>
          <w:rFonts w:cstheme="minorHAnsi"/>
        </w:rPr>
        <w:t>zo ŠFRB, ktoré sú k 31.12.202</w:t>
      </w:r>
      <w:r w:rsidR="00AA2AE2" w:rsidRPr="00880414">
        <w:rPr>
          <w:rFonts w:cstheme="minorHAnsi"/>
        </w:rPr>
        <w:t>1</w:t>
      </w:r>
      <w:r w:rsidRPr="00880414">
        <w:rPr>
          <w:rFonts w:cstheme="minorHAnsi"/>
        </w:rPr>
        <w:t xml:space="preserve"> vykázané vo výške </w:t>
      </w:r>
      <w:r w:rsidR="00880414" w:rsidRPr="00880414">
        <w:rPr>
          <w:rFonts w:eastAsia="Times New Roman" w:cstheme="minorHAnsi"/>
          <w:spacing w:val="-1"/>
          <w:lang w:eastAsia="sk-SK"/>
        </w:rPr>
        <w:t>446 313,80</w:t>
      </w:r>
      <w:r w:rsidR="0006268E" w:rsidRPr="00880414">
        <w:rPr>
          <w:rFonts w:cstheme="minorHAnsi"/>
        </w:rPr>
        <w:t> €</w:t>
      </w:r>
      <w:r w:rsidRPr="00880414">
        <w:rPr>
          <w:rFonts w:cstheme="minorHAnsi"/>
        </w:rPr>
        <w:t xml:space="preserve">. Úvery zo ŠFRB bude obec splácať do roku 2037. </w:t>
      </w:r>
    </w:p>
    <w:p w14:paraId="3F5BF415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b/>
          <w:bCs/>
          <w:sz w:val="22"/>
          <w:szCs w:val="22"/>
        </w:rPr>
        <w:t xml:space="preserve">10. Bankové úvery </w:t>
      </w:r>
    </w:p>
    <w:p w14:paraId="45AF90F6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a) dlhodobé bankové úvery a krátkodobé bankové úvery </w:t>
      </w:r>
    </w:p>
    <w:p w14:paraId="7B590435" w14:textId="35E82BB4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>Prehľad o ban</w:t>
      </w:r>
      <w:r w:rsidR="00903818">
        <w:rPr>
          <w:rFonts w:asciiTheme="minorHAnsi" w:hAnsiTheme="minorHAnsi" w:cs="Arial"/>
          <w:sz w:val="22"/>
          <w:szCs w:val="22"/>
        </w:rPr>
        <w:t>kových úveroch obce k 31.12.202</w:t>
      </w:r>
      <w:r w:rsidR="00144012">
        <w:rPr>
          <w:rFonts w:asciiTheme="minorHAnsi" w:hAnsiTheme="minorHAnsi" w:cs="Arial"/>
          <w:sz w:val="22"/>
          <w:szCs w:val="22"/>
        </w:rPr>
        <w:t>1</w:t>
      </w:r>
      <w:r w:rsidRPr="00DC7A4A">
        <w:rPr>
          <w:rFonts w:asciiTheme="minorHAnsi" w:hAnsiTheme="minorHAnsi" w:cs="Arial"/>
          <w:sz w:val="22"/>
          <w:szCs w:val="22"/>
        </w:rPr>
        <w:t xml:space="preserve"> s uvedením podrobných informácií je uvedený v tabuľkovej časti </w:t>
      </w:r>
      <w:r w:rsidRPr="00CC65FE">
        <w:rPr>
          <w:rFonts w:asciiTheme="minorHAnsi" w:hAnsiTheme="minorHAnsi" w:cs="Arial"/>
          <w:b/>
          <w:color w:val="0000FF"/>
          <w:sz w:val="22"/>
          <w:szCs w:val="22"/>
        </w:rPr>
        <w:t>(tabuľka č. 16).</w:t>
      </w:r>
      <w:r w:rsidRPr="00DC7A4A">
        <w:rPr>
          <w:rFonts w:asciiTheme="minorHAnsi" w:hAnsiTheme="minorHAnsi" w:cs="Arial"/>
          <w:sz w:val="22"/>
          <w:szCs w:val="22"/>
        </w:rPr>
        <w:t xml:space="preserve"> </w:t>
      </w:r>
    </w:p>
    <w:p w14:paraId="2103531A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b/>
          <w:bCs/>
          <w:sz w:val="22"/>
          <w:szCs w:val="22"/>
        </w:rPr>
        <w:t xml:space="preserve">11. Časové rozlíšenie pasív </w:t>
      </w:r>
    </w:p>
    <w:p w14:paraId="1797CB03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Prehľad výnosov budúcich období je uvedený v tabuľkovej časti – </w:t>
      </w:r>
      <w:r w:rsidRPr="00CC65FE">
        <w:rPr>
          <w:rFonts w:asciiTheme="minorHAnsi" w:hAnsiTheme="minorHAnsi" w:cs="Arial"/>
          <w:b/>
          <w:color w:val="0000FF"/>
          <w:sz w:val="22"/>
          <w:szCs w:val="22"/>
        </w:rPr>
        <w:t>tabuľka č. 17 a 18</w:t>
      </w:r>
      <w:r w:rsidRPr="00DC7A4A">
        <w:rPr>
          <w:rFonts w:asciiTheme="minorHAnsi" w:hAnsiTheme="minorHAnsi" w:cs="Arial"/>
          <w:sz w:val="22"/>
          <w:szCs w:val="22"/>
        </w:rPr>
        <w:t xml:space="preserve"> </w:t>
      </w:r>
    </w:p>
    <w:p w14:paraId="3553FF44" w14:textId="77777777" w:rsidR="00891191" w:rsidRPr="00DC7A4A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b/>
          <w:bCs/>
          <w:sz w:val="22"/>
          <w:szCs w:val="22"/>
        </w:rPr>
        <w:t xml:space="preserve">12. Náklady konsolidovaného celku </w:t>
      </w:r>
    </w:p>
    <w:p w14:paraId="7274B0FC" w14:textId="77777777" w:rsidR="00891191" w:rsidRPr="00DC7A4A" w:rsidRDefault="00891191" w:rsidP="00C25CD9">
      <w:pPr>
        <w:pStyle w:val="Default"/>
        <w:spacing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a) Náklady na služby </w:t>
      </w:r>
    </w:p>
    <w:p w14:paraId="01B6B939" w14:textId="77777777" w:rsidR="00891191" w:rsidRPr="00DC7A4A" w:rsidRDefault="00891191" w:rsidP="00C25CD9">
      <w:pPr>
        <w:pStyle w:val="Default"/>
        <w:spacing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Detailný rozpis významných nákladov na služby je uvedený v tabuľkovej časti – </w:t>
      </w:r>
      <w:r w:rsidRPr="00CC65FE">
        <w:rPr>
          <w:rFonts w:asciiTheme="minorHAnsi" w:hAnsiTheme="minorHAnsi" w:cs="Arial"/>
          <w:b/>
          <w:color w:val="0000FF"/>
          <w:sz w:val="22"/>
          <w:szCs w:val="22"/>
        </w:rPr>
        <w:t>tabuľka č. 19</w:t>
      </w:r>
      <w:r w:rsidRPr="00DC7A4A">
        <w:rPr>
          <w:rFonts w:asciiTheme="minorHAnsi" w:hAnsiTheme="minorHAnsi" w:cs="Arial"/>
          <w:sz w:val="22"/>
          <w:szCs w:val="22"/>
        </w:rPr>
        <w:t xml:space="preserve"> </w:t>
      </w:r>
    </w:p>
    <w:p w14:paraId="59EC74FB" w14:textId="77777777" w:rsidR="00891191" w:rsidRPr="00DC7A4A" w:rsidRDefault="00891191" w:rsidP="00C25CD9">
      <w:pPr>
        <w:pStyle w:val="Default"/>
        <w:spacing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b) Ostatné náklady na prevádzkovú činnosť v € </w:t>
      </w:r>
    </w:p>
    <w:p w14:paraId="5F50A0A5" w14:textId="77777777" w:rsidR="00891191" w:rsidRPr="00DC7A4A" w:rsidRDefault="00891191" w:rsidP="00C25CD9">
      <w:pPr>
        <w:pStyle w:val="Default"/>
        <w:spacing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Detailný rozpis významných nákladov na služby je uvedený v tabuľkovej časti – </w:t>
      </w:r>
      <w:r w:rsidRPr="00CC65FE">
        <w:rPr>
          <w:rFonts w:asciiTheme="minorHAnsi" w:hAnsiTheme="minorHAnsi" w:cs="Arial"/>
          <w:b/>
          <w:color w:val="0000FF"/>
          <w:sz w:val="22"/>
          <w:szCs w:val="22"/>
        </w:rPr>
        <w:t>tabuľka č. 20</w:t>
      </w:r>
      <w:r w:rsidRPr="00DC7A4A">
        <w:rPr>
          <w:rFonts w:asciiTheme="minorHAnsi" w:hAnsiTheme="minorHAnsi" w:cs="Arial"/>
          <w:sz w:val="22"/>
          <w:szCs w:val="22"/>
        </w:rPr>
        <w:t xml:space="preserve"> </w:t>
      </w:r>
    </w:p>
    <w:p w14:paraId="332FB428" w14:textId="77777777" w:rsidR="00891191" w:rsidRPr="00DC7A4A" w:rsidRDefault="00891191" w:rsidP="00C25CD9">
      <w:pPr>
        <w:pStyle w:val="Default"/>
        <w:spacing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c) Ostatné finančné náklady </w:t>
      </w:r>
    </w:p>
    <w:p w14:paraId="481F30AE" w14:textId="77777777" w:rsidR="00891191" w:rsidRPr="00DC7A4A" w:rsidRDefault="00891191" w:rsidP="00C25CD9">
      <w:pPr>
        <w:pStyle w:val="Default"/>
        <w:spacing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Detailný rozpis významných nákladov na služby je uvedený v tabuľkovej časti – </w:t>
      </w:r>
      <w:r w:rsidRPr="00CC65FE">
        <w:rPr>
          <w:rFonts w:asciiTheme="minorHAnsi" w:hAnsiTheme="minorHAnsi" w:cs="Arial"/>
          <w:b/>
          <w:color w:val="0000FF"/>
          <w:sz w:val="22"/>
          <w:szCs w:val="22"/>
        </w:rPr>
        <w:t>tabuľka č. 21</w:t>
      </w:r>
      <w:r w:rsidRPr="00DC7A4A">
        <w:rPr>
          <w:rFonts w:asciiTheme="minorHAnsi" w:hAnsiTheme="minorHAnsi" w:cs="Arial"/>
          <w:sz w:val="22"/>
          <w:szCs w:val="22"/>
        </w:rPr>
        <w:t xml:space="preserve"> </w:t>
      </w:r>
    </w:p>
    <w:p w14:paraId="6F9B6E5B" w14:textId="77777777" w:rsidR="00891191" w:rsidRPr="00DC7A4A" w:rsidRDefault="00891191" w:rsidP="00C25CD9">
      <w:pPr>
        <w:pStyle w:val="Default"/>
        <w:spacing w:before="60" w:after="60" w:line="259" w:lineRule="auto"/>
        <w:jc w:val="both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b/>
          <w:bCs/>
          <w:sz w:val="22"/>
          <w:szCs w:val="22"/>
        </w:rPr>
        <w:t xml:space="preserve">13. Výnosy konsolidovaného celku </w:t>
      </w:r>
    </w:p>
    <w:p w14:paraId="38E58F85" w14:textId="77777777" w:rsidR="00497E97" w:rsidRPr="00CC65FE" w:rsidRDefault="00891191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b/>
          <w:color w:val="0000FF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>Detailný rozpis významných výnosov na prevádzkovú činnosť je uvedený v tabuľkovej časti –</w:t>
      </w:r>
      <w:r w:rsidR="00B52EDF">
        <w:rPr>
          <w:rFonts w:asciiTheme="minorHAnsi" w:hAnsiTheme="minorHAnsi" w:cs="Arial"/>
          <w:sz w:val="22"/>
          <w:szCs w:val="22"/>
        </w:rPr>
        <w:t xml:space="preserve"> </w:t>
      </w:r>
      <w:r w:rsidRPr="00CC65FE">
        <w:rPr>
          <w:rFonts w:asciiTheme="minorHAnsi" w:hAnsiTheme="minorHAnsi" w:cs="Arial"/>
          <w:b/>
          <w:color w:val="0000FF"/>
          <w:sz w:val="22"/>
          <w:szCs w:val="22"/>
        </w:rPr>
        <w:t>tabuľ</w:t>
      </w:r>
      <w:r w:rsidR="003E5148" w:rsidRPr="00CC65FE">
        <w:rPr>
          <w:rFonts w:asciiTheme="minorHAnsi" w:hAnsiTheme="minorHAnsi" w:cs="Arial"/>
          <w:b/>
          <w:color w:val="0000FF"/>
          <w:sz w:val="22"/>
          <w:szCs w:val="22"/>
        </w:rPr>
        <w:t xml:space="preserve">ka </w:t>
      </w:r>
      <w:r w:rsidRPr="00CC65FE">
        <w:rPr>
          <w:rFonts w:asciiTheme="minorHAnsi" w:hAnsiTheme="minorHAnsi" w:cs="Arial"/>
          <w:b/>
          <w:color w:val="0000FF"/>
          <w:sz w:val="22"/>
          <w:szCs w:val="22"/>
        </w:rPr>
        <w:t xml:space="preserve">č. 22. </w:t>
      </w:r>
    </w:p>
    <w:p w14:paraId="18B05D0E" w14:textId="77777777" w:rsidR="00271863" w:rsidRPr="00DC7A4A" w:rsidRDefault="00271863" w:rsidP="00C25CD9">
      <w:pPr>
        <w:pStyle w:val="Default"/>
        <w:spacing w:after="60" w:line="259" w:lineRule="auto"/>
        <w:jc w:val="both"/>
        <w:rPr>
          <w:rFonts w:asciiTheme="minorHAnsi" w:hAnsiTheme="minorHAnsi" w:cs="Arial"/>
          <w:sz w:val="22"/>
          <w:szCs w:val="22"/>
        </w:rPr>
      </w:pPr>
    </w:p>
    <w:p w14:paraId="40EEAAC4" w14:textId="77777777" w:rsidR="00AE25ED" w:rsidRPr="00DC7A4A" w:rsidRDefault="00891191" w:rsidP="00AE25ED">
      <w:pPr>
        <w:pStyle w:val="Default"/>
        <w:spacing w:before="240" w:line="259" w:lineRule="auto"/>
        <w:jc w:val="center"/>
        <w:rPr>
          <w:rFonts w:asciiTheme="minorHAnsi" w:hAnsiTheme="minorHAnsi"/>
          <w:b/>
          <w:bCs/>
          <w:sz w:val="23"/>
          <w:szCs w:val="23"/>
        </w:rPr>
      </w:pPr>
      <w:r w:rsidRPr="00DC7A4A">
        <w:rPr>
          <w:rFonts w:asciiTheme="minorHAnsi" w:hAnsiTheme="minorHAnsi"/>
          <w:b/>
          <w:bCs/>
          <w:sz w:val="23"/>
          <w:szCs w:val="23"/>
        </w:rPr>
        <w:t>Č</w:t>
      </w:r>
      <w:r w:rsidR="00716C1C" w:rsidRPr="00DC7A4A">
        <w:rPr>
          <w:rFonts w:asciiTheme="minorHAnsi" w:hAnsiTheme="minorHAnsi"/>
          <w:b/>
          <w:bCs/>
          <w:sz w:val="23"/>
          <w:szCs w:val="23"/>
        </w:rPr>
        <w:t>l. IV</w:t>
      </w:r>
    </w:p>
    <w:p w14:paraId="1F1A0263" w14:textId="77777777" w:rsidR="00FD2FEC" w:rsidRPr="00DC7A4A" w:rsidRDefault="00FD2FEC" w:rsidP="00AE25ED">
      <w:pPr>
        <w:pStyle w:val="Default"/>
        <w:spacing w:after="240" w:line="259" w:lineRule="auto"/>
        <w:jc w:val="center"/>
        <w:rPr>
          <w:rFonts w:asciiTheme="minorHAnsi" w:hAnsiTheme="minorHAnsi"/>
          <w:b/>
          <w:bCs/>
          <w:sz w:val="23"/>
          <w:szCs w:val="23"/>
        </w:rPr>
      </w:pPr>
      <w:r w:rsidRPr="00DC7A4A">
        <w:rPr>
          <w:rFonts w:asciiTheme="minorHAnsi" w:hAnsiTheme="minorHAnsi"/>
          <w:sz w:val="23"/>
          <w:szCs w:val="23"/>
        </w:rPr>
        <w:t xml:space="preserve"> </w:t>
      </w:r>
      <w:r w:rsidR="00891191" w:rsidRPr="00DC7A4A">
        <w:rPr>
          <w:rFonts w:asciiTheme="minorHAnsi" w:hAnsiTheme="minorHAnsi"/>
          <w:b/>
          <w:bCs/>
          <w:sz w:val="23"/>
          <w:szCs w:val="23"/>
        </w:rPr>
        <w:t>Informácie o iných aktívach a iných pasívach</w:t>
      </w:r>
    </w:p>
    <w:p w14:paraId="43DA59FE" w14:textId="77777777" w:rsidR="00891191" w:rsidRPr="00DC7A4A" w:rsidRDefault="00891191" w:rsidP="00891191">
      <w:pPr>
        <w:pStyle w:val="Default"/>
        <w:spacing w:line="259" w:lineRule="auto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b/>
          <w:bCs/>
          <w:sz w:val="22"/>
          <w:szCs w:val="22"/>
        </w:rPr>
        <w:t xml:space="preserve">I. Iné aktíva a iné pasíva </w:t>
      </w:r>
    </w:p>
    <w:p w14:paraId="2ABB50CC" w14:textId="77777777" w:rsidR="00497E97" w:rsidRPr="00DC7A4A" w:rsidRDefault="00891191" w:rsidP="00891191">
      <w:pPr>
        <w:pStyle w:val="Default"/>
        <w:spacing w:line="259" w:lineRule="auto"/>
        <w:rPr>
          <w:rFonts w:asciiTheme="minorHAnsi" w:hAnsiTheme="minorHAnsi" w:cs="Arial"/>
          <w:sz w:val="22"/>
          <w:szCs w:val="22"/>
        </w:rPr>
      </w:pPr>
      <w:r w:rsidRPr="00DC7A4A">
        <w:rPr>
          <w:rFonts w:asciiTheme="minorHAnsi" w:hAnsiTheme="minorHAnsi" w:cs="Arial"/>
          <w:sz w:val="22"/>
          <w:szCs w:val="22"/>
        </w:rPr>
        <w:t xml:space="preserve">Podrobné prehľady sú rozpísané v – </w:t>
      </w:r>
      <w:r w:rsidRPr="00CC65FE">
        <w:rPr>
          <w:rFonts w:asciiTheme="minorHAnsi" w:hAnsiTheme="minorHAnsi" w:cs="Arial"/>
          <w:b/>
          <w:color w:val="0000FF"/>
          <w:sz w:val="22"/>
          <w:szCs w:val="22"/>
        </w:rPr>
        <w:t>tabuľkách č. 23</w:t>
      </w:r>
      <w:r w:rsidRPr="004166DF">
        <w:rPr>
          <w:rFonts w:asciiTheme="minorHAnsi" w:hAnsiTheme="minorHAnsi" w:cs="Arial"/>
          <w:b/>
          <w:sz w:val="22"/>
          <w:szCs w:val="22"/>
        </w:rPr>
        <w:t xml:space="preserve"> </w:t>
      </w:r>
    </w:p>
    <w:p w14:paraId="6F176EAF" w14:textId="77777777" w:rsidR="00716C1C" w:rsidRPr="00DC7A4A" w:rsidRDefault="00891191" w:rsidP="00716C1C">
      <w:pPr>
        <w:pStyle w:val="Default"/>
        <w:spacing w:before="240" w:line="259" w:lineRule="auto"/>
        <w:jc w:val="center"/>
        <w:rPr>
          <w:rFonts w:asciiTheme="minorHAnsi" w:hAnsiTheme="minorHAnsi"/>
          <w:b/>
          <w:bCs/>
          <w:sz w:val="23"/>
          <w:szCs w:val="23"/>
        </w:rPr>
      </w:pPr>
      <w:r w:rsidRPr="00DC7A4A">
        <w:rPr>
          <w:rFonts w:asciiTheme="minorHAnsi" w:hAnsiTheme="minorHAnsi"/>
          <w:b/>
          <w:bCs/>
          <w:sz w:val="23"/>
          <w:szCs w:val="23"/>
        </w:rPr>
        <w:t>Č</w:t>
      </w:r>
      <w:r w:rsidR="00716C1C" w:rsidRPr="00DC7A4A">
        <w:rPr>
          <w:rFonts w:asciiTheme="minorHAnsi" w:hAnsiTheme="minorHAnsi"/>
          <w:b/>
          <w:bCs/>
          <w:sz w:val="23"/>
          <w:szCs w:val="23"/>
        </w:rPr>
        <w:t>l. V</w:t>
      </w:r>
    </w:p>
    <w:p w14:paraId="70FE21D6" w14:textId="77777777" w:rsidR="00C43788" w:rsidRPr="00DC7A4A" w:rsidRDefault="00891191" w:rsidP="00716C1C">
      <w:pPr>
        <w:pStyle w:val="Default"/>
        <w:spacing w:after="240" w:line="259" w:lineRule="auto"/>
        <w:jc w:val="center"/>
        <w:rPr>
          <w:rFonts w:asciiTheme="minorHAnsi" w:hAnsiTheme="minorHAnsi"/>
          <w:b/>
          <w:bCs/>
          <w:sz w:val="23"/>
          <w:szCs w:val="23"/>
        </w:rPr>
      </w:pPr>
      <w:r w:rsidRPr="00DC7A4A">
        <w:rPr>
          <w:rFonts w:asciiTheme="minorHAnsi" w:hAnsiTheme="minorHAnsi"/>
          <w:b/>
          <w:bCs/>
          <w:sz w:val="23"/>
          <w:szCs w:val="23"/>
        </w:rPr>
        <w:t xml:space="preserve"> Skutočnosti, ktoré nastali po dni, ku ktorému sa zostavuje účtovná závierka, do dň</w:t>
      </w:r>
      <w:r w:rsidR="00FD2FEC" w:rsidRPr="00DC7A4A">
        <w:rPr>
          <w:rFonts w:asciiTheme="minorHAnsi" w:hAnsiTheme="minorHAnsi"/>
          <w:b/>
          <w:bCs/>
          <w:sz w:val="23"/>
          <w:szCs w:val="23"/>
        </w:rPr>
        <w:t>a jej zost</w:t>
      </w:r>
      <w:r w:rsidRPr="00DC7A4A">
        <w:rPr>
          <w:rFonts w:asciiTheme="minorHAnsi" w:hAnsiTheme="minorHAnsi"/>
          <w:b/>
          <w:bCs/>
          <w:sz w:val="23"/>
          <w:szCs w:val="23"/>
        </w:rPr>
        <w:t>avenia</w:t>
      </w:r>
    </w:p>
    <w:p w14:paraId="60650F18" w14:textId="4911724F" w:rsidR="00B4685E" w:rsidRPr="00DC7A4A" w:rsidRDefault="00903818" w:rsidP="00AA121F">
      <w:pPr>
        <w:pStyle w:val="Default"/>
        <w:spacing w:before="240" w:after="240" w:line="259" w:lineRule="auto"/>
        <w:jc w:val="both"/>
        <w:rPr>
          <w:rFonts w:asciiTheme="minorHAnsi" w:hAnsiTheme="minorHAnsi"/>
          <w:b/>
          <w:bCs/>
          <w:sz w:val="23"/>
          <w:szCs w:val="23"/>
        </w:rPr>
      </w:pPr>
      <w:r>
        <w:rPr>
          <w:rFonts w:asciiTheme="minorHAnsi" w:hAnsiTheme="minorHAnsi" w:cs="Arial"/>
          <w:sz w:val="22"/>
          <w:szCs w:val="22"/>
        </w:rPr>
        <w:t>Po 31.</w:t>
      </w:r>
      <w:r w:rsidR="00A079C7">
        <w:rPr>
          <w:rFonts w:asciiTheme="minorHAnsi" w:hAnsiTheme="minorHAnsi" w:cs="Arial"/>
          <w:sz w:val="22"/>
          <w:szCs w:val="22"/>
        </w:rPr>
        <w:t xml:space="preserve"> </w:t>
      </w:r>
      <w:r>
        <w:rPr>
          <w:rFonts w:asciiTheme="minorHAnsi" w:hAnsiTheme="minorHAnsi" w:cs="Arial"/>
          <w:sz w:val="22"/>
          <w:szCs w:val="22"/>
        </w:rPr>
        <w:t>decembri 202</w:t>
      </w:r>
      <w:r w:rsidR="00144012">
        <w:rPr>
          <w:rFonts w:asciiTheme="minorHAnsi" w:hAnsiTheme="minorHAnsi" w:cs="Arial"/>
          <w:sz w:val="22"/>
          <w:szCs w:val="22"/>
        </w:rPr>
        <w:t>1</w:t>
      </w:r>
      <w:r w:rsidR="00891191" w:rsidRPr="00DC7A4A">
        <w:rPr>
          <w:rFonts w:asciiTheme="minorHAnsi" w:hAnsiTheme="minorHAnsi" w:cs="Arial"/>
          <w:sz w:val="22"/>
          <w:szCs w:val="22"/>
        </w:rPr>
        <w:t xml:space="preserve"> nenastali také udalosti, ktoré by vyžadovali zverejnenie alebo vykázanie </w:t>
      </w:r>
      <w:r w:rsidR="00497E97" w:rsidRPr="00DC7A4A">
        <w:rPr>
          <w:rFonts w:asciiTheme="minorHAnsi" w:hAnsiTheme="minorHAnsi" w:cs="Arial"/>
          <w:sz w:val="22"/>
          <w:szCs w:val="22"/>
        </w:rPr>
        <w:t xml:space="preserve"> </w:t>
      </w:r>
      <w:r w:rsidR="00891191" w:rsidRPr="00DC7A4A">
        <w:rPr>
          <w:rFonts w:asciiTheme="minorHAnsi" w:hAnsiTheme="minorHAnsi" w:cs="Arial"/>
          <w:sz w:val="22"/>
          <w:szCs w:val="22"/>
        </w:rPr>
        <w:t>v konsolidovan</w:t>
      </w:r>
      <w:r>
        <w:rPr>
          <w:rFonts w:asciiTheme="minorHAnsi" w:hAnsiTheme="minorHAnsi" w:cs="Arial"/>
          <w:sz w:val="22"/>
          <w:szCs w:val="22"/>
        </w:rPr>
        <w:t>ej účtovnej závierke za rok 202</w:t>
      </w:r>
      <w:r w:rsidR="00144012">
        <w:rPr>
          <w:rFonts w:asciiTheme="minorHAnsi" w:hAnsiTheme="minorHAnsi" w:cs="Arial"/>
          <w:sz w:val="22"/>
          <w:szCs w:val="22"/>
        </w:rPr>
        <w:t>1</w:t>
      </w:r>
      <w:r w:rsidR="00891191" w:rsidRPr="00DC7A4A">
        <w:rPr>
          <w:rFonts w:asciiTheme="minorHAnsi" w:hAnsiTheme="minorHAnsi" w:cs="Arial"/>
          <w:sz w:val="22"/>
          <w:szCs w:val="22"/>
        </w:rPr>
        <w:t>.</w:t>
      </w:r>
    </w:p>
    <w:sectPr w:rsidR="00B4685E" w:rsidRPr="00DC7A4A" w:rsidSect="00B4685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9A369D" w14:textId="77777777" w:rsidR="005D004D" w:rsidRDefault="005D004D" w:rsidP="00FD2FEC">
      <w:pPr>
        <w:spacing w:after="0" w:line="240" w:lineRule="auto"/>
      </w:pPr>
      <w:r>
        <w:separator/>
      </w:r>
    </w:p>
  </w:endnote>
  <w:endnote w:type="continuationSeparator" w:id="0">
    <w:p w14:paraId="12FA12B1" w14:textId="77777777" w:rsidR="005D004D" w:rsidRDefault="005D004D" w:rsidP="00FD2F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465754" w14:textId="77777777" w:rsidR="005D004D" w:rsidRDefault="005D004D" w:rsidP="00FD2FEC">
      <w:pPr>
        <w:spacing w:after="0" w:line="240" w:lineRule="auto"/>
      </w:pPr>
      <w:r>
        <w:separator/>
      </w:r>
    </w:p>
  </w:footnote>
  <w:footnote w:type="continuationSeparator" w:id="0">
    <w:p w14:paraId="0B282E34" w14:textId="77777777" w:rsidR="005D004D" w:rsidRDefault="005D004D" w:rsidP="00FD2F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50CF96" w14:textId="77777777" w:rsidR="0044403B" w:rsidRPr="00891191" w:rsidRDefault="0044403B" w:rsidP="0044403B">
    <w:pPr>
      <w:pStyle w:val="Default"/>
      <w:spacing w:line="259" w:lineRule="auto"/>
      <w:jc w:val="center"/>
      <w:rPr>
        <w:rFonts w:asciiTheme="minorHAnsi" w:hAnsiTheme="minorHAnsi"/>
        <w:sz w:val="22"/>
        <w:szCs w:val="22"/>
      </w:rPr>
    </w:pPr>
    <w:r w:rsidRPr="00891191">
      <w:rPr>
        <w:rFonts w:asciiTheme="minorHAnsi" w:hAnsiTheme="minorHAnsi"/>
        <w:sz w:val="22"/>
        <w:szCs w:val="22"/>
      </w:rPr>
      <w:t>Obec Nálepkovo</w:t>
    </w:r>
  </w:p>
  <w:p w14:paraId="2338A096" w14:textId="59EAED1A" w:rsidR="0044403B" w:rsidRDefault="0044403B" w:rsidP="0044403B">
    <w:pPr>
      <w:pStyle w:val="Default"/>
      <w:pBdr>
        <w:bottom w:val="single" w:sz="12" w:space="1" w:color="auto"/>
      </w:pBdr>
      <w:spacing w:line="259" w:lineRule="auto"/>
      <w:jc w:val="center"/>
      <w:rPr>
        <w:rFonts w:asciiTheme="minorHAnsi" w:hAnsiTheme="minorHAnsi"/>
        <w:sz w:val="22"/>
        <w:szCs w:val="22"/>
      </w:rPr>
    </w:pPr>
    <w:r w:rsidRPr="00891191">
      <w:rPr>
        <w:rFonts w:asciiTheme="minorHAnsi" w:hAnsiTheme="minorHAnsi"/>
        <w:sz w:val="22"/>
        <w:szCs w:val="22"/>
      </w:rPr>
      <w:t>Poznámky konsolidovanej účtovnej závierk</w:t>
    </w:r>
    <w:r w:rsidR="00E10AB3">
      <w:rPr>
        <w:rFonts w:asciiTheme="minorHAnsi" w:hAnsiTheme="minorHAnsi"/>
        <w:sz w:val="22"/>
        <w:szCs w:val="22"/>
      </w:rPr>
      <w:t>y zostavenej k 31. decembru 202</w:t>
    </w:r>
    <w:r w:rsidR="00144012">
      <w:rPr>
        <w:rFonts w:asciiTheme="minorHAnsi" w:hAnsiTheme="minorHAnsi"/>
        <w:sz w:val="22"/>
        <w:szCs w:val="22"/>
      </w:rPr>
      <w:t>1</w:t>
    </w:r>
  </w:p>
  <w:p w14:paraId="4E754DF8" w14:textId="77777777" w:rsidR="008713C4" w:rsidRPr="008713C4" w:rsidRDefault="0044403B">
    <w:pPr>
      <w:pStyle w:val="Hlavika"/>
    </w:pP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  <w:r>
      <w:softHyphen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65513"/>
    <w:multiLevelType w:val="hybridMultilevel"/>
    <w:tmpl w:val="3B28FBB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232015E"/>
    <w:multiLevelType w:val="hybridMultilevel"/>
    <w:tmpl w:val="41326F08"/>
    <w:lvl w:ilvl="0" w:tplc="041B000F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48239E6"/>
    <w:multiLevelType w:val="hybridMultilevel"/>
    <w:tmpl w:val="E4B46FC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D580A16"/>
    <w:multiLevelType w:val="hybridMultilevel"/>
    <w:tmpl w:val="D7E88E06"/>
    <w:lvl w:ilvl="0" w:tplc="83EEE272">
      <w:start w:val="12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12437BD"/>
    <w:multiLevelType w:val="hybridMultilevel"/>
    <w:tmpl w:val="D8560AF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48313192">
    <w:abstractNumId w:val="1"/>
  </w:num>
  <w:num w:numId="2" w16cid:durableId="478039146">
    <w:abstractNumId w:val="2"/>
  </w:num>
  <w:num w:numId="3" w16cid:durableId="861239482">
    <w:abstractNumId w:val="0"/>
  </w:num>
  <w:num w:numId="4" w16cid:durableId="521633370">
    <w:abstractNumId w:val="4"/>
  </w:num>
  <w:num w:numId="5" w16cid:durableId="15371578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191"/>
    <w:rsid w:val="000128D9"/>
    <w:rsid w:val="0002696F"/>
    <w:rsid w:val="000357DE"/>
    <w:rsid w:val="000442D2"/>
    <w:rsid w:val="0006268E"/>
    <w:rsid w:val="00086785"/>
    <w:rsid w:val="00090C12"/>
    <w:rsid w:val="000A6A9C"/>
    <w:rsid w:val="000C4493"/>
    <w:rsid w:val="000F2B47"/>
    <w:rsid w:val="00144012"/>
    <w:rsid w:val="001F0537"/>
    <w:rsid w:val="001F09A7"/>
    <w:rsid w:val="002158CC"/>
    <w:rsid w:val="002619DD"/>
    <w:rsid w:val="00271863"/>
    <w:rsid w:val="00287BBE"/>
    <w:rsid w:val="002B32BB"/>
    <w:rsid w:val="002D4499"/>
    <w:rsid w:val="002F71C3"/>
    <w:rsid w:val="0032206A"/>
    <w:rsid w:val="00352C10"/>
    <w:rsid w:val="003E5148"/>
    <w:rsid w:val="003F1B6B"/>
    <w:rsid w:val="004166DF"/>
    <w:rsid w:val="004305A2"/>
    <w:rsid w:val="004310BE"/>
    <w:rsid w:val="00442F99"/>
    <w:rsid w:val="0044403B"/>
    <w:rsid w:val="00497E97"/>
    <w:rsid w:val="00595CD7"/>
    <w:rsid w:val="005D004D"/>
    <w:rsid w:val="005F48E7"/>
    <w:rsid w:val="006211C1"/>
    <w:rsid w:val="006B1C95"/>
    <w:rsid w:val="006D1396"/>
    <w:rsid w:val="00716C1C"/>
    <w:rsid w:val="007174C8"/>
    <w:rsid w:val="00723A1C"/>
    <w:rsid w:val="00745539"/>
    <w:rsid w:val="00752958"/>
    <w:rsid w:val="007805B9"/>
    <w:rsid w:val="0078163A"/>
    <w:rsid w:val="00792161"/>
    <w:rsid w:val="00795526"/>
    <w:rsid w:val="007A3C5C"/>
    <w:rsid w:val="007C4E54"/>
    <w:rsid w:val="007C7F3E"/>
    <w:rsid w:val="008220FD"/>
    <w:rsid w:val="00857F3A"/>
    <w:rsid w:val="008713C4"/>
    <w:rsid w:val="00880414"/>
    <w:rsid w:val="00891191"/>
    <w:rsid w:val="008D2751"/>
    <w:rsid w:val="008E7AA1"/>
    <w:rsid w:val="00903818"/>
    <w:rsid w:val="00944D51"/>
    <w:rsid w:val="00982E00"/>
    <w:rsid w:val="009B1E8F"/>
    <w:rsid w:val="009E40BE"/>
    <w:rsid w:val="00A079C7"/>
    <w:rsid w:val="00A131AA"/>
    <w:rsid w:val="00A23178"/>
    <w:rsid w:val="00A307F3"/>
    <w:rsid w:val="00A716B6"/>
    <w:rsid w:val="00A71AD2"/>
    <w:rsid w:val="00AA121F"/>
    <w:rsid w:val="00AA2AE2"/>
    <w:rsid w:val="00AE25ED"/>
    <w:rsid w:val="00AF7EB0"/>
    <w:rsid w:val="00B17155"/>
    <w:rsid w:val="00B24133"/>
    <w:rsid w:val="00B35A64"/>
    <w:rsid w:val="00B4685E"/>
    <w:rsid w:val="00B5281E"/>
    <w:rsid w:val="00B52EDF"/>
    <w:rsid w:val="00B57D1A"/>
    <w:rsid w:val="00B701D3"/>
    <w:rsid w:val="00BE2E96"/>
    <w:rsid w:val="00BF63B4"/>
    <w:rsid w:val="00C25CD9"/>
    <w:rsid w:val="00C43788"/>
    <w:rsid w:val="00C7253A"/>
    <w:rsid w:val="00CA2E3B"/>
    <w:rsid w:val="00CC65FE"/>
    <w:rsid w:val="00D83BAF"/>
    <w:rsid w:val="00DC7A4A"/>
    <w:rsid w:val="00DD35F6"/>
    <w:rsid w:val="00DD6B7D"/>
    <w:rsid w:val="00E10AB3"/>
    <w:rsid w:val="00EB5DA9"/>
    <w:rsid w:val="00EC5742"/>
    <w:rsid w:val="00F121E4"/>
    <w:rsid w:val="00F2156C"/>
    <w:rsid w:val="00F62921"/>
    <w:rsid w:val="00F63F98"/>
    <w:rsid w:val="00F71C06"/>
    <w:rsid w:val="00FD2F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77BE2A"/>
  <w15:docId w15:val="{91837D9C-89C9-4FE6-894A-EF2EF53575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4685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91191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FD2F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D2FEC"/>
  </w:style>
  <w:style w:type="paragraph" w:styleId="Pta">
    <w:name w:val="footer"/>
    <w:basedOn w:val="Normlny"/>
    <w:link w:val="PtaChar"/>
    <w:uiPriority w:val="99"/>
    <w:unhideWhenUsed/>
    <w:rsid w:val="00FD2F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D2FEC"/>
  </w:style>
  <w:style w:type="table" w:styleId="Mriekatabuky">
    <w:name w:val="Table Grid"/>
    <w:basedOn w:val="Normlnatabuka"/>
    <w:uiPriority w:val="59"/>
    <w:rsid w:val="00A71A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231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317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1440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093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1700</Words>
  <Characters>9693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Asus</cp:lastModifiedBy>
  <cp:revision>6</cp:revision>
  <cp:lastPrinted>2021-06-14T11:43:00Z</cp:lastPrinted>
  <dcterms:created xsi:type="dcterms:W3CDTF">2022-06-20T22:44:00Z</dcterms:created>
  <dcterms:modified xsi:type="dcterms:W3CDTF">2022-06-20T22:46:00Z</dcterms:modified>
</cp:coreProperties>
</file>