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2.xml" ContentType="application/vnd.openxmlformats-officedocument.wordprocessingml.footer+xml"/>
  <Override PartName="/word/numbering.xml" ContentType="application/vnd.openxmlformats-officedocument.wordprocessingml.numbering+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Default"/>
        <w:tabs>
          <w:tab w:val="clear" w:pos="720"/>
          <w:tab w:val="left" w:pos="9781" w:leader="none"/>
        </w:tabs>
        <w:jc w:val="both"/>
        <w:rPr>
          <w:rFonts w:ascii="Arial Narrow" w:hAnsi="Arial Narrow"/>
          <w:b/>
          <w:b/>
          <w:i/>
          <w:i/>
        </w:rPr>
      </w:pPr>
      <w:r>
        <w:rPr>
          <w:rFonts w:ascii="Arial Narrow" w:hAnsi="Arial Narrow"/>
          <w:b/>
          <w:i/>
        </w:rPr>
      </w:r>
    </w:p>
    <w:p>
      <w:pPr>
        <w:pStyle w:val="Normal"/>
        <w:tabs>
          <w:tab w:val="clear" w:pos="720"/>
          <w:tab w:val="left" w:pos="9781" w:leader="none"/>
        </w:tabs>
        <w:ind w:left="3679" w:right="4485" w:hanging="0"/>
        <w:jc w:val="both"/>
        <w:rPr>
          <w:b/>
          <w:b/>
        </w:rPr>
      </w:pPr>
      <w:r>
        <w:rPr>
          <w:b/>
        </w:rPr>
      </w:r>
    </w:p>
    <w:p>
      <w:pPr>
        <w:pStyle w:val="Normal"/>
        <w:tabs>
          <w:tab w:val="clear" w:pos="720"/>
          <w:tab w:val="left" w:pos="9781" w:leader="none"/>
        </w:tabs>
        <w:ind w:right="9" w:hanging="0"/>
        <w:jc w:val="center"/>
        <w:rPr>
          <w:b/>
          <w:b/>
          <w:sz w:val="24"/>
        </w:rPr>
      </w:pPr>
      <w:r>
        <w:rPr>
          <w:b/>
          <w:sz w:val="24"/>
        </w:rPr>
        <w:t xml:space="preserve">POZNÁMKY </w:t>
      </w:r>
    </w:p>
    <w:p>
      <w:pPr>
        <w:pStyle w:val="Normal"/>
        <w:tabs>
          <w:tab w:val="clear" w:pos="720"/>
          <w:tab w:val="left" w:pos="9781" w:leader="none"/>
        </w:tabs>
        <w:ind w:right="9" w:hanging="0"/>
        <w:jc w:val="center"/>
        <w:rPr>
          <w:b/>
          <w:b/>
        </w:rPr>
      </w:pPr>
      <w:r>
        <w:rPr>
          <w:b/>
        </w:rPr>
        <w:t>k..31.12.202</w:t>
      </w:r>
      <w:r>
        <w:rPr>
          <w:rFonts w:eastAsia="Arial Narrow" w:cs="Arial Narrow"/>
          <w:b/>
          <w:color w:val="auto"/>
          <w:kern w:val="0"/>
          <w:sz w:val="22"/>
          <w:szCs w:val="22"/>
          <w:lang w:val="sk-SK" w:eastAsia="en-US" w:bidi="ar-SA"/>
        </w:rPr>
        <w:t>1</w:t>
      </w:r>
    </w:p>
    <w:p>
      <w:pPr>
        <w:pStyle w:val="Normal"/>
        <w:spacing w:lineRule="auto" w:line="276"/>
        <w:ind w:left="1453" w:right="543" w:hanging="0"/>
        <w:jc w:val="both"/>
        <w:rPr>
          <w:b/>
          <w:b/>
          <w:bCs/>
          <w:color w:val="00B050"/>
        </w:rPr>
      </w:pPr>
      <w:r>
        <w:rPr>
          <w:b/>
          <w:bCs/>
          <w:color w:val="00B050"/>
        </w:rPr>
        <w:t xml:space="preserve">                          </w:t>
      </w:r>
      <w:r>
        <w:rPr>
          <w:b/>
          <w:bCs/>
          <w:color w:val="00B050"/>
        </w:rPr>
        <w:t>Výročná správa registrovaného sociálneho podniku</w:t>
      </w:r>
    </w:p>
    <w:p>
      <w:pPr>
        <w:pStyle w:val="Normal"/>
        <w:spacing w:lineRule="auto" w:line="276"/>
        <w:ind w:left="1453" w:right="543" w:hanging="0"/>
        <w:jc w:val="both"/>
        <w:rPr>
          <w:rFonts w:cs="Times"/>
          <w:color w:val="00B050"/>
          <w:sz w:val="20"/>
          <w:szCs w:val="20"/>
        </w:rPr>
      </w:pPr>
      <w:r>
        <w:rPr>
          <w:rFonts w:cs="Times"/>
          <w:color w:val="00B050"/>
          <w:sz w:val="20"/>
          <w:szCs w:val="20"/>
        </w:rPr>
        <w:t>v  zmysle   príslušných ustanovení  zákona č. 112/2018  z. z. o sociálnej ekonomike a sociálnych podnikoch a o  zmene  a doplnení  niektorých zákonov (ďalej  len ,,zákon č. 112/2018 Z. z.</w:t>
      </w:r>
    </w:p>
    <w:p>
      <w:pPr>
        <w:pStyle w:val="Default"/>
        <w:tabs>
          <w:tab w:val="clear" w:pos="720"/>
          <w:tab w:val="left" w:pos="9781" w:leader="none"/>
        </w:tabs>
        <w:jc w:val="center"/>
        <w:rPr>
          <w:rFonts w:ascii="Arial Narrow" w:hAnsi="Arial Narrow"/>
          <w:b/>
          <w:b/>
          <w:bCs/>
          <w:color w:val="00B050"/>
          <w:szCs w:val="22"/>
        </w:rPr>
      </w:pPr>
      <w:r>
        <w:rPr>
          <w:rFonts w:ascii="Arial Narrow" w:hAnsi="Arial Narrow"/>
          <w:b/>
          <w:bCs/>
          <w:color w:val="00B050"/>
          <w:szCs w:val="22"/>
        </w:rPr>
      </w:r>
    </w:p>
    <w:p>
      <w:pPr>
        <w:pStyle w:val="Telotextu"/>
        <w:tabs>
          <w:tab w:val="clear" w:pos="720"/>
          <w:tab w:val="left" w:pos="9781" w:leader="none"/>
        </w:tabs>
        <w:jc w:val="both"/>
        <w:rPr>
          <w:b/>
          <w:b/>
          <w:sz w:val="24"/>
        </w:rPr>
      </w:pPr>
      <w:r>
        <w:rPr>
          <w:b/>
          <w:sz w:val="24"/>
        </w:rPr>
      </w:r>
    </w:p>
    <w:p>
      <w:pPr>
        <w:pStyle w:val="Telotextu"/>
        <w:tabs>
          <w:tab w:val="clear" w:pos="720"/>
          <w:tab w:val="left" w:pos="9781" w:leader="none"/>
        </w:tabs>
        <w:jc w:val="both"/>
        <w:rPr>
          <w:b/>
          <w:b/>
          <w:sz w:val="20"/>
        </w:rPr>
      </w:pPr>
      <w:r>
        <w:rPr>
          <w:b/>
          <w:sz w:val="20"/>
        </w:rPr>
      </w:r>
    </w:p>
    <w:p>
      <w:pPr>
        <w:pStyle w:val="Nadpis1"/>
        <w:numPr>
          <w:ilvl w:val="0"/>
          <w:numId w:val="9"/>
        </w:numPr>
        <w:tabs>
          <w:tab w:val="clear" w:pos="720"/>
          <w:tab w:val="left" w:pos="9781" w:leader="none"/>
        </w:tabs>
        <w:ind w:left="284" w:hanging="288"/>
        <w:jc w:val="both"/>
        <w:rPr>
          <w:sz w:val="24"/>
        </w:rPr>
      </w:pPr>
      <w:r>
        <w:rPr>
          <w:sz w:val="24"/>
        </w:rPr>
        <w:t>Poznámky obsahujú tieto informácie o účtovnej jednotke:</w:t>
      </w:r>
    </w:p>
    <w:p>
      <w:pPr>
        <w:pStyle w:val="Telotextu"/>
        <w:tabs>
          <w:tab w:val="clear" w:pos="720"/>
          <w:tab w:val="left" w:pos="9781" w:leader="none"/>
        </w:tabs>
        <w:spacing w:before="11" w:after="0"/>
        <w:jc w:val="both"/>
        <w:rPr>
          <w:b/>
          <w:b/>
          <w:sz w:val="21"/>
        </w:rPr>
      </w:pPr>
      <w:r>
        <w:rPr>
          <w:b/>
          <w:sz w:val="21"/>
        </w:rPr>
      </w:r>
    </w:p>
    <w:p>
      <w:pPr>
        <w:pStyle w:val="ListParagraph"/>
        <w:numPr>
          <w:ilvl w:val="1"/>
          <w:numId w:val="9"/>
        </w:numPr>
        <w:tabs>
          <w:tab w:val="clear" w:pos="720"/>
          <w:tab w:val="left" w:pos="9781" w:leader="none"/>
        </w:tabs>
        <w:ind w:left="426" w:hanging="286"/>
        <w:jc w:val="both"/>
        <w:rPr/>
      </w:pPr>
      <w:r>
        <w:rPr/>
        <w:t>obchodné meno a sídlo účtovnej jednotky, dátum jej založenia a dátum jej</w:t>
      </w:r>
      <w:r>
        <w:rPr>
          <w:spacing w:val="-6"/>
        </w:rPr>
        <w:t xml:space="preserve"> </w:t>
      </w:r>
      <w:r>
        <w:rPr/>
        <w:t>vzniku</w:t>
      </w:r>
    </w:p>
    <w:p>
      <w:pPr>
        <w:pStyle w:val="Default"/>
        <w:tabs>
          <w:tab w:val="clear" w:pos="720"/>
          <w:tab w:val="left" w:pos="9781" w:leader="none"/>
        </w:tabs>
        <w:spacing w:before="120" w:after="0"/>
        <w:ind w:left="426" w:hanging="0"/>
        <w:rPr>
          <w:rFonts w:ascii="Arial Narrow" w:hAnsi="Arial Narrow"/>
          <w:color w:val="FF0000"/>
          <w:sz w:val="22"/>
          <w:szCs w:val="22"/>
        </w:rPr>
      </w:pPr>
      <w:r>
        <w:rPr>
          <w:rFonts w:ascii="Arial Narrow" w:hAnsi="Arial Narrow"/>
          <w:b/>
          <w:color w:val="FF0000"/>
          <w:sz w:val="22"/>
          <w:szCs w:val="22"/>
        </w:rPr>
        <w:t>Názov spoločnosti</w:t>
      </w:r>
      <w:r>
        <w:rPr>
          <w:rFonts w:ascii="Arial Narrow" w:hAnsi="Arial Narrow"/>
          <w:b/>
          <w:color w:val="00B050"/>
          <w:sz w:val="22"/>
          <w:szCs w:val="22"/>
        </w:rPr>
        <w:t xml:space="preserve">: </w:t>
      </w:r>
      <w:r>
        <w:rPr>
          <w:rFonts w:ascii="Arial Narrow" w:hAnsi="Arial Narrow"/>
          <w:b/>
          <w:color w:val="FF0000"/>
          <w:sz w:val="22"/>
          <w:szCs w:val="22"/>
        </w:rPr>
        <w:t>Obecný podnik  Liptovský Ondrej s.r.o.</w:t>
      </w:r>
    </w:p>
    <w:p>
      <w:pPr>
        <w:pStyle w:val="Default"/>
        <w:tabs>
          <w:tab w:val="clear" w:pos="720"/>
          <w:tab w:val="left" w:pos="9781" w:leader="none"/>
        </w:tabs>
        <w:spacing w:before="120" w:after="0"/>
        <w:ind w:left="426" w:hanging="0"/>
        <w:jc w:val="both"/>
        <w:rPr>
          <w:rFonts w:ascii="Arial Narrow" w:hAnsi="Arial Narrow"/>
          <w:color w:val="FF0000"/>
          <w:sz w:val="22"/>
          <w:szCs w:val="22"/>
        </w:rPr>
      </w:pPr>
      <w:r>
        <w:rPr>
          <w:rFonts w:ascii="Arial Narrow" w:hAnsi="Arial Narrow"/>
          <w:color w:val="FF0000"/>
          <w:sz w:val="22"/>
          <w:szCs w:val="22"/>
        </w:rPr>
        <w:t>Dátum vzniku (zápisu do príslušného registra): 10.04.2020</w:t>
      </w:r>
    </w:p>
    <w:p>
      <w:pPr>
        <w:pStyle w:val="Default"/>
        <w:tabs>
          <w:tab w:val="clear" w:pos="720"/>
          <w:tab w:val="left" w:pos="9781" w:leader="none"/>
        </w:tabs>
        <w:spacing w:before="120" w:after="0"/>
        <w:ind w:left="426" w:hanging="0"/>
        <w:jc w:val="both"/>
        <w:rPr>
          <w:rFonts w:ascii="Arial Narrow" w:hAnsi="Arial Narrow"/>
          <w:color w:val="00B050"/>
          <w:sz w:val="22"/>
          <w:szCs w:val="22"/>
        </w:rPr>
      </w:pPr>
      <w:r>
        <w:rPr>
          <w:rFonts w:ascii="Arial Narrow" w:hAnsi="Arial Narrow"/>
          <w:color w:val="FF0000"/>
          <w:sz w:val="22"/>
          <w:szCs w:val="22"/>
        </w:rPr>
        <w:t>Sídlo:</w:t>
      </w:r>
      <w:r>
        <w:rPr>
          <w:rFonts w:ascii="Arial Narrow" w:hAnsi="Arial Narrow"/>
          <w:color w:val="00B050"/>
          <w:sz w:val="22"/>
          <w:szCs w:val="22"/>
        </w:rPr>
        <w:t xml:space="preserve"> Liptovský Ondrej 247, 03204 Liptovský Ondrej   </w:t>
      </w:r>
    </w:p>
    <w:p>
      <w:pPr>
        <w:pStyle w:val="Default"/>
        <w:tabs>
          <w:tab w:val="clear" w:pos="720"/>
          <w:tab w:val="left" w:pos="9781" w:leader="none"/>
        </w:tabs>
        <w:spacing w:before="60" w:after="0"/>
        <w:ind w:left="426" w:hanging="0"/>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426" w:hanging="0"/>
        <w:rPr>
          <w:rFonts w:ascii="Arial Narrow" w:hAnsi="Arial Narrow"/>
          <w:color w:val="FF0000"/>
          <w:sz w:val="22"/>
          <w:szCs w:val="22"/>
        </w:rPr>
      </w:pPr>
      <w:r>
        <w:rPr>
          <w:rFonts w:ascii="Arial Narrow" w:hAnsi="Arial Narrow"/>
          <w:color w:val="FF0000"/>
          <w:sz w:val="22"/>
          <w:szCs w:val="22"/>
        </w:rPr>
        <w:t>Spoločnosť</w:t>
      </w:r>
      <w:r>
        <w:rPr>
          <w:rFonts w:ascii="Arial Narrow" w:hAnsi="Arial Narrow"/>
          <w:b/>
          <w:color w:val="FF0000"/>
          <w:sz w:val="22"/>
          <w:szCs w:val="22"/>
        </w:rPr>
        <w:t xml:space="preserve"> </w:t>
      </w:r>
      <w:r>
        <w:rPr>
          <w:rFonts w:ascii="Arial Narrow" w:hAnsi="Arial Narrow"/>
          <w:color w:val="FF0000"/>
          <w:sz w:val="22"/>
          <w:szCs w:val="22"/>
        </w:rPr>
        <w:t>vyhlasuje, že</w:t>
      </w:r>
      <w:r>
        <w:rPr>
          <w:rFonts w:ascii="Arial Narrow" w:hAnsi="Arial Narrow"/>
          <w:b/>
          <w:color w:val="FF0000"/>
          <w:sz w:val="22"/>
          <w:szCs w:val="22"/>
        </w:rPr>
        <w:t xml:space="preserve"> </w:t>
      </w:r>
      <w:r>
        <w:rPr>
          <w:rFonts w:ascii="Arial Narrow" w:hAnsi="Arial Narrow"/>
          <w:color w:val="FF0000"/>
          <w:sz w:val="22"/>
          <w:szCs w:val="22"/>
        </w:rPr>
        <w:t xml:space="preserve">v období, za ktoré je zostavená účtovná závierka, </w:t>
      </w:r>
      <w:r>
        <w:rPr>
          <w:rFonts w:ascii="Arial Narrow" w:hAnsi="Arial Narrow"/>
          <w:b/>
          <w:color w:val="FF0000"/>
          <w:sz w:val="22"/>
          <w:szCs w:val="22"/>
        </w:rPr>
        <w:t>nezmenila*</w:t>
      </w:r>
      <w:r>
        <w:rPr>
          <w:rFonts w:ascii="Arial Narrow" w:hAnsi="Arial Narrow"/>
          <w:color w:val="FF0000"/>
          <w:sz w:val="22"/>
          <w:szCs w:val="22"/>
        </w:rPr>
        <w:t xml:space="preserve"> </w:t>
      </w:r>
      <w:r>
        <w:rPr>
          <w:rFonts w:ascii="Arial Narrow" w:hAnsi="Arial Narrow"/>
          <w:color w:val="FF0000"/>
          <w:sz w:val="22"/>
          <w:szCs w:val="22"/>
          <w:u w:val="single"/>
        </w:rPr>
        <w:t>adresu  sídla  ani prevádzkarne</w:t>
      </w:r>
      <w:r>
        <w:rPr>
          <w:rFonts w:ascii="Arial Narrow" w:hAnsi="Arial Narrow"/>
          <w:color w:val="FF0000"/>
          <w:sz w:val="22"/>
          <w:szCs w:val="22"/>
        </w:rPr>
        <w:t>,  ak túto má zapísanú v príslušnom  registri.</w:t>
      </w:r>
    </w:p>
    <w:p>
      <w:pPr>
        <w:pStyle w:val="Default"/>
        <w:tabs>
          <w:tab w:val="clear" w:pos="720"/>
          <w:tab w:val="left" w:pos="9781" w:leader="none"/>
        </w:tabs>
        <w:spacing w:before="60" w:after="0"/>
        <w:ind w:left="426" w:hanging="0"/>
        <w:rPr>
          <w:rFonts w:ascii="Arial Narrow" w:hAnsi="Arial Narrow"/>
          <w:b/>
          <w:b/>
          <w:color w:val="00B050"/>
          <w:sz w:val="22"/>
          <w:szCs w:val="22"/>
        </w:rPr>
      </w:pPr>
      <w:r>
        <w:rPr>
          <w:rFonts w:ascii="Arial Narrow" w:hAnsi="Arial Narrow"/>
          <w:b/>
          <w:color w:val="00B050"/>
          <w:sz w:val="22"/>
          <w:szCs w:val="22"/>
        </w:rPr>
      </w:r>
    </w:p>
    <w:p>
      <w:pPr>
        <w:pStyle w:val="Default"/>
        <w:tabs>
          <w:tab w:val="clear" w:pos="720"/>
          <w:tab w:val="left" w:pos="709" w:leader="none"/>
          <w:tab w:val="left" w:pos="5954" w:leader="none"/>
          <w:tab w:val="left" w:pos="9781" w:leader="none"/>
        </w:tabs>
        <w:spacing w:before="60" w:after="0"/>
        <w:ind w:left="426" w:hanging="0"/>
        <w:jc w:val="both"/>
        <w:rPr>
          <w:rFonts w:ascii="Arial Narrow" w:hAnsi="Arial Narrow"/>
          <w:color w:val="00B050"/>
          <w:sz w:val="22"/>
          <w:szCs w:val="22"/>
        </w:rPr>
      </w:pPr>
      <w:r>
        <w:rPr>
          <w:rFonts w:ascii="Arial Narrow" w:hAnsi="Arial Narrow"/>
          <w:b/>
          <w:color w:val="00B050"/>
          <w:sz w:val="22"/>
          <w:szCs w:val="22"/>
        </w:rPr>
        <w:t>Druh</w:t>
      </w:r>
      <w:r>
        <w:rPr>
          <w:rFonts w:ascii="Arial Narrow" w:hAnsi="Arial Narrow"/>
          <w:color w:val="00B050"/>
          <w:sz w:val="22"/>
          <w:szCs w:val="22"/>
        </w:rPr>
        <w:t xml:space="preserve"> </w:t>
      </w:r>
      <w:r>
        <w:rPr>
          <w:rFonts w:ascii="Arial Narrow" w:hAnsi="Arial Narrow"/>
          <w:b/>
          <w:color w:val="00B050"/>
          <w:sz w:val="22"/>
          <w:szCs w:val="22"/>
        </w:rPr>
        <w:t>registrovaného sociálneho podniku (RSP)</w:t>
      </w:r>
      <w:r>
        <w:rPr>
          <w:rFonts w:ascii="Arial Narrow" w:hAnsi="Arial Narrow"/>
          <w:color w:val="00B050"/>
          <w:sz w:val="22"/>
          <w:szCs w:val="22"/>
        </w:rPr>
        <w:t xml:space="preserve">: </w:t>
      </w:r>
      <w:r>
        <w:rPr>
          <w:rFonts w:ascii="Arial Narrow" w:hAnsi="Arial Narrow"/>
          <w:b/>
          <w:color w:val="00B050"/>
          <w:sz w:val="22"/>
          <w:szCs w:val="22"/>
        </w:rPr>
        <w:t>integračný</w:t>
      </w:r>
      <w:r>
        <w:rPr>
          <w:rFonts w:ascii="Arial Narrow" w:hAnsi="Arial Narrow"/>
          <w:b/>
          <w:color w:val="FF0000"/>
          <w:sz w:val="22"/>
          <w:szCs w:val="22"/>
        </w:rPr>
        <w:t xml:space="preserve"> </w:t>
      </w:r>
    </w:p>
    <w:p>
      <w:pPr>
        <w:pStyle w:val="Default"/>
        <w:tabs>
          <w:tab w:val="clear" w:pos="720"/>
          <w:tab w:val="left" w:pos="709" w:leader="none"/>
          <w:tab w:val="left" w:pos="5954" w:leader="none"/>
          <w:tab w:val="left" w:pos="9781" w:leader="none"/>
        </w:tabs>
        <w:spacing w:before="60" w:after="0"/>
        <w:ind w:left="426" w:hanging="0"/>
        <w:jc w:val="both"/>
        <w:rPr>
          <w:rFonts w:ascii="Arial Narrow" w:hAnsi="Arial Narrow"/>
          <w:color w:val="FF0000"/>
          <w:sz w:val="22"/>
          <w:szCs w:val="22"/>
        </w:rPr>
      </w:pPr>
      <w:r>
        <w:rPr>
          <w:rFonts w:ascii="Arial Narrow" w:hAnsi="Arial Narrow"/>
          <w:color w:val="00B050"/>
          <w:sz w:val="22"/>
          <w:szCs w:val="22"/>
        </w:rPr>
        <w:t xml:space="preserve">Dátum priznania štatútu: </w:t>
      </w:r>
      <w:r>
        <w:rPr>
          <w:rFonts w:ascii="Arial Narrow" w:hAnsi="Arial Narrow"/>
          <w:color w:val="FF0000"/>
          <w:sz w:val="22"/>
          <w:szCs w:val="22"/>
        </w:rPr>
        <w:t>.01.06.2020..................................</w:t>
      </w:r>
    </w:p>
    <w:p>
      <w:pPr>
        <w:pStyle w:val="Default"/>
        <w:tabs>
          <w:tab w:val="clear" w:pos="720"/>
          <w:tab w:val="left" w:pos="709" w:leader="none"/>
          <w:tab w:val="left" w:pos="5954" w:leader="none"/>
          <w:tab w:val="left" w:pos="9781" w:leader="none"/>
        </w:tabs>
        <w:spacing w:before="60" w:after="0"/>
        <w:ind w:left="426" w:hanging="0"/>
        <w:jc w:val="both"/>
        <w:rPr>
          <w:rFonts w:ascii="Arial Narrow" w:hAnsi="Arial Narrow"/>
          <w:color w:val="00B050"/>
          <w:sz w:val="22"/>
          <w:szCs w:val="22"/>
        </w:rPr>
      </w:pPr>
      <w:r>
        <w:rPr>
          <w:rFonts w:ascii="Arial Narrow" w:hAnsi="Arial Narrow"/>
          <w:b/>
          <w:color w:val="FF0000"/>
          <w:sz w:val="22"/>
          <w:szCs w:val="22"/>
        </w:rPr>
        <w:t xml:space="preserve"> </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t xml:space="preserve">Spôsob zapájania zainteresovaných osôb do správy RSP v zmysle základného dokumentu spoločnosti:     </w:t>
      </w:r>
    </w:p>
    <w:p>
      <w:pPr>
        <w:pStyle w:val="Default"/>
        <w:tabs>
          <w:tab w:val="clear" w:pos="720"/>
          <w:tab w:val="left" w:pos="9781" w:leader="none"/>
        </w:tabs>
        <w:spacing w:before="60" w:after="0"/>
        <w:ind w:left="426" w:hanging="0"/>
        <w:rPr>
          <w:rFonts w:ascii="Arial Narrow" w:hAnsi="Arial Narrow"/>
          <w:b/>
          <w:b/>
          <w:color w:val="00B050"/>
          <w:sz w:val="22"/>
          <w:szCs w:val="22"/>
        </w:rPr>
      </w:pPr>
      <w:r>
        <w:rPr>
          <w:rFonts w:ascii="Arial Narrow" w:hAnsi="Arial Narrow"/>
          <w:b/>
          <w:color w:val="00B050"/>
          <w:sz w:val="22"/>
          <w:szCs w:val="22"/>
        </w:rPr>
        <w:t xml:space="preserve">poradný výbor </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t xml:space="preserve">Dátum zasadnutia prvého  poradného výboru - splnenie povinnosti v zmysle § 6 ods. 1 písm. b) zákona č. 112/2018 Z.z. o sociálnej ekonomike a sociálnych podnikoch v platnom znení (zákon o SE): </w:t>
      </w:r>
      <w:r>
        <w:rPr>
          <w:rFonts w:ascii="Arial Narrow" w:hAnsi="Arial Narrow"/>
          <w:color w:val="FF0000"/>
          <w:sz w:val="22"/>
          <w:szCs w:val="22"/>
        </w:rPr>
        <w:t>..06.07.2020................................</w:t>
      </w:r>
      <w:r>
        <w:rPr>
          <w:rFonts w:ascii="Arial Narrow" w:hAnsi="Arial Narrow"/>
          <w:color w:val="00B050"/>
          <w:sz w:val="22"/>
          <w:szCs w:val="22"/>
        </w:rPr>
        <w:tab/>
        <w:tab/>
      </w:r>
    </w:p>
    <w:p>
      <w:pPr>
        <w:pStyle w:val="Default"/>
        <w:tabs>
          <w:tab w:val="clear" w:pos="720"/>
          <w:tab w:val="left" w:pos="9781" w:leader="none"/>
        </w:tabs>
        <w:spacing w:before="60" w:after="0"/>
        <w:ind w:left="426" w:hanging="0"/>
        <w:jc w:val="both"/>
        <w:rPr>
          <w:rFonts w:ascii="Arial Narrow" w:hAnsi="Arial Narrow"/>
          <w:b/>
          <w:b/>
          <w:color w:val="00B050"/>
          <w:sz w:val="22"/>
          <w:szCs w:val="22"/>
        </w:rPr>
      </w:pPr>
      <w:r>
        <w:rPr>
          <w:rFonts w:ascii="Arial Narrow" w:hAnsi="Arial Narrow"/>
          <w:color w:val="00B050"/>
          <w:sz w:val="22"/>
          <w:szCs w:val="22"/>
        </w:rPr>
        <w:t xml:space="preserve">Spôsob kreovania poradného výboru: </w:t>
      </w:r>
      <w:r>
        <w:rPr>
          <w:rFonts w:ascii="Arial Narrow" w:hAnsi="Arial Narrow"/>
          <w:b/>
          <w:color w:val="00B050"/>
          <w:sz w:val="22"/>
          <w:szCs w:val="22"/>
        </w:rPr>
        <w:t xml:space="preserve">dočasné menovanie </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t xml:space="preserve">RSP </w:t>
      </w:r>
      <w:r>
        <w:rPr>
          <w:rFonts w:ascii="Arial Narrow" w:hAnsi="Arial Narrow"/>
          <w:b/>
          <w:color w:val="00B050"/>
          <w:sz w:val="22"/>
          <w:szCs w:val="22"/>
        </w:rPr>
        <w:t>má</w:t>
      </w:r>
      <w:r>
        <w:rPr>
          <w:rFonts w:ascii="Arial Narrow" w:hAnsi="Arial Narrow"/>
          <w:b/>
          <w:color w:val="FF0000"/>
          <w:sz w:val="22"/>
          <w:szCs w:val="22"/>
        </w:rPr>
        <w:t xml:space="preserve"> </w:t>
      </w:r>
      <w:r>
        <w:rPr>
          <w:rFonts w:ascii="Arial Narrow" w:hAnsi="Arial Narrow"/>
          <w:color w:val="00B050"/>
          <w:sz w:val="22"/>
          <w:szCs w:val="22"/>
        </w:rPr>
        <w:t xml:space="preserve"> vypracovaný interný dokument pre poradný výbor.</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426" w:right="9" w:hanging="0"/>
        <w:jc w:val="both"/>
        <w:rPr>
          <w:rFonts w:ascii="Arial Narrow" w:hAnsi="Arial Narrow"/>
          <w:color w:val="FF0000"/>
          <w:sz w:val="22"/>
          <w:szCs w:val="22"/>
        </w:rPr>
      </w:pPr>
      <w:r>
        <w:rPr>
          <w:rFonts w:ascii="Arial Narrow" w:hAnsi="Arial Narrow"/>
          <w:color w:val="00B050"/>
          <w:sz w:val="22"/>
          <w:szCs w:val="22"/>
        </w:rPr>
        <w:t xml:space="preserve">Počet </w:t>
      </w:r>
      <w:r>
        <w:rPr>
          <w:rFonts w:ascii="Arial Narrow" w:hAnsi="Arial Narrow"/>
          <w:color w:val="FF0000"/>
          <w:sz w:val="22"/>
          <w:szCs w:val="22"/>
        </w:rPr>
        <w:t xml:space="preserve"> </w:t>
      </w:r>
      <w:r>
        <w:rPr>
          <w:rFonts w:ascii="Arial Narrow" w:hAnsi="Arial Narrow"/>
          <w:color w:val="00B050"/>
          <w:sz w:val="22"/>
          <w:szCs w:val="22"/>
        </w:rPr>
        <w:t xml:space="preserve">zasadnutí poradného výboru v období, za ktoré je zostavená účtovná závierka: </w:t>
      </w:r>
      <w:r>
        <w:rPr>
          <w:rFonts w:ascii="Arial Narrow" w:hAnsi="Arial Narrow"/>
          <w:color w:val="FF0000"/>
          <w:sz w:val="22"/>
          <w:szCs w:val="22"/>
        </w:rPr>
        <w:t>........1..............................</w:t>
      </w:r>
    </w:p>
    <w:p>
      <w:pPr>
        <w:pStyle w:val="Default"/>
        <w:tabs>
          <w:tab w:val="clear" w:pos="720"/>
          <w:tab w:val="left" w:pos="9781" w:leader="none"/>
        </w:tabs>
        <w:spacing w:before="60" w:after="0"/>
        <w:ind w:left="426" w:right="9" w:hanging="0"/>
        <w:jc w:val="both"/>
        <w:rPr>
          <w:rFonts w:ascii="Arial Narrow" w:hAnsi="Arial Narrow"/>
          <w:color w:val="FF0000"/>
          <w:sz w:val="22"/>
          <w:szCs w:val="22"/>
        </w:rPr>
      </w:pPr>
      <w:r>
        <w:rPr>
          <w:rFonts w:ascii="Arial Narrow" w:hAnsi="Arial Narrow"/>
          <w:color w:val="FF0000"/>
          <w:sz w:val="22"/>
          <w:szCs w:val="22"/>
        </w:rPr>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t xml:space="preserve">RSP </w:t>
      </w:r>
      <w:r>
        <w:rPr>
          <w:rFonts w:ascii="Arial Narrow" w:hAnsi="Arial Narrow"/>
          <w:b/>
          <w:color w:val="00B050"/>
          <w:sz w:val="22"/>
          <w:szCs w:val="22"/>
        </w:rPr>
        <w:t xml:space="preserve">má </w:t>
      </w:r>
      <w:r>
        <w:rPr>
          <w:rFonts w:ascii="Arial Narrow" w:hAnsi="Arial Narrow"/>
          <w:color w:val="00B050"/>
          <w:sz w:val="22"/>
          <w:szCs w:val="22"/>
        </w:rPr>
        <w:t>vypracované zápisnice zo všetkých zasadnutí poradného výboru.</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b/>
          <w:color w:val="00B050"/>
          <w:sz w:val="22"/>
          <w:szCs w:val="22"/>
        </w:rPr>
        <w:t xml:space="preserve">RPS </w:t>
      </w:r>
      <w:r>
        <w:rPr>
          <w:rFonts w:ascii="Arial Narrow" w:hAnsi="Arial Narrow"/>
          <w:color w:val="00B050"/>
          <w:sz w:val="22"/>
          <w:szCs w:val="22"/>
        </w:rPr>
        <w:t>vyhlasuje, že počas obdobia, za ktoré je účtovná závierka zostavená</w:t>
      </w:r>
      <w:r>
        <w:rPr>
          <w:rFonts w:ascii="Arial Narrow" w:hAnsi="Arial Narrow"/>
          <w:b/>
          <w:color w:val="00B050"/>
          <w:sz w:val="22"/>
          <w:szCs w:val="22"/>
        </w:rPr>
        <w:t xml:space="preserve"> nenastali*</w:t>
      </w:r>
      <w:r>
        <w:rPr>
          <w:rFonts w:ascii="Arial Narrow" w:hAnsi="Arial Narrow"/>
          <w:color w:val="00B050"/>
          <w:sz w:val="22"/>
          <w:szCs w:val="22"/>
        </w:rPr>
        <w:t xml:space="preserve"> žiadne  zmeny v zložení poradného výboru.</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vyhlasuje, že počas obdobia, za ktoré je účtovná závierka zostavená, </w:t>
      </w:r>
      <w:r>
        <w:rPr>
          <w:rFonts w:ascii="Arial Narrow" w:hAnsi="Arial Narrow"/>
          <w:b/>
          <w:color w:val="00B050"/>
          <w:sz w:val="22"/>
          <w:szCs w:val="22"/>
        </w:rPr>
        <w:t>nemal*</w:t>
      </w:r>
      <w:r>
        <w:rPr>
          <w:rFonts w:ascii="Arial Narrow" w:hAnsi="Arial Narrow"/>
          <w:color w:val="00B050"/>
          <w:sz w:val="22"/>
          <w:szCs w:val="22"/>
        </w:rPr>
        <w:t xml:space="preserve"> vyhlásený konkurz na majetok, </w:t>
      </w:r>
      <w:r>
        <w:rPr>
          <w:rFonts w:ascii="Arial Narrow" w:hAnsi="Arial Narrow"/>
          <w:b/>
          <w:color w:val="00B050"/>
          <w:sz w:val="22"/>
          <w:szCs w:val="22"/>
        </w:rPr>
        <w:t xml:space="preserve"> / nebolo*</w:t>
      </w:r>
      <w:r>
        <w:rPr>
          <w:rFonts w:ascii="Arial Narrow" w:hAnsi="Arial Narrow"/>
          <w:color w:val="00B050"/>
          <w:sz w:val="22"/>
          <w:szCs w:val="22"/>
        </w:rPr>
        <w:t xml:space="preserve"> voči nemu zastavené konkurzné konanie pre nedostatok majetku alebo </w:t>
      </w:r>
      <w:r>
        <w:rPr>
          <w:rFonts w:ascii="Arial Narrow" w:hAnsi="Arial Narrow"/>
          <w:b/>
          <w:color w:val="00B050"/>
          <w:sz w:val="22"/>
          <w:szCs w:val="22"/>
        </w:rPr>
        <w:t>nebol*</w:t>
      </w:r>
      <w:r>
        <w:rPr>
          <w:rFonts w:ascii="Arial Narrow" w:hAnsi="Arial Narrow"/>
          <w:color w:val="00B050"/>
          <w:sz w:val="22"/>
          <w:szCs w:val="22"/>
        </w:rPr>
        <w:t xml:space="preserve"> zrušený konkurz pre nedostatok majetku. </w:t>
      </w:r>
      <w:r>
        <w:rPr>
          <w:rFonts w:ascii="Arial Narrow" w:hAnsi="Arial Narrow"/>
          <w:b/>
          <w:color w:val="00B050"/>
          <w:sz w:val="22"/>
          <w:szCs w:val="22"/>
        </w:rPr>
        <w:t>RSP</w:t>
      </w:r>
      <w:r>
        <w:rPr>
          <w:rFonts w:ascii="Arial Narrow" w:hAnsi="Arial Narrow"/>
          <w:color w:val="00B050"/>
          <w:sz w:val="22"/>
          <w:szCs w:val="22"/>
        </w:rPr>
        <w:t xml:space="preserve"> zároveň vyhlasuje, že ku dňu zostavenia účtovnej závierky </w:t>
      </w:r>
      <w:r>
        <w:rPr>
          <w:rFonts w:ascii="Arial Narrow" w:hAnsi="Arial Narrow"/>
          <w:b/>
          <w:color w:val="00B050"/>
          <w:sz w:val="22"/>
          <w:szCs w:val="22"/>
        </w:rPr>
        <w:t>nie je*</w:t>
      </w:r>
      <w:r>
        <w:rPr>
          <w:rFonts w:ascii="Arial Narrow" w:hAnsi="Arial Narrow"/>
          <w:color w:val="00B050"/>
          <w:sz w:val="22"/>
          <w:szCs w:val="22"/>
        </w:rPr>
        <w:t xml:space="preserve"> v reštrukturalizácii a </w:t>
      </w:r>
      <w:r>
        <w:rPr>
          <w:rFonts w:ascii="Arial Narrow" w:hAnsi="Arial Narrow"/>
          <w:b/>
          <w:color w:val="00B050"/>
          <w:sz w:val="22"/>
          <w:szCs w:val="22"/>
        </w:rPr>
        <w:t xml:space="preserve"> nie je*</w:t>
      </w:r>
      <w:r>
        <w:rPr>
          <w:rFonts w:ascii="Arial Narrow" w:hAnsi="Arial Narrow"/>
          <w:color w:val="00B050"/>
          <w:sz w:val="22"/>
          <w:szCs w:val="22"/>
        </w:rPr>
        <w:t xml:space="preserve"> v likvidácii.</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b/>
          <w:color w:val="00B050"/>
          <w:sz w:val="22"/>
          <w:szCs w:val="22"/>
        </w:rPr>
        <w:t xml:space="preserve">RSP </w:t>
      </w:r>
      <w:r>
        <w:rPr>
          <w:rFonts w:ascii="Arial Narrow" w:hAnsi="Arial Narrow"/>
          <w:color w:val="00B050"/>
          <w:sz w:val="22"/>
          <w:szCs w:val="22"/>
        </w:rPr>
        <w:t xml:space="preserve">vyhlasuje, že v období, za ktoré je zostavená účtovná závierka, </w:t>
      </w:r>
      <w:r>
        <w:rPr>
          <w:rFonts w:ascii="Arial Narrow" w:hAnsi="Arial Narrow"/>
          <w:b/>
          <w:color w:val="00B050"/>
          <w:sz w:val="22"/>
          <w:szCs w:val="22"/>
        </w:rPr>
        <w:t>nesplynul*</w:t>
      </w:r>
      <w:r>
        <w:rPr>
          <w:rFonts w:ascii="Arial Narrow" w:hAnsi="Arial Narrow"/>
          <w:color w:val="00B050"/>
          <w:sz w:val="22"/>
          <w:szCs w:val="22"/>
        </w:rPr>
        <w:t xml:space="preserve"> alebo </w:t>
      </w:r>
      <w:r>
        <w:rPr>
          <w:rFonts w:ascii="Arial Narrow" w:hAnsi="Arial Narrow"/>
          <w:b/>
          <w:color w:val="00B050"/>
          <w:sz w:val="22"/>
          <w:szCs w:val="22"/>
        </w:rPr>
        <w:t xml:space="preserve">sa nezlúčil* </w:t>
      </w:r>
      <w:r>
        <w:rPr>
          <w:rFonts w:ascii="Arial Narrow" w:hAnsi="Arial Narrow"/>
          <w:color w:val="00B050"/>
          <w:sz w:val="22"/>
          <w:szCs w:val="22"/>
          <w:u w:val="single"/>
        </w:rPr>
        <w:t>s inou osobou, ktorá nebola registrovaným sociálnym podnikom</w:t>
      </w:r>
      <w:r>
        <w:rPr>
          <w:rFonts w:ascii="Arial Narrow" w:hAnsi="Arial Narrow"/>
          <w:color w:val="00B050"/>
          <w:sz w:val="22"/>
          <w:szCs w:val="22"/>
        </w:rPr>
        <w:t xml:space="preserve">. </w:t>
      </w:r>
      <w:r>
        <w:rPr>
          <w:rFonts w:ascii="Arial Narrow" w:hAnsi="Arial Narrow"/>
          <w:b/>
          <w:color w:val="00B050"/>
          <w:sz w:val="22"/>
          <w:szCs w:val="22"/>
        </w:rPr>
        <w:t xml:space="preserve">RSP </w:t>
      </w:r>
      <w:r>
        <w:rPr>
          <w:rFonts w:ascii="Arial Narrow" w:hAnsi="Arial Narrow"/>
          <w:color w:val="00B050"/>
          <w:sz w:val="22"/>
          <w:szCs w:val="22"/>
        </w:rPr>
        <w:t xml:space="preserve">zároveň vyhlasuje, že v období, za ktoré je zostavená účtovná závierka, </w:t>
      </w:r>
      <w:r>
        <w:rPr>
          <w:rFonts w:ascii="Arial Narrow" w:hAnsi="Arial Narrow"/>
          <w:b/>
          <w:color w:val="00B050"/>
          <w:sz w:val="22"/>
          <w:szCs w:val="22"/>
        </w:rPr>
        <w:t>/ nerozdelil*</w:t>
      </w:r>
      <w:r>
        <w:rPr>
          <w:rFonts w:ascii="Arial Narrow" w:hAnsi="Arial Narrow"/>
          <w:color w:val="00B050"/>
          <w:sz w:val="22"/>
          <w:szCs w:val="22"/>
        </w:rPr>
        <w:t xml:space="preserve">. V prípade rozdelenia RSP, osoby, na ktoré prešlo imanie RSP </w:t>
      </w:r>
      <w:r>
        <w:rPr>
          <w:rFonts w:ascii="Arial Narrow" w:hAnsi="Arial Narrow"/>
          <w:b/>
          <w:color w:val="00B050"/>
          <w:sz w:val="22"/>
          <w:szCs w:val="22"/>
        </w:rPr>
        <w:t>neboli*</w:t>
      </w:r>
      <w:r>
        <w:rPr>
          <w:rFonts w:ascii="Arial Narrow" w:hAnsi="Arial Narrow"/>
          <w:color w:val="00B050"/>
          <w:sz w:val="22"/>
          <w:szCs w:val="22"/>
        </w:rPr>
        <w:t xml:space="preserve"> registrovanými sociálnymi podnikmi.</w:t>
      </w:r>
    </w:p>
    <w:p>
      <w:pPr>
        <w:pStyle w:val="Default"/>
        <w:tabs>
          <w:tab w:val="clear" w:pos="720"/>
          <w:tab w:val="left" w:pos="9781" w:leader="none"/>
        </w:tabs>
        <w:ind w:left="709" w:hanging="0"/>
        <w:jc w:val="both"/>
        <w:rPr>
          <w:rFonts w:ascii="Arial Narrow" w:hAnsi="Arial Narrow"/>
          <w:color w:val="00B050"/>
          <w:sz w:val="22"/>
          <w:szCs w:val="22"/>
        </w:rPr>
      </w:pPr>
      <w:r>
        <w:rPr>
          <w:rFonts w:ascii="Arial Narrow" w:hAnsi="Arial Narrow"/>
          <w:color w:val="00B050"/>
          <w:sz w:val="22"/>
          <w:szCs w:val="22"/>
        </w:rPr>
      </w:r>
    </w:p>
    <w:p>
      <w:pPr>
        <w:pStyle w:val="ListParagraph"/>
        <w:numPr>
          <w:ilvl w:val="1"/>
          <w:numId w:val="9"/>
        </w:numPr>
        <w:tabs>
          <w:tab w:val="clear" w:pos="720"/>
          <w:tab w:val="left" w:pos="9781" w:leader="none"/>
        </w:tabs>
        <w:ind w:left="426" w:hanging="286"/>
        <w:jc w:val="both"/>
        <w:rPr/>
      </w:pPr>
      <w:r>
        <w:rPr/>
        <w:t>opis hospodárskej činnosti účtovnej jednotky</w:t>
      </w:r>
    </w:p>
    <w:p>
      <w:pPr>
        <w:pStyle w:val="Default"/>
        <w:tabs>
          <w:tab w:val="clear" w:pos="720"/>
          <w:tab w:val="left" w:pos="9781" w:leader="none"/>
        </w:tabs>
        <w:spacing w:before="120" w:after="0"/>
        <w:ind w:left="284" w:hanging="0"/>
        <w:jc w:val="both"/>
        <w:rPr>
          <w:rFonts w:ascii="Arial Narrow" w:hAnsi="Arial Narrow"/>
          <w:b/>
          <w:b/>
          <w:color w:val="00B050"/>
          <w:sz w:val="22"/>
          <w:szCs w:val="22"/>
        </w:rPr>
      </w:pPr>
      <w:r>
        <w:rPr>
          <w:rFonts w:ascii="Arial Narrow" w:hAnsi="Arial Narrow"/>
          <w:b/>
          <w:color w:val="00B050"/>
          <w:sz w:val="22"/>
          <w:szCs w:val="22"/>
        </w:rPr>
        <w:t>Predmety činnosti RSP:</w:t>
      </w:r>
    </w:p>
    <w:p>
      <w:pPr>
        <w:pStyle w:val="Default"/>
        <w:tabs>
          <w:tab w:val="clear" w:pos="720"/>
          <w:tab w:val="left" w:pos="9781" w:leader="none"/>
        </w:tabs>
        <w:spacing w:before="120" w:after="0"/>
        <w:ind w:left="284"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 období, za ktoré je zostavená účtovná závierka, </w:t>
      </w:r>
      <w:r>
        <w:rPr>
          <w:rFonts w:ascii="Arial Narrow" w:hAnsi="Arial Narrow"/>
          <w:b/>
          <w:color w:val="00B050"/>
          <w:sz w:val="22"/>
          <w:szCs w:val="22"/>
        </w:rPr>
        <w:t>nemenil</w:t>
      </w:r>
      <w:r>
        <w:rPr>
          <w:rFonts w:ascii="Arial Narrow" w:hAnsi="Arial Narrow"/>
          <w:color w:val="00B050"/>
          <w:sz w:val="22"/>
          <w:szCs w:val="22"/>
        </w:rPr>
        <w:t xml:space="preserve">* predmety činnosti.    </w:t>
      </w:r>
      <w:r>
        <w:rPr>
          <w:rFonts w:ascii="Arial Narrow" w:hAnsi="Arial Narrow"/>
          <w:color w:val="00B050"/>
          <w:sz w:val="22"/>
          <w:szCs w:val="22"/>
          <w:highlight w:val="yellow"/>
        </w:rPr>
        <w:t>§ 27a ods. 2 písm. e)</w:t>
      </w:r>
    </w:p>
    <w:p>
      <w:pPr>
        <w:pStyle w:val="Default"/>
        <w:tabs>
          <w:tab w:val="clear" w:pos="720"/>
          <w:tab w:val="left" w:pos="9781" w:leader="none"/>
        </w:tabs>
        <w:spacing w:before="120" w:after="0"/>
        <w:ind w:left="284" w:hanging="0"/>
        <w:jc w:val="both"/>
        <w:rPr>
          <w:rFonts w:ascii="Arial Narrow" w:hAnsi="Arial Narrow"/>
          <w:color w:val="00B050"/>
          <w:sz w:val="22"/>
          <w:szCs w:val="22"/>
        </w:rPr>
      </w:pPr>
      <w:r>
        <w:rPr>
          <w:rFonts w:ascii="Arial Narrow" w:hAnsi="Arial Narrow"/>
          <w:color w:val="00B050"/>
          <w:sz w:val="22"/>
          <w:szCs w:val="22"/>
        </w:rPr>
        <w:t>Hlavným cieľom RSP v zmysle základného dokumentu spoločnosti je poskytovanie spoločensky prospešnej služby v oblasti:</w:t>
      </w:r>
    </w:p>
    <w:p>
      <w:pPr>
        <w:pStyle w:val="Default"/>
        <w:numPr>
          <w:ilvl w:val="0"/>
          <w:numId w:val="11"/>
        </w:numPr>
        <w:tabs>
          <w:tab w:val="clear" w:pos="720"/>
          <w:tab w:val="left" w:pos="9781" w:leader="none"/>
        </w:tabs>
        <w:ind w:left="1003" w:hanging="357"/>
        <w:jc w:val="both"/>
        <w:rPr>
          <w:rFonts w:ascii="Arial Narrow" w:hAnsi="Arial Narrow"/>
          <w:color w:val="00B050"/>
          <w:sz w:val="22"/>
          <w:szCs w:val="22"/>
        </w:rPr>
      </w:pPr>
      <w:r>
        <w:rPr>
          <w:rFonts w:ascii="Arial Narrow" w:hAnsi="Arial Narrow"/>
          <w:color w:val="00B050"/>
          <w:sz w:val="22"/>
          <w:szCs w:val="22"/>
        </w:rPr>
        <w:t xml:space="preserve">služby na podporu regionálneho rozvoja a zamestnanosti </w:t>
      </w:r>
    </w:p>
    <w:p>
      <w:pPr>
        <w:pStyle w:val="Default"/>
        <w:tabs>
          <w:tab w:val="clear" w:pos="720"/>
          <w:tab w:val="left" w:pos="9781" w:leader="none"/>
        </w:tabs>
        <w:spacing w:before="60" w:after="0"/>
        <w:ind w:left="284" w:hanging="0"/>
        <w:jc w:val="both"/>
        <w:rPr>
          <w:rFonts w:ascii="Arial Narrow" w:hAnsi="Arial Narrow"/>
          <w:color w:val="FF0000"/>
          <w:sz w:val="22"/>
          <w:szCs w:val="22"/>
        </w:rPr>
      </w:pPr>
      <w:r>
        <w:rPr>
          <w:rFonts w:ascii="Arial Narrow" w:hAnsi="Arial Narrow"/>
          <w:color w:val="00B050"/>
          <w:sz w:val="22"/>
          <w:szCs w:val="22"/>
        </w:rPr>
        <w:t xml:space="preserve">Činnosť, ktorou spoločnosť dosahuje pozitívny sociálny vplyv v zmysle základného dokumentu  spoločnosti je najmä:  </w:t>
      </w:r>
      <w:r>
        <w:rPr>
          <w:rFonts w:ascii="Arial Narrow" w:hAnsi="Arial Narrow"/>
          <w:color w:val="FF0000"/>
          <w:sz w:val="22"/>
          <w:szCs w:val="22"/>
        </w:rPr>
        <w:t>odpísať so zakladateľskej listiny.</w:t>
      </w:r>
    </w:p>
    <w:p>
      <w:pPr>
        <w:pStyle w:val="Default"/>
        <w:tabs>
          <w:tab w:val="clear" w:pos="720"/>
          <w:tab w:val="left" w:pos="9781" w:leader="none"/>
        </w:tabs>
        <w:spacing w:before="60" w:after="0"/>
        <w:ind w:left="284" w:hanging="0"/>
        <w:jc w:val="both"/>
        <w:rPr>
          <w:rFonts w:ascii="Arial Narrow" w:hAnsi="Arial Narrow"/>
          <w:color w:val="FF0000"/>
          <w:sz w:val="22"/>
          <w:szCs w:val="22"/>
        </w:rPr>
      </w:pPr>
      <w:r>
        <w:rPr>
          <w:rFonts w:ascii="Arial Narrow" w:hAnsi="Arial Narrow"/>
          <w:color w:val="FF0000"/>
          <w:sz w:val="22"/>
          <w:szCs w:val="22"/>
        </w:rPr>
      </w:r>
    </w:p>
    <w:p>
      <w:pPr>
        <w:pStyle w:val="Default"/>
        <w:tabs>
          <w:tab w:val="clear" w:pos="720"/>
          <w:tab w:val="left" w:pos="9781" w:leader="none"/>
        </w:tabs>
        <w:spacing w:before="60" w:after="0"/>
        <w:ind w:left="284" w:hanging="0"/>
        <w:jc w:val="both"/>
        <w:rPr>
          <w:rFonts w:ascii="Arial Narrow" w:hAnsi="Arial Narrow" w:cs="Times"/>
          <w:color w:val="00B050"/>
          <w:sz w:val="22"/>
          <w:szCs w:val="22"/>
        </w:rPr>
      </w:pPr>
      <w:r>
        <w:rPr>
          <w:rFonts w:ascii="Arial Narrow" w:hAnsi="Arial Narrow"/>
          <w:color w:val="00B050"/>
          <w:sz w:val="22"/>
          <w:szCs w:val="22"/>
        </w:rPr>
        <w:t xml:space="preserve">Spôsob merania pozitívneho sociálneho vplyvu v zmysle základného dokumentu: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Pr>
          <w:rFonts w:cs="Times" w:ascii="Arial Narrow" w:hAnsi="Arial Narrow"/>
          <w:color w:val="00B050"/>
          <w:sz w:val="22"/>
          <w:szCs w:val="22"/>
        </w:rPr>
        <w:t xml:space="preserve">  zákona č. 112/2018  z. z. o sociálnej ekonomike a sociálnych podnikoch a o  zmene  a doplnení  niektorých zákonov (ďalej  len ,,zákon č. 112/2018 Z. z.) </w:t>
      </w:r>
    </w:p>
    <w:p>
      <w:pPr>
        <w:pStyle w:val="Default"/>
        <w:tabs>
          <w:tab w:val="clear" w:pos="720"/>
          <w:tab w:val="left" w:pos="9781" w:leader="none"/>
        </w:tabs>
        <w:spacing w:before="60" w:after="0"/>
        <w:ind w:left="284" w:hanging="0"/>
        <w:jc w:val="both"/>
        <w:rPr>
          <w:rFonts w:ascii="Arial Narrow" w:hAnsi="Arial Narrow"/>
          <w:color w:val="00B050"/>
          <w:sz w:val="22"/>
          <w:szCs w:val="22"/>
        </w:rPr>
      </w:pPr>
      <w:r>
        <w:rPr>
          <w:rFonts w:ascii="Arial Narrow" w:hAnsi="Arial Narrow"/>
          <w:b/>
          <w:color w:val="00B050"/>
          <w:sz w:val="22"/>
          <w:szCs w:val="22"/>
        </w:rPr>
        <w:t xml:space="preserve">RSP </w:t>
      </w:r>
      <w:r>
        <w:rPr>
          <w:rFonts w:ascii="Arial Narrow" w:hAnsi="Arial Narrow"/>
          <w:color w:val="00B050"/>
          <w:sz w:val="22"/>
          <w:szCs w:val="22"/>
        </w:rPr>
        <w:t xml:space="preserve">v období, za ktoré je zostavená účtovná závierka, </w:t>
      </w:r>
      <w:r>
        <w:rPr>
          <w:rFonts w:ascii="Arial Narrow" w:hAnsi="Arial Narrow"/>
          <w:b/>
          <w:color w:val="00B050"/>
          <w:sz w:val="22"/>
          <w:szCs w:val="22"/>
        </w:rPr>
        <w:t xml:space="preserve">  nezmenil*</w:t>
      </w:r>
      <w:r>
        <w:rPr>
          <w:rFonts w:ascii="Arial Narrow" w:hAnsi="Arial Narrow"/>
          <w:color w:val="00B050"/>
          <w:sz w:val="22"/>
          <w:szCs w:val="22"/>
        </w:rPr>
        <w:t xml:space="preserve"> merateľný pozitívny sociálny vplyv.</w:t>
      </w:r>
    </w:p>
    <w:p>
      <w:pPr>
        <w:pStyle w:val="Default"/>
        <w:tabs>
          <w:tab w:val="clear" w:pos="720"/>
          <w:tab w:val="left" w:pos="9781" w:leader="none"/>
        </w:tabs>
        <w:spacing w:before="60" w:after="0"/>
        <w:ind w:left="284" w:hanging="0"/>
        <w:jc w:val="both"/>
        <w:rPr>
          <w:rFonts w:ascii="Arial Narrow" w:hAnsi="Arial Narrow"/>
          <w:color w:val="FF0000"/>
          <w:sz w:val="22"/>
          <w:szCs w:val="22"/>
        </w:rPr>
      </w:pPr>
      <w:r>
        <w:rPr>
          <w:rFonts w:ascii="Arial Narrow" w:hAnsi="Arial Narrow"/>
          <w:color w:val="FF0000"/>
          <w:sz w:val="22"/>
          <w:szCs w:val="22"/>
        </w:rPr>
      </w:r>
    </w:p>
    <w:p>
      <w:pPr>
        <w:pStyle w:val="Default"/>
        <w:tabs>
          <w:tab w:val="clear" w:pos="720"/>
          <w:tab w:val="left" w:pos="9781" w:leader="none"/>
        </w:tabs>
        <w:spacing w:before="60" w:after="0"/>
        <w:ind w:left="284" w:hanging="0"/>
        <w:jc w:val="both"/>
        <w:rPr>
          <w:rFonts w:ascii="Arial Narrow" w:hAnsi="Arial Narrow"/>
          <w:b/>
          <w:b/>
          <w:color w:val="FF0000"/>
          <w:sz w:val="22"/>
          <w:szCs w:val="22"/>
        </w:rPr>
      </w:pPr>
      <w:r>
        <w:rPr>
          <w:rFonts w:ascii="Arial Narrow" w:hAnsi="Arial Narrow"/>
          <w:color w:val="FF0000"/>
          <w:sz w:val="22"/>
          <w:szCs w:val="22"/>
        </w:rPr>
        <w:t>Priebeh plnenia hlavného cieľa v roku 202</w:t>
      </w:r>
      <w:r>
        <w:rPr>
          <w:rFonts w:ascii="Arial Narrow" w:hAnsi="Arial Narrow"/>
          <w:color w:val="FF0000"/>
          <w:sz w:val="22"/>
          <w:szCs w:val="22"/>
        </w:rPr>
        <w:t>1</w:t>
      </w:r>
      <w:r>
        <w:rPr>
          <w:rFonts w:ascii="Arial Narrow" w:hAnsi="Arial Narrow"/>
          <w:color w:val="FF0000"/>
          <w:sz w:val="22"/>
          <w:szCs w:val="22"/>
        </w:rPr>
        <w:t xml:space="preserve"> </w:t>
      </w:r>
    </w:p>
    <w:p>
      <w:pPr>
        <w:pStyle w:val="Normal"/>
        <w:spacing w:lineRule="auto" w:line="276"/>
        <w:ind w:left="1453" w:right="543" w:hanging="0"/>
        <w:jc w:val="both"/>
        <w:rPr>
          <w:rFonts w:cs="Times"/>
          <w:color w:val="00B050"/>
        </w:rPr>
      </w:pPr>
      <w:r>
        <w:rPr>
          <w:rFonts w:cs="Times"/>
          <w:color w:val="00B050"/>
        </w:rPr>
      </w:r>
    </w:p>
    <w:tbl>
      <w:tblPr>
        <w:tblStyle w:val="Mriekatabuky"/>
        <w:tblW w:w="9072" w:type="dxa"/>
        <w:jc w:val="left"/>
        <w:tblInd w:w="675" w:type="dxa"/>
        <w:tblLayout w:type="fixed"/>
        <w:tblCellMar>
          <w:top w:w="0" w:type="dxa"/>
          <w:left w:w="108" w:type="dxa"/>
          <w:bottom w:w="0" w:type="dxa"/>
          <w:right w:w="108" w:type="dxa"/>
        </w:tblCellMar>
        <w:tblLook w:firstRow="1" w:noVBand="1" w:lastRow="0" w:firstColumn="1" w:lastColumn="0" w:noHBand="0" w:val="04a0"/>
      </w:tblPr>
      <w:tblGrid>
        <w:gridCol w:w="2551"/>
        <w:gridCol w:w="3261"/>
        <w:gridCol w:w="3260"/>
      </w:tblGrid>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1 - 12 mesiac</w:t>
            </w:r>
          </w:p>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stav ku koncu mesiaca</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zamestnaných znevýhodnených osôb a/alebo zraniteľných osôb z celkového počtu zamestnancov v TPP</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FF0000"/>
                <w:sz w:val="22"/>
                <w:szCs w:val="22"/>
              </w:rPr>
            </w:pPr>
            <w:r>
              <w:rPr>
                <w:rFonts w:ascii="Arial Narrow" w:hAnsi="Arial Narrow"/>
                <w:color w:val="FF0000"/>
                <w:sz w:val="22"/>
                <w:szCs w:val="22"/>
              </w:rPr>
            </w:r>
          </w:p>
          <w:p>
            <w:pPr>
              <w:pStyle w:val="Default"/>
              <w:widowControl w:val="false"/>
              <w:tabs>
                <w:tab w:val="clear" w:pos="720"/>
                <w:tab w:val="left" w:pos="9781" w:leader="none"/>
              </w:tabs>
              <w:suppressAutoHyphens w:val="true"/>
              <w:spacing w:before="0" w:after="0"/>
              <w:jc w:val="both"/>
              <w:rPr>
                <w:rFonts w:ascii="Arial Narrow" w:hAnsi="Arial Narrow"/>
                <w:strike/>
                <w:color w:val="FF0000"/>
                <w:sz w:val="22"/>
                <w:szCs w:val="22"/>
              </w:rPr>
            </w:pPr>
            <w:r>
              <w:rPr>
                <w:rFonts w:eastAsia="Calibri" w:ascii="Arial Narrow" w:hAnsi="Arial Narrow"/>
                <w:color w:val="FF0000"/>
                <w:kern w:val="0"/>
                <w:sz w:val="22"/>
                <w:szCs w:val="22"/>
                <w:lang w:eastAsia="en-US" w:bidi="ar-SA"/>
              </w:rPr>
              <w:t>merateľný PSV splnený / nesplnený</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1  </w:t>
            </w:r>
            <w:r>
              <w:rPr>
                <w:rFonts w:eastAsia="Calibri" w:cs="Arial" w:ascii="Arial Narrow" w:hAnsi="Arial Narrow"/>
                <w:color w:val="00B050"/>
                <w:kern w:val="0"/>
                <w:sz w:val="22"/>
                <w:szCs w:val="22"/>
                <w:lang w:val="sk-SK" w:eastAsia="en-US" w:bidi="ar-SA"/>
              </w:rPr>
              <w:t>januar</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eastAsia="Calibri" w:cs="Arial" w:ascii="Arial Narrow" w:hAnsi="Arial Narrow"/>
                <w:color w:val="00B050"/>
                <w:kern w:val="0"/>
                <w:sz w:val="22"/>
                <w:szCs w:val="22"/>
                <w:lang w:val="sk-SK" w:eastAsia="en-US" w:bidi="ar-SA"/>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2  </w:t>
            </w:r>
            <w:r>
              <w:rPr>
                <w:rFonts w:eastAsia="Calibri" w:cs="Arial" w:ascii="Arial Narrow" w:hAnsi="Arial Narrow"/>
                <w:color w:val="00B050"/>
                <w:kern w:val="0"/>
                <w:sz w:val="22"/>
                <w:szCs w:val="22"/>
                <w:lang w:val="sk-SK" w:eastAsia="en-US" w:bidi="ar-SA"/>
              </w:rPr>
              <w:t>februar</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eastAsia="Calibri" w:cs="Arial" w:ascii="Arial Narrow" w:hAnsi="Arial Narrow"/>
                <w:color w:val="00B050"/>
                <w:kern w:val="0"/>
                <w:sz w:val="22"/>
                <w:szCs w:val="22"/>
                <w:lang w:val="sk-SK" w:eastAsia="en-US" w:bidi="ar-SA"/>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3  </w:t>
            </w:r>
            <w:r>
              <w:rPr>
                <w:rFonts w:eastAsia="Calibri" w:cs="Arial" w:ascii="Arial Narrow" w:hAnsi="Arial Narrow"/>
                <w:color w:val="00B050"/>
                <w:kern w:val="0"/>
                <w:sz w:val="22"/>
                <w:szCs w:val="22"/>
                <w:lang w:val="sk-SK" w:eastAsia="en-US" w:bidi="ar-SA"/>
              </w:rPr>
              <w:t>marec</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eastAsia="Calibri" w:cs="Arial" w:ascii="Arial Narrow" w:hAnsi="Arial Narrow"/>
                <w:color w:val="00B050"/>
                <w:kern w:val="0"/>
                <w:sz w:val="22"/>
                <w:szCs w:val="22"/>
                <w:lang w:val="sk-SK" w:eastAsia="en-US" w:bidi="ar-SA"/>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4 </w:t>
            </w:r>
            <w:r>
              <w:rPr>
                <w:rFonts w:eastAsia="Calibri" w:ascii="Arial Narrow" w:hAnsi="Arial Narrow"/>
                <w:color w:val="00B050"/>
                <w:kern w:val="0"/>
                <w:sz w:val="22"/>
                <w:szCs w:val="22"/>
                <w:lang w:eastAsia="en-US" w:bidi="ar-SA"/>
              </w:rPr>
              <w:t>april</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5 </w:t>
            </w:r>
            <w:r>
              <w:rPr>
                <w:rFonts w:eastAsia="Calibri" w:ascii="Arial Narrow" w:hAnsi="Arial Narrow"/>
                <w:color w:val="00B050"/>
                <w:kern w:val="0"/>
                <w:sz w:val="22"/>
                <w:szCs w:val="22"/>
                <w:lang w:eastAsia="en-US" w:bidi="ar-SA"/>
              </w:rPr>
              <w:t>maj</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6 </w:t>
            </w:r>
            <w:r>
              <w:rPr>
                <w:rFonts w:eastAsia="Calibri" w:ascii="Arial Narrow" w:hAnsi="Arial Narrow"/>
                <w:color w:val="00B050"/>
                <w:kern w:val="0"/>
                <w:sz w:val="22"/>
                <w:szCs w:val="22"/>
                <w:lang w:eastAsia="en-US" w:bidi="ar-SA"/>
              </w:rPr>
              <w:t>jun</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7 </w:t>
            </w:r>
            <w:r>
              <w:rPr>
                <w:rFonts w:eastAsia="Calibri" w:ascii="Arial Narrow" w:hAnsi="Arial Narrow"/>
                <w:color w:val="00B050"/>
                <w:kern w:val="0"/>
                <w:sz w:val="22"/>
                <w:szCs w:val="22"/>
                <w:lang w:eastAsia="en-US" w:bidi="ar-SA"/>
              </w:rPr>
              <w:t>jul</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8 </w:t>
            </w:r>
            <w:r>
              <w:rPr>
                <w:rFonts w:eastAsia="Calibri" w:ascii="Arial Narrow" w:hAnsi="Arial Narrow"/>
                <w:color w:val="00B050"/>
                <w:kern w:val="0"/>
                <w:sz w:val="22"/>
                <w:szCs w:val="22"/>
                <w:lang w:eastAsia="en-US" w:bidi="ar-SA"/>
              </w:rPr>
              <w:t>august</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9 </w:t>
            </w:r>
            <w:r>
              <w:rPr>
                <w:rFonts w:eastAsia="Calibri" w:ascii="Arial Narrow" w:hAnsi="Arial Narrow"/>
                <w:color w:val="00B050"/>
                <w:kern w:val="0"/>
                <w:sz w:val="22"/>
                <w:szCs w:val="22"/>
                <w:lang w:eastAsia="en-US" w:bidi="ar-SA"/>
              </w:rPr>
              <w:t>september</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100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10 </w:t>
            </w:r>
            <w:r>
              <w:rPr>
                <w:rFonts w:eastAsia="Calibri" w:ascii="Arial Narrow" w:hAnsi="Arial Narrow"/>
                <w:color w:val="00B050"/>
                <w:kern w:val="0"/>
                <w:sz w:val="22"/>
                <w:szCs w:val="22"/>
                <w:lang w:eastAsia="en-US" w:bidi="ar-SA"/>
              </w:rPr>
              <w:t>oktober</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80</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11 </w:t>
            </w:r>
            <w:r>
              <w:rPr>
                <w:rFonts w:eastAsia="Calibri" w:ascii="Arial Narrow" w:hAnsi="Arial Narrow"/>
                <w:color w:val="00B050"/>
                <w:kern w:val="0"/>
                <w:sz w:val="22"/>
                <w:szCs w:val="22"/>
                <w:lang w:eastAsia="en-US" w:bidi="ar-SA"/>
              </w:rPr>
              <w:t>november</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83</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r>
        <w:trPr/>
        <w:tc>
          <w:tcPr>
            <w:tcW w:w="255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eastAsia="Calibri" w:ascii="Arial Narrow" w:hAnsi="Arial Narrow"/>
                <w:color w:val="00B050"/>
                <w:kern w:val="0"/>
                <w:sz w:val="22"/>
                <w:szCs w:val="22"/>
                <w:lang w:eastAsia="en-US" w:bidi="ar-SA"/>
              </w:rPr>
              <w:t xml:space="preserve">12 </w:t>
            </w:r>
            <w:r>
              <w:rPr>
                <w:rFonts w:eastAsia="Calibri" w:ascii="Arial Narrow" w:hAnsi="Arial Narrow"/>
                <w:color w:val="00B050"/>
                <w:kern w:val="0"/>
                <w:sz w:val="22"/>
                <w:szCs w:val="22"/>
                <w:lang w:eastAsia="en-US" w:bidi="ar-SA"/>
              </w:rPr>
              <w:t>december</w:t>
            </w:r>
          </w:p>
        </w:tc>
        <w:tc>
          <w:tcPr>
            <w:tcW w:w="3261"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83</w:t>
            </w:r>
            <w:r>
              <w:rPr>
                <w:rFonts w:ascii="Arial Narrow" w:hAnsi="Arial Narrow"/>
                <w:color w:val="00B050"/>
                <w:sz w:val="22"/>
                <w:szCs w:val="22"/>
              </w:rPr>
              <w:t xml:space="preserve"> </w:t>
            </w:r>
          </w:p>
        </w:tc>
        <w:tc>
          <w:tcPr>
            <w:tcW w:w="3260" w:type="dxa"/>
            <w:tcBorders/>
          </w:tcPr>
          <w:p>
            <w:pPr>
              <w:pStyle w:val="Default"/>
              <w:widowControl w:val="false"/>
              <w:tabs>
                <w:tab w:val="clear" w:pos="720"/>
                <w:tab w:val="left" w:pos="9781" w:leader="none"/>
              </w:tabs>
              <w:suppressAutoHyphens w:val="true"/>
              <w:spacing w:before="0" w:after="0"/>
              <w:jc w:val="both"/>
              <w:rPr>
                <w:rFonts w:ascii="Arial Narrow" w:hAnsi="Arial Narrow"/>
                <w:color w:val="00B050"/>
                <w:sz w:val="22"/>
                <w:szCs w:val="22"/>
              </w:rPr>
            </w:pPr>
            <w:r>
              <w:rPr>
                <w:rFonts w:ascii="Arial Narrow" w:hAnsi="Arial Narrow"/>
                <w:color w:val="00B050"/>
                <w:sz w:val="22"/>
                <w:szCs w:val="22"/>
              </w:rPr>
              <w:t xml:space="preserve">  </w:t>
            </w:r>
            <w:r>
              <w:rPr>
                <w:rFonts w:ascii="Arial Narrow" w:hAnsi="Arial Narrow"/>
                <w:color w:val="00B050"/>
                <w:sz w:val="22"/>
                <w:szCs w:val="22"/>
              </w:rPr>
              <w:t>splneny</w:t>
            </w:r>
          </w:p>
        </w:tc>
      </w:tr>
    </w:tbl>
    <w:p>
      <w:pPr>
        <w:pStyle w:val="Default"/>
        <w:tabs>
          <w:tab w:val="clear" w:pos="720"/>
          <w:tab w:val="left" w:pos="9781" w:leader="none"/>
        </w:tabs>
        <w:spacing w:before="60" w:after="0"/>
        <w:ind w:left="284" w:hanging="0"/>
        <w:jc w:val="both"/>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284" w:hanging="0"/>
        <w:jc w:val="both"/>
        <w:rPr>
          <w:rFonts w:ascii="Arial Narrow" w:hAnsi="Arial Narrow"/>
          <w:color w:val="00B050"/>
          <w:sz w:val="22"/>
          <w:szCs w:val="22"/>
        </w:rPr>
      </w:pPr>
      <w:r>
        <w:rPr>
          <w:rFonts w:ascii="Arial Narrow" w:hAnsi="Arial Narrow"/>
          <w:b/>
          <w:color w:val="00B050"/>
          <w:sz w:val="22"/>
          <w:szCs w:val="22"/>
        </w:rPr>
        <w:t>Záver</w:t>
      </w:r>
      <w:r>
        <w:rPr>
          <w:rFonts w:ascii="Arial Narrow" w:hAnsi="Arial Narrow"/>
          <w:color w:val="00B050"/>
          <w:sz w:val="22"/>
          <w:szCs w:val="22"/>
        </w:rPr>
        <w:t>:</w:t>
      </w:r>
    </w:p>
    <w:p>
      <w:pPr>
        <w:pStyle w:val="Default"/>
        <w:tabs>
          <w:tab w:val="clear" w:pos="720"/>
          <w:tab w:val="left" w:pos="9781" w:leader="none"/>
        </w:tabs>
        <w:spacing w:before="60" w:after="0"/>
        <w:ind w:left="284"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 období, za ktoré je zostavená účtovná závierka </w:t>
      </w:r>
      <w:r>
        <w:rPr>
          <w:rFonts w:ascii="Arial Narrow" w:hAnsi="Arial Narrow"/>
          <w:b/>
          <w:color w:val="00B050"/>
          <w:sz w:val="22"/>
          <w:szCs w:val="22"/>
        </w:rPr>
        <w:t xml:space="preserve">splnil </w:t>
      </w:r>
      <w:r>
        <w:rPr>
          <w:rFonts w:ascii="Arial Narrow" w:hAnsi="Arial Narrow"/>
          <w:color w:val="00B050"/>
          <w:sz w:val="22"/>
          <w:szCs w:val="22"/>
        </w:rPr>
        <w:t>hlavný cieľ, ktorým je dosahovanie merateľného pozitívneho sociálneho vplyvu (PSV).</w:t>
      </w:r>
    </w:p>
    <w:p>
      <w:pPr>
        <w:pStyle w:val="Default"/>
        <w:numPr>
          <w:ilvl w:val="0"/>
          <w:numId w:val="10"/>
        </w:numPr>
        <w:tabs>
          <w:tab w:val="clear" w:pos="720"/>
          <w:tab w:val="left" w:pos="9781" w:leader="none"/>
        </w:tabs>
        <w:ind w:left="284" w:hanging="0"/>
        <w:jc w:val="both"/>
        <w:rPr>
          <w:color w:val="00B050"/>
          <w:sz w:val="22"/>
          <w:szCs w:val="22"/>
        </w:rPr>
      </w:pPr>
      <w:r>
        <w:rPr>
          <w:color w:val="00B050"/>
          <w:sz w:val="22"/>
          <w:szCs w:val="22"/>
        </w:rPr>
      </w:r>
    </w:p>
    <w:p>
      <w:pPr>
        <w:pStyle w:val="Default"/>
        <w:tabs>
          <w:tab w:val="clear" w:pos="720"/>
          <w:tab w:val="left" w:pos="9781" w:leader="none"/>
        </w:tabs>
        <w:ind w:left="709" w:hanging="0"/>
        <w:jc w:val="both"/>
        <w:rPr>
          <w:rFonts w:ascii="Arial Narrow" w:hAnsi="Arial Narrow"/>
          <w:color w:val="00B050"/>
          <w:sz w:val="22"/>
          <w:szCs w:val="22"/>
          <w:u w:val="single"/>
        </w:rPr>
      </w:pPr>
      <w:r>
        <w:rPr>
          <w:rFonts w:ascii="Arial Narrow" w:hAnsi="Arial Narrow"/>
          <w:color w:val="00B050"/>
          <w:sz w:val="22"/>
          <w:szCs w:val="22"/>
          <w:u w:val="single"/>
        </w:rPr>
      </w:r>
    </w:p>
    <w:p>
      <w:pPr>
        <w:pStyle w:val="ListParagraph"/>
        <w:numPr>
          <w:ilvl w:val="1"/>
          <w:numId w:val="9"/>
        </w:numPr>
        <w:tabs>
          <w:tab w:val="clear" w:pos="720"/>
          <w:tab w:val="left" w:pos="9781" w:leader="none"/>
        </w:tabs>
        <w:ind w:left="426" w:hanging="286"/>
        <w:jc w:val="both"/>
        <w:rPr>
          <w:color w:val="FF0000"/>
        </w:rPr>
      </w:pPr>
      <w:r>
        <w:rPr>
          <w:color w:val="FF0000"/>
        </w:rPr>
        <w:t xml:space="preserve">počet zamestnancov účtovnej jednotky </w:t>
      </w:r>
    </w:p>
    <w:p>
      <w:pPr>
        <w:pStyle w:val="ListParagraph"/>
        <w:tabs>
          <w:tab w:val="clear" w:pos="720"/>
          <w:tab w:val="left" w:pos="9781" w:leader="none"/>
        </w:tabs>
        <w:ind w:left="777" w:hanging="284"/>
        <w:jc w:val="both"/>
        <w:rPr>
          <w:color w:val="FF0000"/>
        </w:rPr>
      </w:pPr>
      <w:r>
        <w:rPr/>
        <w:t xml:space="preserve">1. priemerný prepočítaný počet zamestnancov účtovnej jednotky počas účtovného obdobia: </w:t>
      </w:r>
      <w:r>
        <w:rPr>
          <w:color w:val="FF0000"/>
        </w:rPr>
        <w:t>.....</w:t>
      </w:r>
      <w:r>
        <w:rPr>
          <w:color w:val="FF0000"/>
        </w:rPr>
        <w:t>4</w:t>
      </w:r>
      <w:r>
        <w:rPr>
          <w:color w:val="FF0000"/>
        </w:rPr>
        <w:t>..............................</w:t>
      </w:r>
    </w:p>
    <w:p>
      <w:pPr>
        <w:pStyle w:val="ListParagraph"/>
        <w:tabs>
          <w:tab w:val="clear" w:pos="720"/>
          <w:tab w:val="left" w:pos="9781" w:leader="none"/>
        </w:tabs>
        <w:ind w:left="777" w:hanging="284"/>
        <w:jc w:val="both"/>
        <w:rPr/>
      </w:pPr>
      <w:r>
        <w:rPr/>
        <w:t xml:space="preserve">2. počet zamestnancov účtovnej jednotky ku dňu, ku ktorému sa zostavuje účtovná závierka: </w:t>
      </w:r>
      <w:r>
        <w:rPr>
          <w:color w:val="FF0000"/>
        </w:rPr>
        <w:t>....</w:t>
      </w:r>
      <w:r>
        <w:rPr>
          <w:color w:val="FF0000"/>
        </w:rPr>
        <w:t>6</w:t>
      </w:r>
      <w:r>
        <w:rPr>
          <w:color w:val="FF0000"/>
        </w:rPr>
        <w:t>..............................</w:t>
      </w:r>
    </w:p>
    <w:p>
      <w:pPr>
        <w:pStyle w:val="Normal"/>
        <w:tabs>
          <w:tab w:val="clear" w:pos="720"/>
          <w:tab w:val="left" w:pos="9781" w:leader="none"/>
        </w:tabs>
        <w:ind w:left="993" w:hanging="284"/>
        <w:jc w:val="both"/>
        <w:rPr/>
      </w:pPr>
      <w:r>
        <w:rPr/>
        <w:t xml:space="preserve">- </w:t>
        <w:tab/>
        <w:t xml:space="preserve">z toho počet vedúcich zamestnancov, ktorými sa rozumejú vedúci zamestnanci v priamej riadiacej pôsobnosti štatutárneho orgánu alebo člena štatutárneho orgánu a vedúci zamestnanci, ktorí sú v priamej riadiacej pôsobnosti tohto vedúceho zamestnanca: </w:t>
      </w:r>
      <w:r>
        <w:rPr>
          <w:color w:val="FF0000"/>
        </w:rPr>
        <w:t>....1...................................</w:t>
      </w:r>
    </w:p>
    <w:p>
      <w:pPr>
        <w:pStyle w:val="Default"/>
        <w:tabs>
          <w:tab w:val="clear" w:pos="720"/>
          <w:tab w:val="left" w:pos="709" w:leader="none"/>
          <w:tab w:val="left" w:pos="9781" w:leader="none"/>
        </w:tabs>
        <w:ind w:left="709" w:hanging="709"/>
        <w:jc w:val="both"/>
        <w:rPr>
          <w:rFonts w:ascii="Arial Narrow" w:hAnsi="Arial Narrow"/>
          <w:color w:val="00B050"/>
          <w:sz w:val="22"/>
          <w:szCs w:val="22"/>
        </w:rPr>
      </w:pPr>
      <w:r>
        <w:rPr>
          <w:rFonts w:ascii="Arial Narrow" w:hAnsi="Arial Narrow"/>
          <w:color w:val="00B050"/>
          <w:sz w:val="22"/>
          <w:szCs w:val="22"/>
        </w:rPr>
        <w:tab/>
      </w:r>
      <w:r>
        <w:rPr>
          <w:rFonts w:ascii="Arial Narrow" w:hAnsi="Arial Narrow"/>
          <w:color w:val="FF0000"/>
          <w:sz w:val="22"/>
          <w:szCs w:val="22"/>
        </w:rPr>
        <w:t xml:space="preserve">V prípade </w:t>
      </w:r>
      <w:r>
        <w:rPr>
          <w:rFonts w:ascii="Arial Narrow" w:hAnsi="Arial Narrow"/>
          <w:b/>
          <w:color w:val="FF0000"/>
          <w:sz w:val="22"/>
          <w:szCs w:val="22"/>
        </w:rPr>
        <w:t>RSP</w:t>
      </w:r>
      <w:r>
        <w:rPr>
          <w:rFonts w:ascii="Arial Narrow" w:hAnsi="Arial Narrow"/>
          <w:color w:val="FF0000"/>
          <w:sz w:val="22"/>
          <w:szCs w:val="22"/>
        </w:rPr>
        <w:t xml:space="preserve">, ktorý je </w:t>
      </w:r>
      <w:r>
        <w:rPr>
          <w:rFonts w:ascii="Arial Narrow" w:hAnsi="Arial Narrow"/>
          <w:color w:val="FF0000"/>
          <w:sz w:val="22"/>
          <w:szCs w:val="22"/>
          <w:u w:val="single"/>
        </w:rPr>
        <w:t>obchodnou spoločnosťou alebo fyzickou osobou – podnikateľom</w:t>
      </w:r>
      <w:r>
        <w:rPr>
          <w:rFonts w:ascii="Arial Narrow" w:hAnsi="Arial Narrow"/>
          <w:color w:val="FF0000"/>
          <w:sz w:val="22"/>
          <w:szCs w:val="22"/>
        </w:rPr>
        <w:t xml:space="preserve">, RSP </w:t>
      </w:r>
      <w:r>
        <w:rPr>
          <w:rFonts w:ascii="Arial Narrow" w:hAnsi="Arial Narrow"/>
          <w:b/>
          <w:color w:val="FF0000"/>
          <w:sz w:val="22"/>
          <w:szCs w:val="22"/>
        </w:rPr>
        <w:t xml:space="preserve">plnil </w:t>
      </w:r>
      <w:r>
        <w:rPr>
          <w:rFonts w:ascii="Arial Narrow" w:hAnsi="Arial Narrow"/>
          <w:color w:val="FF0000"/>
          <w:sz w:val="22"/>
          <w:szCs w:val="22"/>
        </w:rPr>
        <w:t xml:space="preserve"> podmienku v zmysle §6 odsek 1, písm. h) zákona o SE o minimálnom počte zamestnancov a ich úväzkoch.</w:t>
      </w:r>
      <w:r>
        <w:rPr>
          <w:rFonts w:ascii="Arial Narrow" w:hAnsi="Arial Narrow"/>
          <w:color w:val="00B050"/>
          <w:sz w:val="22"/>
          <w:szCs w:val="22"/>
        </w:rPr>
        <w:tab/>
      </w:r>
    </w:p>
    <w:p>
      <w:pPr>
        <w:pStyle w:val="ListParagraph"/>
        <w:numPr>
          <w:ilvl w:val="1"/>
          <w:numId w:val="9"/>
        </w:numPr>
        <w:tabs>
          <w:tab w:val="clear" w:pos="720"/>
          <w:tab w:val="left" w:pos="9781" w:leader="none"/>
        </w:tabs>
        <w:spacing w:before="60" w:after="0"/>
        <w:ind w:left="426" w:hanging="284"/>
        <w:jc w:val="both"/>
        <w:rPr/>
      </w:pPr>
      <w:r>
        <w:rPr/>
        <w:t>údaj či je účtovná jednotka neobmedzene ručiacim spoločníkom v iných účtovných jednotkách s uvedením obchodného mena a sídla takejto účtovnej jednotky; uvádzajú sa aj iné významné údaje týkajúce sa tohto ručenia- nie</w:t>
      </w:r>
    </w:p>
    <w:p>
      <w:pPr>
        <w:pStyle w:val="ListParagraph"/>
        <w:numPr>
          <w:ilvl w:val="0"/>
          <w:numId w:val="0"/>
        </w:numPr>
        <w:tabs>
          <w:tab w:val="clear" w:pos="720"/>
          <w:tab w:val="left" w:pos="9781" w:leader="none"/>
        </w:tabs>
        <w:spacing w:before="60" w:after="0"/>
        <w:ind w:left="1245" w:hanging="0"/>
        <w:jc w:val="both"/>
        <w:rPr/>
      </w:pPr>
      <w:r>
        <w:rPr/>
      </w:r>
    </w:p>
    <w:p>
      <w:pPr>
        <w:pStyle w:val="ListParagraph"/>
        <w:numPr>
          <w:ilvl w:val="1"/>
          <w:numId w:val="9"/>
        </w:numPr>
        <w:tabs>
          <w:tab w:val="clear" w:pos="720"/>
          <w:tab w:val="left" w:pos="9781" w:leader="none"/>
        </w:tabs>
        <w:spacing w:before="60" w:after="0"/>
        <w:ind w:left="426" w:hanging="284"/>
        <w:jc w:val="both"/>
        <w:rPr/>
      </w:pPr>
      <w:r>
        <w:rPr/>
        <w:t>právny dôvod na zostavenie účtovnej závierky</w:t>
      </w:r>
    </w:p>
    <w:p>
      <w:pPr>
        <w:pStyle w:val="ListParagraph"/>
        <w:numPr>
          <w:ilvl w:val="1"/>
          <w:numId w:val="9"/>
        </w:numPr>
        <w:tabs>
          <w:tab w:val="clear" w:pos="720"/>
          <w:tab w:val="left" w:pos="9781" w:leader="none"/>
        </w:tabs>
        <w:spacing w:before="60" w:after="0"/>
        <w:ind w:left="426" w:hanging="284"/>
        <w:jc w:val="both"/>
        <w:rPr/>
      </w:pPr>
      <w:r>
        <w:rPr/>
        <w:t xml:space="preserve">dátum schválenia účtovnej závierky za bezprostredne predchádzajúce účtovné obdobie príslušným orgánom účtovnej jednotky </w:t>
      </w:r>
      <w:r>
        <w:rPr/>
        <w:t>31</w:t>
      </w:r>
      <w:r>
        <w:rPr/>
        <w:t>.03.202</w:t>
      </w:r>
      <w:r>
        <w:rPr>
          <w:rFonts w:eastAsia="Arial Narrow" w:cs="Arial Narrow"/>
          <w:color w:val="auto"/>
          <w:kern w:val="0"/>
          <w:sz w:val="22"/>
          <w:szCs w:val="22"/>
          <w:lang w:val="sk-SK" w:eastAsia="en-US" w:bidi="ar-SA"/>
        </w:rPr>
        <w:t>2</w:t>
      </w:r>
    </w:p>
    <w:p>
      <w:pPr>
        <w:pStyle w:val="Telotextu"/>
        <w:tabs>
          <w:tab w:val="clear" w:pos="720"/>
          <w:tab w:val="left" w:pos="9781" w:leader="none"/>
        </w:tabs>
        <w:spacing w:before="10" w:after="0"/>
        <w:jc w:val="both"/>
        <w:rPr>
          <w:sz w:val="21"/>
        </w:rPr>
      </w:pPr>
      <w:r>
        <w:rPr>
          <w:sz w:val="21"/>
        </w:rPr>
      </w:r>
    </w:p>
    <w:p>
      <w:pPr>
        <w:pStyle w:val="Nadpis1"/>
        <w:numPr>
          <w:ilvl w:val="0"/>
          <w:numId w:val="9"/>
        </w:numPr>
        <w:tabs>
          <w:tab w:val="clear" w:pos="720"/>
          <w:tab w:val="left" w:pos="9781" w:leader="none"/>
        </w:tabs>
        <w:ind w:left="284" w:hanging="288"/>
        <w:jc w:val="both"/>
        <w:rPr>
          <w:sz w:val="24"/>
        </w:rPr>
      </w:pPr>
      <w:r>
        <w:rPr>
          <w:sz w:val="24"/>
        </w:rPr>
        <w:t>Zrušené s účinnosťou od 31. decembra 2013.</w:t>
      </w:r>
    </w:p>
    <w:p>
      <w:pPr>
        <w:pStyle w:val="Telotextu"/>
        <w:tabs>
          <w:tab w:val="clear" w:pos="720"/>
          <w:tab w:val="left" w:pos="9781" w:leader="none"/>
        </w:tabs>
        <w:jc w:val="both"/>
        <w:rPr>
          <w:b/>
          <w:b/>
        </w:rPr>
      </w:pPr>
      <w:r>
        <w:rPr>
          <w:b/>
        </w:rPr>
      </w:r>
    </w:p>
    <w:p>
      <w:pPr>
        <w:pStyle w:val="Nadpis1"/>
        <w:numPr>
          <w:ilvl w:val="0"/>
          <w:numId w:val="9"/>
        </w:numPr>
        <w:tabs>
          <w:tab w:val="clear" w:pos="720"/>
          <w:tab w:val="left" w:pos="9781" w:leader="none"/>
        </w:tabs>
        <w:ind w:left="284" w:hanging="288"/>
        <w:jc w:val="both"/>
        <w:rPr>
          <w:sz w:val="24"/>
        </w:rPr>
      </w:pPr>
      <w:r>
        <w:rPr>
          <w:sz w:val="24"/>
        </w:rPr>
        <w:t>Ak je účtovná jednotka súčasťou konsolidovaného celku poznámky obsahujú aj tieto informácie:</w:t>
      </w:r>
    </w:p>
    <w:p>
      <w:pPr>
        <w:pStyle w:val="Telotextu"/>
        <w:tabs>
          <w:tab w:val="clear" w:pos="720"/>
          <w:tab w:val="left" w:pos="9781" w:leader="none"/>
        </w:tabs>
        <w:spacing w:before="1" w:after="0"/>
        <w:jc w:val="both"/>
        <w:rPr>
          <w:b/>
          <w:b/>
        </w:rPr>
      </w:pPr>
      <w:r>
        <w:rPr>
          <w:b/>
        </w:rPr>
      </w:r>
    </w:p>
    <w:p>
      <w:pPr>
        <w:pStyle w:val="ListParagraph"/>
        <w:numPr>
          <w:ilvl w:val="1"/>
          <w:numId w:val="9"/>
        </w:numPr>
        <w:tabs>
          <w:tab w:val="clear" w:pos="720"/>
          <w:tab w:val="left" w:pos="9781" w:leader="none"/>
        </w:tabs>
        <w:ind w:left="426" w:right="553" w:hanging="286"/>
        <w:jc w:val="both"/>
        <w:rPr/>
      </w:pPr>
      <w:r>
        <w:rPr/>
        <w:t>obchodné meno a sídlo konsolidujúcej účtovnej jednotky, ktorá zostavuje konsolidovanú účtovnú závierku za všetky skupiny účtovných jednotiek konsolidovaného celku, pre ktorú je účtovná jednotka konsolidovanou účtovnou</w:t>
      </w:r>
      <w:r>
        <w:rPr>
          <w:spacing w:val="-1"/>
        </w:rPr>
        <w:t xml:space="preserve"> </w:t>
      </w:r>
      <w:r>
        <w:rPr/>
        <w:t>jednotkou,</w:t>
      </w:r>
    </w:p>
    <w:p>
      <w:pPr>
        <w:pStyle w:val="ListParagraph"/>
        <w:numPr>
          <w:ilvl w:val="1"/>
          <w:numId w:val="9"/>
        </w:numPr>
        <w:tabs>
          <w:tab w:val="clear" w:pos="720"/>
          <w:tab w:val="left" w:pos="9781" w:leader="none"/>
        </w:tabs>
        <w:ind w:left="426" w:right="666" w:hanging="286"/>
        <w:jc w:val="both"/>
        <w:rPr/>
      </w:pPr>
      <w:r>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w:t>
      </w:r>
      <w:r>
        <w:rPr>
          <w:spacing w:val="-1"/>
        </w:rPr>
        <w:t xml:space="preserve"> </w:t>
      </w:r>
      <w:r>
        <w:rPr/>
        <w:t>jednotkou,</w:t>
      </w:r>
    </w:p>
    <w:p>
      <w:pPr>
        <w:pStyle w:val="ListParagraph"/>
        <w:numPr>
          <w:ilvl w:val="1"/>
          <w:numId w:val="9"/>
        </w:numPr>
        <w:tabs>
          <w:tab w:val="clear" w:pos="720"/>
          <w:tab w:val="left" w:pos="9781" w:leader="none"/>
        </w:tabs>
        <w:ind w:left="426" w:right="552" w:hanging="286"/>
        <w:jc w:val="both"/>
        <w:rPr/>
      </w:pPr>
      <w:r>
        <w:rPr/>
        <w:t>obchodné meno a sídlo konsolidujúcej účtovnej jednotky, v ktorej sú prístupné konsolidované účtovné závierky a adresa príslušného registrového súdu, ktorý vedie obchodný register, v ktorom sa uložia tieto konsolidované účtovné</w:t>
      </w:r>
      <w:r>
        <w:rPr>
          <w:spacing w:val="-1"/>
        </w:rPr>
        <w:t xml:space="preserve"> </w:t>
      </w:r>
      <w:r>
        <w:rPr/>
        <w:t>závierky,</w:t>
      </w:r>
    </w:p>
    <w:p>
      <w:pPr>
        <w:pStyle w:val="ListParagraph"/>
        <w:numPr>
          <w:ilvl w:val="1"/>
          <w:numId w:val="9"/>
        </w:numPr>
        <w:tabs>
          <w:tab w:val="clear" w:pos="720"/>
          <w:tab w:val="left" w:pos="9781" w:leader="none"/>
        </w:tabs>
        <w:spacing w:before="2" w:after="0"/>
        <w:ind w:left="426" w:right="987" w:hanging="286"/>
        <w:jc w:val="both"/>
        <w:rPr/>
      </w:pPr>
      <w:r>
        <w:rPr/>
        <w:t>údaj, či je materská účtovná jednotka oslobodená od povinnosti zostaviť konsolidovanú účtovnú závierku a konsolidovanú výročnú správu podľa § 22 zákona, pričom sa</w:t>
      </w:r>
      <w:r>
        <w:rPr>
          <w:spacing w:val="-9"/>
        </w:rPr>
        <w:t xml:space="preserve"> </w:t>
      </w:r>
      <w:r>
        <w:rPr/>
        <w:t>uvádza</w:t>
      </w:r>
    </w:p>
    <w:p>
      <w:pPr>
        <w:pStyle w:val="ListParagraph"/>
        <w:numPr>
          <w:ilvl w:val="2"/>
          <w:numId w:val="9"/>
        </w:numPr>
        <w:tabs>
          <w:tab w:val="clear" w:pos="720"/>
          <w:tab w:val="left" w:pos="9781" w:leader="none"/>
        </w:tabs>
        <w:ind w:left="777" w:right="706" w:hanging="284"/>
        <w:jc w:val="both"/>
        <w:rPr/>
      </w:pPr>
      <w:r>
        <w:rPr>
          <w:spacing w:val="-1"/>
        </w:rPr>
        <w:t>pr</w:t>
      </w:r>
      <w:r>
        <w:rPr/>
        <w:t xml:space="preserve">i </w:t>
      </w:r>
      <w:r>
        <w:rPr>
          <w:spacing w:val="-2"/>
        </w:rPr>
        <w:t xml:space="preserve"> </w:t>
      </w:r>
      <w:r>
        <w:rPr>
          <w:spacing w:val="-1"/>
        </w:rPr>
        <w:t>osl</w:t>
      </w:r>
      <w:r>
        <w:rPr>
          <w:spacing w:val="-97"/>
        </w:rPr>
        <w:t>o</w:t>
      </w:r>
      <w:r>
        <w:rPr>
          <w:spacing w:val="-1"/>
        </w:rPr>
        <w:t>boden</w:t>
      </w:r>
      <w:r>
        <w:rPr/>
        <w:t xml:space="preserve">í </w:t>
      </w:r>
      <w:r>
        <w:rPr>
          <w:spacing w:val="-1"/>
        </w:rPr>
        <w:t>podľ</w:t>
      </w:r>
      <w:r>
        <w:rPr/>
        <w:t xml:space="preserve">a § </w:t>
      </w:r>
      <w:r>
        <w:rPr>
          <w:spacing w:val="-1"/>
        </w:rPr>
        <w:t>2</w:t>
      </w:r>
      <w:r>
        <w:rPr/>
        <w:t xml:space="preserve">2 </w:t>
      </w:r>
      <w:r>
        <w:rPr>
          <w:spacing w:val="-1"/>
        </w:rPr>
        <w:t>ods</w:t>
      </w:r>
      <w:r>
        <w:rPr/>
        <w:t xml:space="preserve">. 8 </w:t>
      </w:r>
      <w:r>
        <w:rPr>
          <w:spacing w:val="-1"/>
        </w:rPr>
        <w:t>zákon</w:t>
      </w:r>
      <w:r>
        <w:rPr/>
        <w:t xml:space="preserve">a </w:t>
      </w:r>
      <w:r>
        <w:rPr>
          <w:spacing w:val="-1"/>
        </w:rPr>
        <w:t>obchodn</w:t>
      </w:r>
      <w:r>
        <w:rPr/>
        <w:t xml:space="preserve">é </w:t>
      </w:r>
      <w:r>
        <w:rPr>
          <w:spacing w:val="-1"/>
        </w:rPr>
        <w:t>men</w:t>
      </w:r>
      <w:r>
        <w:rPr/>
        <w:t xml:space="preserve">o a </w:t>
      </w:r>
      <w:r>
        <w:rPr>
          <w:spacing w:val="-1"/>
        </w:rPr>
        <w:t>sídl</w:t>
      </w:r>
      <w:r>
        <w:rPr/>
        <w:t xml:space="preserve">o </w:t>
      </w:r>
      <w:r>
        <w:rPr>
          <w:spacing w:val="-1"/>
        </w:rPr>
        <w:t>materske</w:t>
      </w:r>
      <w:r>
        <w:rPr/>
        <w:t xml:space="preserve">j </w:t>
      </w:r>
      <w:r>
        <w:rPr>
          <w:spacing w:val="-1"/>
        </w:rPr>
        <w:t xml:space="preserve">účtovnej </w:t>
      </w:r>
      <w:r>
        <w:rPr/>
        <w:t>jednotky zostavujúcej konsolidovanú účtovnú závierku podľa osobitných predpisov</w:t>
      </w:r>
      <w:r>
        <w:rPr>
          <w:position w:val="6"/>
          <w:sz w:val="14"/>
        </w:rPr>
        <w:t>1ca)</w:t>
      </w:r>
      <w:r>
        <w:rPr/>
        <w:t>, do ktorej je zahrnovaná účtovná jednotka a všetky jej dcérske účtovné</w:t>
      </w:r>
      <w:r>
        <w:rPr>
          <w:spacing w:val="-10"/>
        </w:rPr>
        <w:t xml:space="preserve"> </w:t>
      </w:r>
      <w:r>
        <w:rPr/>
        <w:t>jednotky,</w:t>
      </w:r>
    </w:p>
    <w:p>
      <w:pPr>
        <w:pStyle w:val="ListParagraph"/>
        <w:numPr>
          <w:ilvl w:val="2"/>
          <w:numId w:val="9"/>
        </w:numPr>
        <w:tabs>
          <w:tab w:val="clear" w:pos="720"/>
          <w:tab w:val="left" w:pos="9781" w:leader="none"/>
        </w:tabs>
        <w:ind w:left="777" w:right="859" w:hanging="284"/>
        <w:jc w:val="both"/>
        <w:rPr/>
      </w:pPr>
      <w:r>
        <w:rPr/>
        <w:t>pri oslobodení podľa § 22 ods. 12 zákona obchodné meno a sídlo dcérskych účtovných jednotiek.</w:t>
      </w:r>
    </w:p>
    <w:p>
      <w:pPr>
        <w:pStyle w:val="Telotextu"/>
        <w:tabs>
          <w:tab w:val="clear" w:pos="720"/>
          <w:tab w:val="left" w:pos="9781" w:leader="none"/>
        </w:tabs>
        <w:spacing w:before="10" w:after="0"/>
        <w:jc w:val="both"/>
        <w:rPr>
          <w:sz w:val="21"/>
        </w:rPr>
      </w:pPr>
      <w:r>
        <w:rPr>
          <w:sz w:val="21"/>
        </w:rPr>
      </w:r>
    </w:p>
    <w:p>
      <w:pPr>
        <w:pStyle w:val="Nadpis1"/>
        <w:numPr>
          <w:ilvl w:val="0"/>
          <w:numId w:val="9"/>
        </w:numPr>
        <w:tabs>
          <w:tab w:val="clear" w:pos="720"/>
          <w:tab w:val="left" w:pos="9781" w:leader="none"/>
        </w:tabs>
        <w:ind w:left="284" w:hanging="288"/>
        <w:jc w:val="both"/>
        <w:rPr>
          <w:sz w:val="24"/>
        </w:rPr>
      </w:pPr>
      <w:r>
        <w:rPr>
          <w:sz w:val="24"/>
        </w:rPr>
        <w:t>V poznámkach sa uvádzajú ďalšie informácie o:</w:t>
      </w:r>
    </w:p>
    <w:p>
      <w:pPr>
        <w:pStyle w:val="ListParagraph"/>
        <w:numPr>
          <w:ilvl w:val="1"/>
          <w:numId w:val="9"/>
        </w:numPr>
        <w:tabs>
          <w:tab w:val="clear" w:pos="720"/>
          <w:tab w:val="left" w:pos="9781" w:leader="none"/>
        </w:tabs>
        <w:spacing w:before="120" w:after="0"/>
        <w:ind w:left="426" w:hanging="284"/>
        <w:jc w:val="both"/>
        <w:rPr/>
      </w:pPr>
      <w:r>
        <w:rPr/>
        <w:t>použitých účtovných zásadách a účtovných</w:t>
      </w:r>
      <w:r>
        <w:rPr>
          <w:spacing w:val="-2"/>
        </w:rPr>
        <w:t xml:space="preserve"> </w:t>
      </w:r>
      <w:r>
        <w:rPr/>
        <w:t>metódach,</w:t>
      </w:r>
    </w:p>
    <w:p>
      <w:pPr>
        <w:pStyle w:val="ListParagraph"/>
        <w:tabs>
          <w:tab w:val="clear" w:pos="720"/>
          <w:tab w:val="left" w:pos="9781" w:leader="none"/>
        </w:tabs>
        <w:spacing w:before="60" w:after="0"/>
        <w:ind w:left="425" w:hanging="0"/>
        <w:jc w:val="both"/>
        <w:rPr>
          <w:color w:val="00B050"/>
        </w:rPr>
      </w:pPr>
      <w:r>
        <w:rPr>
          <w:b/>
          <w:color w:val="00B050"/>
        </w:rPr>
        <w:t xml:space="preserve">RSP </w:t>
      </w:r>
      <w:r>
        <w:rPr>
          <w:color w:val="00B050"/>
        </w:rPr>
        <w:t>účtuje v zmysle §14 odsek 1 zákona o SE v sústave podvojné účtovníctva, pričom účtovným obdobím RSP je kalendárny rok.</w:t>
      </w:r>
    </w:p>
    <w:p>
      <w:pPr>
        <w:pStyle w:val="ListParagraph"/>
        <w:tabs>
          <w:tab w:val="clear" w:pos="720"/>
          <w:tab w:val="left" w:pos="9781" w:leader="none"/>
        </w:tabs>
        <w:spacing w:before="60" w:after="0"/>
        <w:ind w:left="425" w:hanging="0"/>
        <w:jc w:val="both"/>
        <w:rPr>
          <w:color w:val="00B050"/>
        </w:rPr>
      </w:pPr>
      <w:r>
        <w:rPr>
          <w:b/>
          <w:color w:val="00B050"/>
        </w:rPr>
        <w:t>RSP</w:t>
      </w:r>
      <w:r>
        <w:rPr>
          <w:color w:val="00B050"/>
        </w:rPr>
        <w:t xml:space="preserve"> vo svojom účtovníctve v zmysle §14 odsek 2 zákona o SE osobitne sleduje činnosť vykonávanú ako RSP, a to prostredníctvom tvorby </w:t>
      </w:r>
      <w:r>
        <w:rPr>
          <w:b/>
          <w:color w:val="00B050"/>
        </w:rPr>
        <w:t>analytických účtov.</w:t>
      </w:r>
      <w:r>
        <w:rPr>
          <w:color w:val="00B050"/>
        </w:rPr>
        <w:t>.</w:t>
      </w:r>
    </w:p>
    <w:p>
      <w:pPr>
        <w:pStyle w:val="ListParagraph"/>
        <w:tabs>
          <w:tab w:val="clear" w:pos="720"/>
          <w:tab w:val="left" w:pos="9781" w:leader="none"/>
        </w:tabs>
        <w:spacing w:before="60" w:after="0"/>
        <w:ind w:left="425" w:hanging="284"/>
        <w:jc w:val="both"/>
        <w:rPr>
          <w:color w:val="00B050"/>
        </w:rPr>
      </w:pPr>
      <w:r>
        <w:rPr>
          <w:color w:val="00B050"/>
        </w:rPr>
        <w:tab/>
      </w:r>
      <w:r>
        <w:rPr>
          <w:b/>
          <w:color w:val="00B050"/>
        </w:rPr>
        <w:t>RSP</w:t>
      </w:r>
      <w:r>
        <w:rPr>
          <w:color w:val="00B050"/>
        </w:rPr>
        <w:t xml:space="preserve"> </w:t>
      </w:r>
      <w:r>
        <w:rPr>
          <w:b/>
          <w:color w:val="00B050"/>
        </w:rPr>
        <w:t>nie je*</w:t>
      </w:r>
      <w:r>
        <w:rPr>
          <w:color w:val="00B050"/>
        </w:rPr>
        <w:t xml:space="preserve"> povinný mať v zmysle §14 odsek 3 zákona o SE účtovnú závierku a výročnú správu overenú štatutárnym audítorom. </w:t>
      </w:r>
    </w:p>
    <w:p>
      <w:pPr>
        <w:pStyle w:val="ListParagraph"/>
        <w:tabs>
          <w:tab w:val="clear" w:pos="720"/>
          <w:tab w:val="left" w:pos="9781" w:leader="none"/>
        </w:tabs>
        <w:spacing w:before="60" w:after="0"/>
        <w:ind w:left="425" w:hanging="284"/>
        <w:jc w:val="both"/>
        <w:rPr>
          <w:color w:val="00B050"/>
        </w:rPr>
      </w:pPr>
      <w:r>
        <w:rPr>
          <w:b/>
          <w:color w:val="00B050"/>
        </w:rPr>
        <w:tab/>
      </w:r>
      <w:r>
        <w:rPr>
          <w:color w:val="00B050"/>
        </w:rPr>
        <w:t>Povinnosť auditu u RSP vzniká, ak:</w:t>
      </w:r>
    </w:p>
    <w:p>
      <w:pPr>
        <w:pStyle w:val="ListParagraph"/>
        <w:tabs>
          <w:tab w:val="clear" w:pos="720"/>
          <w:tab w:val="left" w:pos="9781" w:leader="none"/>
        </w:tabs>
        <w:ind w:left="993" w:hanging="426"/>
        <w:jc w:val="both"/>
        <w:rPr>
          <w:color w:val="00B050"/>
        </w:rPr>
      </w:pPr>
      <w:r>
        <w:rPr>
          <w:color w:val="00B050"/>
        </w:rPr>
        <w:t xml:space="preserve">1. </w:t>
        <w:tab/>
        <w:t xml:space="preserve">príjem verejných prostriedkov a podielov zaplatenej dane v účtovnom období, za ktoré je účtovná závierka zostavená, presiahne 200.000 € </w:t>
      </w:r>
      <w:r>
        <w:rPr>
          <w:b/>
          <w:color w:val="00B050"/>
        </w:rPr>
        <w:t>alebo</w:t>
      </w:r>
    </w:p>
    <w:p>
      <w:pPr>
        <w:pStyle w:val="ListParagraph"/>
        <w:tabs>
          <w:tab w:val="clear" w:pos="720"/>
          <w:tab w:val="left" w:pos="9781" w:leader="none"/>
        </w:tabs>
        <w:ind w:left="993" w:hanging="426"/>
        <w:jc w:val="both"/>
        <w:rPr>
          <w:color w:val="00B050"/>
        </w:rPr>
      </w:pPr>
      <w:r>
        <w:rPr>
          <w:color w:val="00B050"/>
        </w:rPr>
        <w:t xml:space="preserve">2. </w:t>
        <w:tab/>
        <w:t>všetky príjmy RSP v účtovnom období, za ktoré je účtovná závierka zostavená, presiahnu 500.000 €</w:t>
      </w:r>
    </w:p>
    <w:p>
      <w:pPr>
        <w:pStyle w:val="ListParagraph"/>
        <w:numPr>
          <w:ilvl w:val="1"/>
          <w:numId w:val="9"/>
        </w:numPr>
        <w:tabs>
          <w:tab w:val="clear" w:pos="720"/>
          <w:tab w:val="left" w:pos="9781" w:leader="none"/>
        </w:tabs>
        <w:spacing w:before="120" w:after="0"/>
        <w:ind w:left="426" w:hanging="284"/>
        <w:jc w:val="both"/>
        <w:rPr/>
      </w:pPr>
      <w:r>
        <w:rPr/>
        <w:t>údajoch vykázaných na strane aktív súvahy</w:t>
      </w:r>
    </w:p>
    <w:p>
      <w:pPr>
        <w:pStyle w:val="ListParagraph"/>
        <w:tabs>
          <w:tab w:val="clear" w:pos="720"/>
          <w:tab w:val="left" w:pos="9781" w:leader="none"/>
        </w:tabs>
        <w:spacing w:before="60" w:after="120"/>
        <w:ind w:left="425" w:hanging="0"/>
        <w:jc w:val="both"/>
        <w:rPr>
          <w:color w:val="FF0000"/>
        </w:rPr>
      </w:pPr>
      <w:r>
        <w:rPr>
          <w:b/>
          <w:color w:val="FF0000"/>
        </w:rPr>
        <w:t>RSP v roku 202</w:t>
      </w:r>
      <w:r>
        <w:rPr>
          <w:b/>
          <w:color w:val="FF0000"/>
        </w:rPr>
        <w:t>1</w:t>
      </w:r>
      <w:r>
        <w:rPr>
          <w:color w:val="FF0000"/>
        </w:rPr>
        <w:t xml:space="preserve"> získal nasledujúci majetok z dotácie, nevrátenej časti podmienečne vratného príspevku, z inej podpory alebo verejných prostriedkov:</w:t>
      </w:r>
    </w:p>
    <w:tbl>
      <w:tblPr>
        <w:tblW w:w="9387" w:type="dxa"/>
        <w:jc w:val="left"/>
        <w:tblInd w:w="496" w:type="dxa"/>
        <w:tblLayout w:type="fixed"/>
        <w:tblCellMar>
          <w:top w:w="0" w:type="dxa"/>
          <w:left w:w="70" w:type="dxa"/>
          <w:bottom w:w="0" w:type="dxa"/>
          <w:right w:w="70" w:type="dxa"/>
        </w:tblCellMar>
        <w:tblLook w:firstRow="1" w:noVBand="1" w:lastRow="0" w:firstColumn="1" w:lastColumn="0" w:noHBand="0" w:val="04a0"/>
      </w:tblPr>
      <w:tblGrid>
        <w:gridCol w:w="1839"/>
        <w:gridCol w:w="2129"/>
        <w:gridCol w:w="1701"/>
        <w:gridCol w:w="1277"/>
        <w:gridCol w:w="1023"/>
        <w:gridCol w:w="1417"/>
      </w:tblGrid>
      <w:tr>
        <w:trPr>
          <w:trHeight w:val="1104" w:hRule="atLeast"/>
        </w:trPr>
        <w:tc>
          <w:tcPr>
            <w:tcW w:w="18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rPr>
                <w:rFonts w:ascii="Calibri" w:hAnsi="Calibri" w:eastAsia="Times New Roman" w:cs="Calibri"/>
                <w:b/>
                <w:b/>
                <w:bCs/>
                <w:color w:val="FF0000"/>
                <w:sz w:val="20"/>
                <w:szCs w:val="20"/>
                <w:lang w:eastAsia="sk-SK"/>
              </w:rPr>
            </w:pPr>
            <w:r>
              <w:rPr>
                <w:rFonts w:eastAsia="Times New Roman" w:cs="Calibri" w:ascii="Calibri" w:hAnsi="Calibri"/>
                <w:b/>
                <w:bCs/>
                <w:color w:val="FF0000"/>
                <w:sz w:val="20"/>
                <w:szCs w:val="20"/>
                <w:lang w:eastAsia="sk-SK"/>
              </w:rPr>
              <w:t>Popis majetku</w:t>
            </w:r>
          </w:p>
        </w:tc>
        <w:tc>
          <w:tcPr>
            <w:tcW w:w="2129" w:type="dxa"/>
            <w:tcBorders>
              <w:top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Calibri" w:hAnsi="Calibri" w:eastAsia="Times New Roman" w:cs="Calibri"/>
                <w:b/>
                <w:b/>
                <w:bCs/>
                <w:color w:val="FF0000"/>
                <w:sz w:val="20"/>
                <w:szCs w:val="20"/>
                <w:lang w:eastAsia="sk-SK"/>
              </w:rPr>
            </w:pPr>
            <w:r>
              <w:rPr>
                <w:rFonts w:eastAsia="Times New Roman" w:cs="Calibri" w:ascii="Calibri" w:hAnsi="Calibri"/>
                <w:b/>
                <w:bCs/>
                <w:color w:val="FF0000"/>
                <w:sz w:val="20"/>
                <w:szCs w:val="20"/>
                <w:lang w:eastAsia="sk-SK"/>
              </w:rPr>
              <w:t>Spôsob nadobudnutia, resp. typ podpory</w:t>
            </w:r>
          </w:p>
        </w:tc>
        <w:tc>
          <w:tcPr>
            <w:tcW w:w="1701" w:type="dxa"/>
            <w:tcBorders>
              <w:top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Calibri" w:hAnsi="Calibri" w:eastAsia="Times New Roman" w:cs="Calibri"/>
                <w:b/>
                <w:b/>
                <w:bCs/>
                <w:color w:val="FF0000"/>
                <w:sz w:val="20"/>
                <w:szCs w:val="20"/>
                <w:lang w:eastAsia="sk-SK"/>
              </w:rPr>
            </w:pPr>
            <w:r>
              <w:rPr>
                <w:rFonts w:eastAsia="Times New Roman" w:cs="Calibri" w:ascii="Calibri" w:hAnsi="Calibri"/>
                <w:b/>
                <w:bCs/>
                <w:color w:val="FF0000"/>
                <w:sz w:val="20"/>
                <w:szCs w:val="20"/>
                <w:lang w:eastAsia="sk-SK"/>
              </w:rPr>
              <w:t>zostatková cena k dátumu vyradenia / prevodu / k 31.12.</w:t>
            </w:r>
          </w:p>
        </w:tc>
        <w:tc>
          <w:tcPr>
            <w:tcW w:w="1277" w:type="dxa"/>
            <w:tcBorders>
              <w:top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Calibri" w:hAnsi="Calibri" w:eastAsia="Times New Roman" w:cs="Calibri"/>
                <w:b/>
                <w:b/>
                <w:bCs/>
                <w:color w:val="FF0000"/>
                <w:sz w:val="20"/>
                <w:szCs w:val="20"/>
                <w:lang w:eastAsia="sk-SK"/>
              </w:rPr>
            </w:pPr>
            <w:r>
              <w:rPr>
                <w:rFonts w:eastAsia="Times New Roman" w:cs="Calibri" w:ascii="Calibri" w:hAnsi="Calibri"/>
                <w:b/>
                <w:bCs/>
                <w:color w:val="FF0000"/>
                <w:sz w:val="20"/>
                <w:szCs w:val="20"/>
                <w:lang w:eastAsia="sk-SK"/>
              </w:rPr>
              <w:t>Vyradený z obchodného majetku            ku dňu:</w:t>
            </w:r>
          </w:p>
        </w:tc>
        <w:tc>
          <w:tcPr>
            <w:tcW w:w="1023" w:type="dxa"/>
            <w:tcBorders>
              <w:top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Calibri" w:hAnsi="Calibri" w:eastAsia="Times New Roman" w:cs="Calibri"/>
                <w:b/>
                <w:b/>
                <w:bCs/>
                <w:color w:val="FF0000"/>
                <w:sz w:val="20"/>
                <w:szCs w:val="20"/>
                <w:lang w:eastAsia="sk-SK"/>
              </w:rPr>
            </w:pPr>
            <w:r>
              <w:rPr>
                <w:rFonts w:eastAsia="Times New Roman" w:cs="Calibri" w:ascii="Calibri" w:hAnsi="Calibri"/>
                <w:b/>
                <w:bCs/>
                <w:color w:val="FF0000"/>
                <w:sz w:val="20"/>
                <w:szCs w:val="20"/>
                <w:lang w:eastAsia="sk-SK"/>
              </w:rPr>
              <w:t>Prevedený na iný RSP áno / nie</w:t>
            </w:r>
          </w:p>
        </w:tc>
        <w:tc>
          <w:tcPr>
            <w:tcW w:w="1417" w:type="dxa"/>
            <w:tcBorders>
              <w:top w:val="single" w:sz="4" w:space="0" w:color="000000"/>
              <w:bottom w:val="single" w:sz="4" w:space="0" w:color="000000"/>
              <w:right w:val="single" w:sz="4" w:space="0" w:color="000000"/>
            </w:tcBorders>
            <w:shd w:color="auto" w:fill="auto" w:val="clear"/>
            <w:vAlign w:val="center"/>
          </w:tcPr>
          <w:p>
            <w:pPr>
              <w:pStyle w:val="Normal"/>
              <w:widowControl w:val="false"/>
              <w:jc w:val="center"/>
              <w:rPr>
                <w:rFonts w:ascii="Calibri" w:hAnsi="Calibri" w:eastAsia="Times New Roman" w:cs="Calibri"/>
                <w:b/>
                <w:b/>
                <w:bCs/>
                <w:color w:val="FF0000"/>
                <w:sz w:val="20"/>
                <w:szCs w:val="20"/>
                <w:lang w:eastAsia="sk-SK"/>
              </w:rPr>
            </w:pPr>
            <w:r>
              <w:rPr>
                <w:rFonts w:eastAsia="Times New Roman" w:cs="Calibri" w:ascii="Calibri" w:hAnsi="Calibri"/>
                <w:b/>
                <w:bCs/>
                <w:color w:val="FF0000"/>
                <w:sz w:val="20"/>
                <w:szCs w:val="20"/>
                <w:lang w:eastAsia="sk-SK"/>
              </w:rPr>
              <w:t>Prevedený na inú spoločnosť ako RSP              áno / nie</w:t>
            </w:r>
          </w:p>
        </w:tc>
      </w:tr>
      <w:tr>
        <w:trPr>
          <w:trHeight w:val="288" w:hRule="exact"/>
        </w:trPr>
        <w:tc>
          <w:tcPr>
            <w:tcW w:w="183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2129"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701"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27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023"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41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r>
      <w:tr>
        <w:trPr>
          <w:trHeight w:val="288" w:hRule="exact"/>
        </w:trPr>
        <w:tc>
          <w:tcPr>
            <w:tcW w:w="183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2129"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701"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27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023"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41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r>
      <w:tr>
        <w:trPr>
          <w:trHeight w:val="288" w:hRule="exact"/>
        </w:trPr>
        <w:tc>
          <w:tcPr>
            <w:tcW w:w="183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2129"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701"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27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023"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41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r>
      <w:tr>
        <w:trPr>
          <w:trHeight w:val="288" w:hRule="exact"/>
        </w:trPr>
        <w:tc>
          <w:tcPr>
            <w:tcW w:w="183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2129"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701"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27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023"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41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r>
      <w:tr>
        <w:trPr>
          <w:trHeight w:val="288" w:hRule="exact"/>
        </w:trPr>
        <w:tc>
          <w:tcPr>
            <w:tcW w:w="183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2129"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701"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27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023"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41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r>
      <w:tr>
        <w:trPr>
          <w:trHeight w:val="288" w:hRule="exact"/>
        </w:trPr>
        <w:tc>
          <w:tcPr>
            <w:tcW w:w="183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2129"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701"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27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023"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c>
          <w:tcPr>
            <w:tcW w:w="1417" w:type="dxa"/>
            <w:tcBorders>
              <w:bottom w:val="single" w:sz="4" w:space="0" w:color="000000"/>
              <w:right w:val="single" w:sz="4" w:space="0" w:color="000000"/>
            </w:tcBorders>
            <w:shd w:color="auto" w:fill="auto" w:val="clear"/>
            <w:vAlign w:val="bottom"/>
          </w:tcPr>
          <w:p>
            <w:pPr>
              <w:pStyle w:val="Normal"/>
              <w:widowControl w:val="false"/>
              <w:rPr>
                <w:rFonts w:ascii="Calibri" w:hAnsi="Calibri" w:eastAsia="Times New Roman" w:cs="Calibri"/>
                <w:color w:val="000000"/>
                <w:lang w:eastAsia="sk-SK"/>
              </w:rPr>
            </w:pPr>
            <w:r>
              <w:rPr>
                <w:rFonts w:eastAsia="Times New Roman" w:cs="Calibri" w:ascii="Calibri" w:hAnsi="Calibri"/>
                <w:color w:val="000000"/>
                <w:lang w:eastAsia="sk-SK"/>
              </w:rPr>
            </w:r>
          </w:p>
        </w:tc>
      </w:tr>
    </w:tbl>
    <w:p>
      <w:pPr>
        <w:pStyle w:val="ListParagraph"/>
        <w:tabs>
          <w:tab w:val="clear" w:pos="720"/>
          <w:tab w:val="left" w:pos="9781" w:leader="none"/>
        </w:tabs>
        <w:spacing w:before="60" w:after="0"/>
        <w:ind w:left="426" w:hanging="0"/>
        <w:jc w:val="both"/>
        <w:rPr/>
      </w:pPr>
      <w:r>
        <w:rPr/>
      </w:r>
    </w:p>
    <w:p>
      <w:pPr>
        <w:pStyle w:val="ListParagraph"/>
        <w:numPr>
          <w:ilvl w:val="1"/>
          <w:numId w:val="9"/>
        </w:numPr>
        <w:tabs>
          <w:tab w:val="clear" w:pos="720"/>
          <w:tab w:val="left" w:pos="9781" w:leader="none"/>
        </w:tabs>
        <w:ind w:left="426" w:hanging="284"/>
        <w:jc w:val="both"/>
        <w:rPr/>
      </w:pPr>
      <w:r>
        <w:rPr/>
        <w:t>údajoch vykázaných na strane pasív súvahy,</w:t>
      </w:r>
    </w:p>
    <w:p>
      <w:pPr>
        <w:pStyle w:val="Default"/>
        <w:tabs>
          <w:tab w:val="clear" w:pos="720"/>
          <w:tab w:val="left" w:pos="9781" w:leader="none"/>
        </w:tabs>
        <w:spacing w:before="60" w:after="0"/>
        <w:ind w:left="425" w:hanging="0"/>
        <w:jc w:val="both"/>
        <w:rPr>
          <w:rFonts w:ascii="Arial Narrow" w:hAnsi="Arial Narrow"/>
          <w:color w:val="00B050"/>
          <w:sz w:val="22"/>
          <w:szCs w:val="22"/>
        </w:rPr>
      </w:pPr>
      <w:r>
        <w:rPr>
          <w:rFonts w:ascii="Arial Narrow" w:hAnsi="Arial Narrow"/>
          <w:b/>
          <w:color w:val="00B050"/>
          <w:sz w:val="22"/>
          <w:szCs w:val="22"/>
        </w:rPr>
        <w:t xml:space="preserve">RSP </w:t>
      </w:r>
      <w:r>
        <w:rPr>
          <w:rFonts w:ascii="Arial Narrow" w:hAnsi="Arial Narrow"/>
          <w:color w:val="00B050"/>
          <w:sz w:val="22"/>
          <w:szCs w:val="22"/>
        </w:rPr>
        <w:t xml:space="preserve">sa v zmysle §5 odsek 1, písmeno d, bod. 1. zákona o SE a v zmysle základného dokumentu zaviazal, že ak zo svojej činnosti dosiahne zisk, použije </w:t>
      </w:r>
      <w:r>
        <w:rPr>
          <w:rFonts w:ascii="Arial Narrow" w:hAnsi="Arial Narrow"/>
          <w:color w:val="FF0000"/>
          <w:sz w:val="22"/>
          <w:szCs w:val="22"/>
        </w:rPr>
        <w:t>100% / viac ako 50% a menej ako 100%</w:t>
      </w:r>
      <w:r>
        <w:rPr>
          <w:rFonts w:ascii="Arial Narrow" w:hAnsi="Arial Narrow"/>
          <w:color w:val="00B050"/>
          <w:sz w:val="22"/>
          <w:szCs w:val="22"/>
        </w:rPr>
        <w:t xml:space="preserve"> * </w:t>
      </w:r>
      <w:r>
        <w:rPr>
          <w:rFonts w:ascii="Arial Narrow" w:hAnsi="Arial Narrow"/>
          <w:color w:val="FF0000"/>
          <w:sz w:val="22"/>
          <w:szCs w:val="22"/>
        </w:rPr>
        <w:t>zisku po zdanení</w:t>
      </w:r>
      <w:r>
        <w:rPr>
          <w:rFonts w:ascii="Arial Narrow" w:hAnsi="Arial Narrow"/>
          <w:color w:val="00B050"/>
          <w:sz w:val="22"/>
          <w:szCs w:val="22"/>
        </w:rPr>
        <w:t xml:space="preserve"> na dosiahnutie hlavného cieľa, ktorým je dosahovanie merateľného PSV.</w:t>
      </w:r>
    </w:p>
    <w:p>
      <w:pPr>
        <w:pStyle w:val="Default"/>
        <w:tabs>
          <w:tab w:val="clear" w:pos="720"/>
          <w:tab w:val="left" w:pos="9781" w:leader="none"/>
        </w:tabs>
        <w:spacing w:before="60" w:after="0"/>
        <w:ind w:left="425" w:hanging="0"/>
        <w:jc w:val="both"/>
        <w:rPr>
          <w:rFonts w:ascii="Arial Narrow" w:hAnsi="Arial Narrow"/>
          <w:color w:val="00B050"/>
          <w:sz w:val="22"/>
          <w:szCs w:val="22"/>
        </w:rPr>
      </w:pPr>
      <w:r>
        <w:rPr>
          <w:rFonts w:ascii="Arial Narrow" w:hAnsi="Arial Narrow"/>
          <w:b/>
          <w:color w:val="00B050"/>
          <w:sz w:val="22"/>
          <w:szCs w:val="22"/>
        </w:rPr>
        <w:t xml:space="preserve">RSP </w:t>
      </w:r>
      <w:r>
        <w:rPr>
          <w:rFonts w:ascii="Arial Narrow" w:hAnsi="Arial Narrow"/>
          <w:color w:val="00B050"/>
          <w:sz w:val="22"/>
          <w:szCs w:val="22"/>
        </w:rPr>
        <w:t xml:space="preserve">počas obdobia, za ktoré je zostavená účtovná závierka, </w:t>
      </w:r>
      <w:r>
        <w:rPr>
          <w:rFonts w:ascii="Arial Narrow" w:hAnsi="Arial Narrow"/>
          <w:b/>
          <w:color w:val="00B050"/>
          <w:sz w:val="22"/>
          <w:szCs w:val="22"/>
        </w:rPr>
        <w:t>nemenil</w:t>
      </w:r>
      <w:r>
        <w:rPr>
          <w:rFonts w:ascii="Arial Narrow" w:hAnsi="Arial Narrow"/>
          <w:color w:val="00B050"/>
          <w:sz w:val="22"/>
          <w:szCs w:val="22"/>
        </w:rPr>
        <w:t>* %-nu výšku zisku, ktorú sa zaviazal používať na dosiahnutie hlavného cieľa.</w:t>
      </w:r>
    </w:p>
    <w:p>
      <w:pPr>
        <w:pStyle w:val="ListParagraph"/>
        <w:numPr>
          <w:ilvl w:val="1"/>
          <w:numId w:val="9"/>
        </w:numPr>
        <w:tabs>
          <w:tab w:val="clear" w:pos="720"/>
          <w:tab w:val="left" w:pos="9781" w:leader="none"/>
        </w:tabs>
        <w:spacing w:before="120" w:after="0"/>
        <w:ind w:left="426" w:hanging="284"/>
        <w:jc w:val="both"/>
        <w:rPr/>
      </w:pPr>
      <w:r>
        <w:rPr/>
        <w:t>výnosoch,</w:t>
      </w:r>
    </w:p>
    <w:p>
      <w:pPr>
        <w:pStyle w:val="Default"/>
        <w:tabs>
          <w:tab w:val="clear" w:pos="720"/>
          <w:tab w:val="left" w:pos="9781" w:leader="none"/>
        </w:tabs>
        <w:spacing w:before="120" w:after="0"/>
        <w:ind w:left="425"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vyhlasuje, že v období, za ktoré je zostavená účtovná závierka </w:t>
      </w:r>
      <w:r>
        <w:rPr>
          <w:rFonts w:ascii="Arial Narrow" w:hAnsi="Arial Narrow"/>
          <w:b/>
          <w:color w:val="00B050"/>
          <w:sz w:val="22"/>
          <w:szCs w:val="22"/>
        </w:rPr>
        <w:t>nevyužil*</w:t>
      </w:r>
      <w:r>
        <w:rPr>
          <w:rFonts w:ascii="Arial Narrow" w:hAnsi="Arial Narrow"/>
          <w:color w:val="00B050"/>
          <w:sz w:val="22"/>
          <w:szCs w:val="22"/>
        </w:rPr>
        <w:t xml:space="preserve"> servisné poukážky</w:t>
      </w:r>
    </w:p>
    <w:p>
      <w:pPr>
        <w:pStyle w:val="Default"/>
        <w:tabs>
          <w:tab w:val="clear" w:pos="720"/>
          <w:tab w:val="left" w:pos="9781" w:leader="none"/>
        </w:tabs>
        <w:spacing w:before="60" w:after="0"/>
        <w:ind w:left="425"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vyhlasuje, že v období, za ktoré je zostavená účtovná závierka </w:t>
      </w:r>
      <w:r>
        <w:rPr>
          <w:rFonts w:ascii="Arial Narrow" w:hAnsi="Arial Narrow"/>
          <w:b/>
          <w:color w:val="00B050"/>
          <w:sz w:val="22"/>
          <w:szCs w:val="22"/>
        </w:rPr>
        <w:t xml:space="preserve">využil </w:t>
      </w:r>
      <w:r>
        <w:rPr>
          <w:rFonts w:ascii="Arial Narrow" w:hAnsi="Arial Narrow"/>
          <w:color w:val="00B050"/>
          <w:sz w:val="22"/>
          <w:szCs w:val="22"/>
        </w:rPr>
        <w:t xml:space="preserve"> </w:t>
      </w:r>
      <w:r>
        <w:rPr>
          <w:rFonts w:ascii="Arial Narrow" w:hAnsi="Arial Narrow"/>
          <w:color w:val="FF0000"/>
          <w:sz w:val="22"/>
          <w:szCs w:val="22"/>
        </w:rPr>
        <w:t xml:space="preserve">zníženú sadzbu </w:t>
      </w:r>
      <w:r>
        <w:rPr>
          <w:rFonts w:ascii="Arial Narrow" w:hAnsi="Arial Narrow"/>
          <w:color w:val="00B050"/>
          <w:sz w:val="22"/>
          <w:szCs w:val="22"/>
        </w:rPr>
        <w:t>DPH (10%)</w:t>
      </w:r>
    </w:p>
    <w:p>
      <w:pPr>
        <w:pStyle w:val="Default"/>
        <w:tabs>
          <w:tab w:val="clear" w:pos="720"/>
          <w:tab w:val="left" w:pos="9781" w:leader="none"/>
        </w:tabs>
        <w:spacing w:before="60" w:after="0"/>
        <w:ind w:left="425"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vyhlasuje, že v období, za ktoré je zostavená účtovná závierka  výhody pri verejnom obstarávaní</w:t>
      </w:r>
    </w:p>
    <w:p>
      <w:pPr>
        <w:pStyle w:val="Default"/>
        <w:tabs>
          <w:tab w:val="clear" w:pos="720"/>
          <w:tab w:val="left" w:pos="9781" w:leader="none"/>
        </w:tabs>
        <w:spacing w:before="60" w:after="0"/>
        <w:ind w:left="425"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vyhlasuje, že v období, za ktoré je zostavená účtovná závierka </w:t>
      </w:r>
      <w:r>
        <w:rPr>
          <w:rFonts w:ascii="Arial Narrow" w:hAnsi="Arial Narrow"/>
          <w:b/>
          <w:color w:val="00B050"/>
          <w:sz w:val="22"/>
          <w:szCs w:val="22"/>
        </w:rPr>
        <w:t>neprijal*</w:t>
      </w:r>
      <w:r>
        <w:rPr>
          <w:rFonts w:ascii="Arial Narrow" w:hAnsi="Arial Narrow"/>
          <w:color w:val="00B050"/>
          <w:sz w:val="22"/>
          <w:szCs w:val="22"/>
        </w:rPr>
        <w:t xml:space="preserve"> verejné prostriedky (ak nešlo  o plnenie podmienky podľa §17 ods. 3 zákona o SE) podľa osobitných predpisov </w:t>
      </w:r>
      <w:r>
        <w:rPr>
          <w:rFonts w:ascii="Arial Narrow" w:hAnsi="Arial Narrow"/>
          <w:color w:val="00B050"/>
          <w:sz w:val="22"/>
          <w:szCs w:val="22"/>
          <w:u w:val="single"/>
        </w:rPr>
        <w:t>na tie isté oprávnené náklady alebo na ten istý účel,</w:t>
      </w:r>
      <w:r>
        <w:rPr>
          <w:rFonts w:ascii="Arial Narrow" w:hAnsi="Arial Narrow"/>
          <w:color w:val="00B050"/>
          <w:sz w:val="22"/>
          <w:szCs w:val="22"/>
        </w:rPr>
        <w:t xml:space="preserve"> na aké sa mu poskytovala podpora vo forme dotácie, nenávratného finančného príspevku alebo podmienečne vratného finančného príspevku.</w:t>
      </w:r>
    </w:p>
    <w:p>
      <w:pPr>
        <w:pStyle w:val="ListParagraph"/>
        <w:numPr>
          <w:ilvl w:val="1"/>
          <w:numId w:val="9"/>
        </w:numPr>
        <w:tabs>
          <w:tab w:val="clear" w:pos="720"/>
          <w:tab w:val="left" w:pos="9781" w:leader="none"/>
        </w:tabs>
        <w:spacing w:before="120" w:after="0"/>
        <w:ind w:left="426" w:hanging="284"/>
        <w:jc w:val="both"/>
        <w:rPr/>
      </w:pPr>
      <w:r>
        <w:rPr/>
        <w:t>nákladoch,</w:t>
      </w:r>
    </w:p>
    <w:p>
      <w:pPr>
        <w:pStyle w:val="Default"/>
        <w:tabs>
          <w:tab w:val="clear" w:pos="720"/>
          <w:tab w:val="left" w:pos="9781" w:leader="none"/>
        </w:tabs>
        <w:spacing w:before="120" w:after="0"/>
        <w:ind w:left="425" w:hanging="0"/>
        <w:jc w:val="both"/>
        <w:rPr>
          <w:rFonts w:ascii="Arial Narrow" w:hAnsi="Arial Narrow"/>
          <w:color w:val="00B050"/>
          <w:sz w:val="22"/>
          <w:szCs w:val="22"/>
        </w:rPr>
      </w:pPr>
      <w:r>
        <w:rPr>
          <w:rFonts w:ascii="Arial Narrow" w:hAnsi="Arial Narrow"/>
          <w:b/>
          <w:color w:val="00B050"/>
          <w:sz w:val="22"/>
          <w:szCs w:val="22"/>
        </w:rPr>
        <w:t xml:space="preserve">RSP </w:t>
      </w:r>
      <w:r>
        <w:rPr>
          <w:rFonts w:ascii="Arial Narrow" w:hAnsi="Arial Narrow"/>
          <w:color w:val="00B050"/>
          <w:sz w:val="22"/>
          <w:szCs w:val="22"/>
        </w:rPr>
        <w:t xml:space="preserve">vyhlasuje, že v období, za ktoré je zostavená účtovná závierka, </w:t>
      </w:r>
      <w:r>
        <w:rPr>
          <w:rFonts w:ascii="Arial Narrow" w:hAnsi="Arial Narrow"/>
          <w:b/>
          <w:color w:val="00B050"/>
          <w:sz w:val="22"/>
          <w:szCs w:val="22"/>
        </w:rPr>
        <w:t>plnil</w:t>
      </w:r>
      <w:r>
        <w:rPr>
          <w:rFonts w:ascii="Arial Narrow" w:hAnsi="Arial Narrow"/>
          <w:b/>
          <w:color w:val="FF0000"/>
          <w:sz w:val="22"/>
          <w:szCs w:val="22"/>
        </w:rPr>
        <w:t xml:space="preserve"> </w:t>
      </w:r>
      <w:r>
        <w:rPr>
          <w:rFonts w:ascii="Arial Narrow" w:hAnsi="Arial Narrow"/>
          <w:color w:val="00B050"/>
          <w:sz w:val="22"/>
          <w:szCs w:val="22"/>
        </w:rPr>
        <w:t xml:space="preserve">obmedzenia v zmysle § 24 odek 2 zákona o SE, t.j. celkové náklady na mzdy a ďalšie plnenia spojené s pracovnoprávnymi vzťahmi v RSP v kalendárnom roku </w:t>
      </w:r>
      <w:r>
        <w:rPr>
          <w:rFonts w:ascii="Arial Narrow" w:hAnsi="Arial Narrow"/>
          <w:b/>
          <w:color w:val="00B050"/>
          <w:sz w:val="22"/>
          <w:szCs w:val="22"/>
        </w:rPr>
        <w:t>nepresiahli</w:t>
      </w:r>
      <w:r>
        <w:rPr>
          <w:rFonts w:ascii="Arial Narrow" w:hAnsi="Arial Narrow"/>
          <w:color w:val="00B050"/>
          <w:sz w:val="22"/>
          <w:szCs w:val="22"/>
        </w:rPr>
        <w:t>:</w:t>
      </w:r>
    </w:p>
    <w:p>
      <w:pPr>
        <w:pStyle w:val="Default"/>
        <w:tabs>
          <w:tab w:val="clear" w:pos="720"/>
          <w:tab w:val="left" w:pos="9781" w:leader="none"/>
        </w:tabs>
        <w:ind w:left="1418" w:hanging="425"/>
        <w:jc w:val="both"/>
        <w:rPr>
          <w:rFonts w:ascii="Arial Narrow" w:hAnsi="Arial Narrow"/>
          <w:color w:val="00B050"/>
          <w:sz w:val="22"/>
          <w:szCs w:val="22"/>
        </w:rPr>
      </w:pPr>
      <w:r>
        <w:rPr>
          <w:rFonts w:ascii="Arial Narrow" w:hAnsi="Arial Narrow"/>
          <w:color w:val="00B050"/>
          <w:sz w:val="22"/>
          <w:szCs w:val="22"/>
        </w:rPr>
        <w:t xml:space="preserve">1) </w:t>
        <w:tab/>
        <w:t xml:space="preserve">5-násobok mzdových nákladov pri použití minimálnej mzdy </w:t>
      </w:r>
      <w:r>
        <w:rPr>
          <w:rFonts w:ascii="Arial Narrow" w:hAnsi="Arial Narrow"/>
          <w:b/>
          <w:color w:val="00B050"/>
          <w:sz w:val="22"/>
          <w:szCs w:val="22"/>
        </w:rPr>
        <w:t>x</w:t>
      </w:r>
      <w:r>
        <w:rPr>
          <w:rFonts w:ascii="Arial Narrow" w:hAnsi="Arial Narrow"/>
          <w:color w:val="00B050"/>
          <w:sz w:val="22"/>
          <w:szCs w:val="22"/>
        </w:rPr>
        <w:t xml:space="preserve"> počet zamestnancov  RSP </w:t>
      </w:r>
      <w:r>
        <w:rPr>
          <w:rFonts w:ascii="Arial Narrow" w:hAnsi="Arial Narrow"/>
          <w:b/>
          <w:color w:val="00B050"/>
          <w:sz w:val="22"/>
          <w:szCs w:val="22"/>
        </w:rPr>
        <w:t>a zároveň</w:t>
      </w:r>
    </w:p>
    <w:p>
      <w:pPr>
        <w:pStyle w:val="Default"/>
        <w:tabs>
          <w:tab w:val="clear" w:pos="720"/>
          <w:tab w:val="left" w:pos="9781" w:leader="none"/>
        </w:tabs>
        <w:ind w:left="1418" w:hanging="425"/>
        <w:jc w:val="both"/>
        <w:rPr>
          <w:rFonts w:ascii="Arial Narrow" w:hAnsi="Arial Narrow"/>
          <w:color w:val="00B050"/>
          <w:sz w:val="22"/>
          <w:szCs w:val="22"/>
        </w:rPr>
      </w:pPr>
      <w:r>
        <w:rPr>
          <w:rFonts w:ascii="Arial Narrow" w:hAnsi="Arial Narrow"/>
          <w:color w:val="00B050"/>
          <w:sz w:val="22"/>
          <w:szCs w:val="22"/>
        </w:rPr>
        <w:t xml:space="preserve">2) </w:t>
        <w:tab/>
        <w:t xml:space="preserve">3-násobok mzdových nákladov pri použití priemernej mzdy zamestnanca v hospodárstve SR za predchádzajúci kalendárny rok </w:t>
      </w:r>
      <w:r>
        <w:rPr>
          <w:rFonts w:ascii="Arial Narrow" w:hAnsi="Arial Narrow"/>
          <w:b/>
          <w:color w:val="00B050"/>
          <w:sz w:val="22"/>
          <w:szCs w:val="22"/>
        </w:rPr>
        <w:t>x</w:t>
      </w:r>
      <w:r>
        <w:rPr>
          <w:rFonts w:ascii="Arial Narrow" w:hAnsi="Arial Narrow"/>
          <w:color w:val="00B050"/>
          <w:sz w:val="22"/>
          <w:szCs w:val="22"/>
        </w:rPr>
        <w:t xml:space="preserve"> počet zamestnancov RSP, </w:t>
      </w:r>
      <w:r>
        <w:rPr>
          <w:rFonts w:ascii="Arial Narrow" w:hAnsi="Arial Narrow"/>
          <w:b/>
          <w:color w:val="00B050"/>
          <w:sz w:val="22"/>
          <w:szCs w:val="22"/>
        </w:rPr>
        <w:t>pričom</w:t>
      </w:r>
      <w:r>
        <w:rPr>
          <w:rFonts w:ascii="Arial Narrow" w:hAnsi="Arial Narrow"/>
          <w:color w:val="00B050"/>
          <w:sz w:val="22"/>
          <w:szCs w:val="22"/>
        </w:rPr>
        <w:t xml:space="preserve"> </w:t>
      </w:r>
    </w:p>
    <w:p>
      <w:pPr>
        <w:pStyle w:val="Default"/>
        <w:tabs>
          <w:tab w:val="clear" w:pos="720"/>
          <w:tab w:val="left" w:pos="9781" w:leader="none"/>
        </w:tabs>
        <w:ind w:left="1418" w:hanging="425"/>
        <w:jc w:val="both"/>
        <w:rPr>
          <w:rFonts w:ascii="Arial Narrow" w:hAnsi="Arial Narrow"/>
          <w:color w:val="00B050"/>
          <w:sz w:val="22"/>
          <w:szCs w:val="22"/>
        </w:rPr>
      </w:pPr>
      <w:r>
        <w:rPr>
          <w:rFonts w:ascii="Arial Narrow" w:hAnsi="Arial Narrow"/>
          <w:color w:val="00B050"/>
          <w:sz w:val="22"/>
          <w:szCs w:val="22"/>
        </w:rPr>
        <w:t xml:space="preserve">3) </w:t>
        <w:tab/>
        <w:t xml:space="preserve">suma najvyššej mzdy </w:t>
      </w:r>
      <w:r>
        <w:rPr>
          <w:rFonts w:ascii="Arial Narrow" w:hAnsi="Arial Narrow"/>
          <w:b/>
          <w:color w:val="00B050"/>
          <w:sz w:val="22"/>
          <w:szCs w:val="22"/>
        </w:rPr>
        <w:t xml:space="preserve"> neprekročila*</w:t>
      </w:r>
      <w:r>
        <w:rPr>
          <w:rFonts w:ascii="Arial Narrow" w:hAnsi="Arial Narrow"/>
          <w:color w:val="00B050"/>
          <w:sz w:val="22"/>
          <w:szCs w:val="22"/>
        </w:rPr>
        <w:t xml:space="preserve"> 5-násobok sumy najnižšej mzdy</w:t>
      </w:r>
    </w:p>
    <w:p>
      <w:pPr>
        <w:pStyle w:val="Default"/>
        <w:tabs>
          <w:tab w:val="clear" w:pos="720"/>
          <w:tab w:val="left" w:pos="9781" w:leader="none"/>
        </w:tabs>
        <w:ind w:left="1276" w:hanging="283"/>
        <w:jc w:val="both"/>
        <w:rPr>
          <w:rFonts w:ascii="Arial Narrow" w:hAnsi="Arial Narrow"/>
          <w:i/>
          <w:i/>
          <w:color w:val="00B050"/>
          <w:sz w:val="22"/>
          <w:szCs w:val="22"/>
        </w:rPr>
      </w:pPr>
      <w:r>
        <w:rPr>
          <w:rFonts w:ascii="Arial Narrow" w:hAnsi="Arial Narrow"/>
          <w:i/>
          <w:color w:val="00B050"/>
          <w:sz w:val="22"/>
          <w:szCs w:val="22"/>
        </w:rPr>
        <w:t>(podmienky boli  dodržané kumulatívne)</w:t>
      </w:r>
    </w:p>
    <w:p>
      <w:pPr>
        <w:pStyle w:val="Default"/>
        <w:tabs>
          <w:tab w:val="clear" w:pos="720"/>
          <w:tab w:val="left" w:pos="9781" w:leader="none"/>
        </w:tabs>
        <w:ind w:left="1276" w:hanging="283"/>
        <w:jc w:val="both"/>
        <w:rPr>
          <w:rFonts w:ascii="Arial Narrow" w:hAnsi="Arial Narrow"/>
          <w:i/>
          <w:i/>
          <w:color w:val="00B050"/>
          <w:sz w:val="22"/>
          <w:szCs w:val="22"/>
        </w:rPr>
      </w:pPr>
      <w:r>
        <w:rPr>
          <w:rFonts w:ascii="Arial Narrow" w:hAnsi="Arial Narrow"/>
          <w:i/>
          <w:color w:val="00B050"/>
          <w:sz w:val="22"/>
          <w:szCs w:val="22"/>
        </w:rPr>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b/>
          <w:color w:val="00B050"/>
          <w:sz w:val="22"/>
          <w:szCs w:val="22"/>
        </w:rPr>
        <w:t xml:space="preserve">RSP </w:t>
      </w:r>
      <w:r>
        <w:rPr>
          <w:rFonts w:ascii="Arial Narrow" w:hAnsi="Arial Narrow"/>
          <w:color w:val="00B050"/>
          <w:sz w:val="22"/>
          <w:szCs w:val="22"/>
        </w:rPr>
        <w:t>vyhlasuje, že v období, za ktoré je zostavená účtovná závierka,</w:t>
      </w:r>
      <w:r>
        <w:rPr>
          <w:rFonts w:ascii="Arial Narrow" w:hAnsi="Arial Narrow"/>
          <w:color w:val="FF0000"/>
          <w:sz w:val="22"/>
          <w:szCs w:val="22"/>
        </w:rPr>
        <w:t xml:space="preserve"> </w:t>
      </w:r>
      <w:r>
        <w:rPr>
          <w:rFonts w:ascii="Arial Narrow" w:hAnsi="Arial Narrow"/>
          <w:b/>
          <w:color w:val="00B050"/>
          <w:sz w:val="22"/>
          <w:szCs w:val="22"/>
        </w:rPr>
        <w:t>nepresiahol*</w:t>
      </w:r>
      <w:r>
        <w:rPr>
          <w:rFonts w:ascii="Arial Narrow" w:hAnsi="Arial Narrow"/>
          <w:color w:val="00B050"/>
          <w:sz w:val="22"/>
          <w:szCs w:val="22"/>
        </w:rPr>
        <w:t xml:space="preserve"> obvyklú cenu na trhu iných ako mzdových nákladov RSP (obvyklou cenou sa rozumie cena bežne používaná v mieste a čase  plnenia alebo spotreby, a to podľa druhu, kvality, resp. miery opotrebenia predmetného plnenia).</w:t>
      </w:r>
    </w:p>
    <w:p>
      <w:pPr>
        <w:pStyle w:val="Default"/>
        <w:tabs>
          <w:tab w:val="clear" w:pos="720"/>
          <w:tab w:val="left" w:pos="9781" w:leader="none"/>
        </w:tabs>
        <w:spacing w:before="60" w:after="0"/>
        <w:ind w:left="426" w:hanging="0"/>
        <w:jc w:val="both"/>
        <w:rPr>
          <w:rFonts w:ascii="Arial Narrow" w:hAnsi="Arial Narrow"/>
          <w:color w:val="00B050"/>
          <w:sz w:val="22"/>
          <w:szCs w:val="22"/>
        </w:rPr>
      </w:pPr>
      <w:r>
        <w:rPr>
          <w:rFonts w:ascii="Arial Narrow" w:hAnsi="Arial Narrow"/>
          <w:color w:val="00B050"/>
          <w:sz w:val="22"/>
          <w:szCs w:val="22"/>
        </w:rPr>
      </w:r>
    </w:p>
    <w:p>
      <w:pPr>
        <w:pStyle w:val="Default"/>
        <w:tabs>
          <w:tab w:val="clear" w:pos="720"/>
          <w:tab w:val="left" w:pos="9781" w:leader="none"/>
        </w:tabs>
        <w:spacing w:before="60" w:after="0"/>
        <w:ind w:left="426" w:hanging="0"/>
        <w:jc w:val="both"/>
        <w:rPr>
          <w:rFonts w:ascii="Arial Narrow" w:hAnsi="Arial Narrow"/>
          <w:i/>
          <w:i/>
          <w:color w:val="00B050"/>
          <w:sz w:val="22"/>
          <w:szCs w:val="22"/>
        </w:rPr>
      </w:pPr>
      <w:r>
        <w:rPr>
          <w:rFonts w:ascii="Arial Narrow" w:hAnsi="Arial Narrow"/>
          <w:b/>
          <w:color w:val="00B050"/>
          <w:sz w:val="22"/>
          <w:szCs w:val="22"/>
        </w:rPr>
        <w:t xml:space="preserve">RSP </w:t>
      </w:r>
      <w:r>
        <w:rPr>
          <w:rFonts w:ascii="Arial Narrow" w:hAnsi="Arial Narrow"/>
          <w:color w:val="00B050"/>
          <w:sz w:val="22"/>
          <w:szCs w:val="22"/>
        </w:rPr>
        <w:t xml:space="preserve">vyhlasuje, že v období, za ktoré je zostavená účtovná závierka, </w:t>
      </w:r>
      <w:r>
        <w:rPr>
          <w:rFonts w:ascii="Arial Narrow" w:hAnsi="Arial Narrow"/>
          <w:b/>
          <w:color w:val="00B050"/>
          <w:sz w:val="22"/>
          <w:szCs w:val="22"/>
        </w:rPr>
        <w:t>nevyplácal*</w:t>
      </w:r>
      <w:r>
        <w:rPr>
          <w:rFonts w:ascii="Arial Narrow" w:hAnsi="Arial Narrow"/>
          <w:color w:val="00B050"/>
          <w:sz w:val="22"/>
          <w:szCs w:val="22"/>
        </w:rPr>
        <w:t xml:space="preserve"> mzdu najmenej v sume, ku ktorej sa zaviazal pri  poskytnutí podpory alebo verejných prostriedkov podľa osobitného predpisu </w:t>
      </w:r>
      <w:r>
        <w:rPr>
          <w:rFonts w:ascii="Arial Narrow" w:hAnsi="Arial Narrow"/>
          <w:i/>
          <w:color w:val="00B050"/>
          <w:sz w:val="22"/>
          <w:szCs w:val="22"/>
        </w:rPr>
        <w:t>(napr. § 53 f a 53 g zákona č. 5/2004 Z. z. v znení zákona č. 112/2018 Z. z.)</w:t>
      </w:r>
    </w:p>
    <w:p>
      <w:pPr>
        <w:pStyle w:val="ListParagraph"/>
        <w:numPr>
          <w:ilvl w:val="1"/>
          <w:numId w:val="9"/>
        </w:numPr>
        <w:tabs>
          <w:tab w:val="clear" w:pos="720"/>
          <w:tab w:val="left" w:pos="9781" w:leader="none"/>
        </w:tabs>
        <w:spacing w:before="120" w:after="0"/>
        <w:ind w:left="426" w:hanging="284"/>
        <w:jc w:val="both"/>
        <w:rPr/>
      </w:pPr>
      <w:r>
        <w:rPr/>
        <w:t>daniach z príjmov,</w:t>
      </w:r>
    </w:p>
    <w:p>
      <w:pPr>
        <w:pStyle w:val="ListParagraph"/>
        <w:tabs>
          <w:tab w:val="clear" w:pos="720"/>
          <w:tab w:val="left" w:pos="9781" w:leader="none"/>
        </w:tabs>
        <w:spacing w:lineRule="exact" w:line="252" w:before="2" w:after="0"/>
        <w:ind w:left="426" w:hanging="0"/>
        <w:jc w:val="both"/>
        <w:rPr>
          <w:color w:val="00B050"/>
        </w:rPr>
      </w:pPr>
      <w:r>
        <w:rPr>
          <w:b/>
          <w:color w:val="00B050"/>
        </w:rPr>
        <w:t>RSP</w:t>
      </w:r>
      <w:r>
        <w:rPr>
          <w:color w:val="00B050"/>
        </w:rPr>
        <w:t xml:space="preserve"> </w:t>
      </w:r>
      <w:r>
        <w:rPr>
          <w:color w:val="FF0000"/>
        </w:rPr>
        <w:t>vyhlasuje, že</w:t>
      </w:r>
      <w:r>
        <w:rPr>
          <w:color w:val="00B050"/>
        </w:rPr>
        <w:t xml:space="preserve"> </w:t>
      </w:r>
      <w:r>
        <w:rPr>
          <w:b/>
          <w:color w:val="FF0000"/>
        </w:rPr>
        <w:t xml:space="preserve"> nevyužil</w:t>
      </w:r>
      <w:r>
        <w:rPr>
          <w:color w:val="00B050"/>
        </w:rPr>
        <w:t xml:space="preserve">  úľavu na dani z príjmu </w:t>
      </w:r>
      <w:r>
        <w:rPr>
          <w:color w:val="FF0000"/>
        </w:rPr>
        <w:t>v zmysle § 17 ods. 1 písm. g) zákona o SE</w:t>
      </w:r>
      <w:r>
        <w:rPr>
          <w:color w:val="00B050"/>
        </w:rPr>
        <w:t xml:space="preserve">. </w:t>
      </w:r>
    </w:p>
    <w:p>
      <w:pPr>
        <w:pStyle w:val="ListParagraph"/>
        <w:numPr>
          <w:ilvl w:val="1"/>
          <w:numId w:val="9"/>
        </w:numPr>
        <w:tabs>
          <w:tab w:val="clear" w:pos="720"/>
          <w:tab w:val="left" w:pos="9781" w:leader="none"/>
        </w:tabs>
        <w:spacing w:before="120" w:after="0"/>
        <w:ind w:left="426" w:hanging="284"/>
        <w:jc w:val="both"/>
        <w:rPr/>
      </w:pPr>
      <w:r>
        <w:rPr/>
        <w:t>údajoch na podsúvahových účtoch,</w:t>
      </w:r>
    </w:p>
    <w:p>
      <w:pPr>
        <w:pStyle w:val="ListParagraph"/>
        <w:numPr>
          <w:ilvl w:val="1"/>
          <w:numId w:val="9"/>
        </w:numPr>
        <w:tabs>
          <w:tab w:val="clear" w:pos="720"/>
          <w:tab w:val="left" w:pos="9781" w:leader="none"/>
        </w:tabs>
        <w:spacing w:before="120" w:after="0"/>
        <w:ind w:left="426" w:hanging="284"/>
        <w:jc w:val="both"/>
        <w:rPr/>
      </w:pPr>
      <w:r>
        <w:rPr/>
        <w:t>iných aktívach a iných pasívach,</w:t>
      </w:r>
    </w:p>
    <w:p>
      <w:pPr>
        <w:pStyle w:val="ListParagraph"/>
        <w:numPr>
          <w:ilvl w:val="1"/>
          <w:numId w:val="9"/>
        </w:numPr>
        <w:tabs>
          <w:tab w:val="clear" w:pos="720"/>
          <w:tab w:val="left" w:pos="9781" w:leader="none"/>
        </w:tabs>
        <w:spacing w:before="120" w:after="0"/>
        <w:ind w:left="426" w:hanging="284"/>
        <w:jc w:val="both"/>
        <w:rPr/>
      </w:pPr>
      <w:r>
        <w:rPr/>
        <w:t>spriaznených osobách,</w:t>
      </w:r>
    </w:p>
    <w:p>
      <w:pPr>
        <w:pStyle w:val="ListParagraph"/>
        <w:tabs>
          <w:tab w:val="clear" w:pos="720"/>
          <w:tab w:val="left" w:pos="9781" w:leader="none"/>
        </w:tabs>
        <w:spacing w:before="60" w:after="120"/>
        <w:ind w:left="438" w:hanging="0"/>
        <w:jc w:val="both"/>
        <w:rPr>
          <w:b/>
          <w:b/>
          <w:color w:val="FF0000"/>
        </w:rPr>
      </w:pPr>
      <w:r>
        <w:rPr>
          <w:b/>
          <w:color w:val="FF0000"/>
        </w:rPr>
        <w:t>RSP spĺňa výnimku</w:t>
      </w:r>
      <w:r>
        <w:rPr>
          <w:color w:val="FF0000"/>
        </w:rPr>
        <w:t xml:space="preserve"> na odoberanie/dodávanie  tovarov a služieb od závislej osoby, ktorá nie je RSP v zmysle §24 odsek 5, písmeno a / b / c1 / c2 / d* zákona o SE.</w:t>
      </w:r>
    </w:p>
    <w:p>
      <w:pPr>
        <w:pStyle w:val="ListParagraph"/>
        <w:tabs>
          <w:tab w:val="clear" w:pos="720"/>
          <w:tab w:val="left" w:pos="9781" w:leader="none"/>
        </w:tabs>
        <w:spacing w:before="60" w:after="0"/>
        <w:ind w:left="425" w:hanging="0"/>
        <w:jc w:val="both"/>
        <w:rPr>
          <w:b/>
          <w:b/>
          <w:color w:val="FF0000"/>
        </w:rPr>
      </w:pPr>
      <w:r>
        <w:rPr>
          <w:b/>
          <w:color w:val="FF0000"/>
        </w:rPr>
        <w:t xml:space="preserve">RSP dodával </w:t>
      </w:r>
      <w:r>
        <w:rPr>
          <w:color w:val="FF0000"/>
        </w:rPr>
        <w:t xml:space="preserve">v období, za ktoré je zostavená účtovná závierka, tovary alebo služby </w:t>
      </w:r>
      <w:r>
        <w:rPr>
          <w:color w:val="FF0000"/>
          <w:u w:val="single"/>
        </w:rPr>
        <w:t>závislej osobe, ktorá je právnickou osobou a nie je registrovaným sociálnym podnikom</w:t>
      </w:r>
      <w:r>
        <w:rPr>
          <w:color w:val="FF0000"/>
        </w:rPr>
        <w:t xml:space="preserve">. </w:t>
      </w:r>
    </w:p>
    <w:p>
      <w:pPr>
        <w:pStyle w:val="Default"/>
        <w:tabs>
          <w:tab w:val="clear" w:pos="720"/>
          <w:tab w:val="left" w:pos="9781" w:leader="none"/>
        </w:tabs>
        <w:spacing w:before="60" w:after="0"/>
        <w:ind w:left="425" w:hanging="0"/>
        <w:jc w:val="both"/>
        <w:rPr>
          <w:rFonts w:ascii="Arial Narrow" w:hAnsi="Arial Narrow"/>
          <w:color w:val="FF0000"/>
          <w:sz w:val="22"/>
          <w:szCs w:val="22"/>
        </w:rPr>
      </w:pPr>
      <w:r>
        <w:rPr>
          <w:rFonts w:ascii="Arial Narrow" w:hAnsi="Arial Narrow"/>
          <w:b/>
          <w:color w:val="FF0000"/>
          <w:sz w:val="22"/>
          <w:szCs w:val="22"/>
        </w:rPr>
        <w:t>RSP</w:t>
      </w:r>
      <w:r>
        <w:rPr>
          <w:rFonts w:ascii="Arial Narrow" w:hAnsi="Arial Narrow"/>
          <w:color w:val="FF0000"/>
          <w:sz w:val="22"/>
          <w:szCs w:val="22"/>
        </w:rPr>
        <w:t xml:space="preserve"> </w:t>
      </w:r>
      <w:r>
        <w:rPr>
          <w:rFonts w:ascii="Arial Narrow" w:hAnsi="Arial Narrow"/>
          <w:b/>
          <w:color w:val="FF0000"/>
          <w:sz w:val="22"/>
          <w:szCs w:val="22"/>
        </w:rPr>
        <w:t xml:space="preserve"> neodoberal*</w:t>
      </w:r>
      <w:r>
        <w:rPr>
          <w:rFonts w:ascii="Arial Narrow" w:hAnsi="Arial Narrow"/>
          <w:color w:val="FF0000"/>
          <w:sz w:val="22"/>
          <w:szCs w:val="22"/>
        </w:rPr>
        <w:t xml:space="preserve"> v období, za ktoré je zostavená účtovná závierka, tovary alebo služby od </w:t>
      </w:r>
      <w:r>
        <w:rPr>
          <w:rFonts w:ascii="Arial Narrow" w:hAnsi="Arial Narrow"/>
          <w:color w:val="FF0000"/>
          <w:sz w:val="22"/>
          <w:szCs w:val="22"/>
          <w:u w:val="single"/>
        </w:rPr>
        <w:t>závislej osob</w:t>
      </w:r>
      <w:bookmarkStart w:id="0" w:name="_GoBack"/>
      <w:bookmarkEnd w:id="0"/>
      <w:r>
        <w:rPr>
          <w:rFonts w:ascii="Arial Narrow" w:hAnsi="Arial Narrow"/>
          <w:color w:val="FF0000"/>
          <w:sz w:val="22"/>
          <w:szCs w:val="22"/>
          <w:u w:val="single"/>
        </w:rPr>
        <w:t>e, ktorá je fyzickou osobou</w:t>
      </w:r>
      <w:r>
        <w:rPr>
          <w:rFonts w:ascii="Arial Narrow" w:hAnsi="Arial Narrow"/>
          <w:color w:val="FF0000"/>
          <w:sz w:val="22"/>
          <w:szCs w:val="22"/>
        </w:rPr>
        <w:t xml:space="preserve">. </w:t>
      </w:r>
    </w:p>
    <w:p>
      <w:pPr>
        <w:pStyle w:val="ListParagraph"/>
        <w:tabs>
          <w:tab w:val="clear" w:pos="720"/>
          <w:tab w:val="left" w:pos="9781" w:leader="none"/>
        </w:tabs>
        <w:spacing w:before="120" w:after="0"/>
        <w:ind w:left="426" w:hanging="0"/>
        <w:jc w:val="both"/>
        <w:rPr>
          <w:color w:val="00B050"/>
        </w:rPr>
      </w:pPr>
      <w:r>
        <w:rPr>
          <w:b/>
          <w:color w:val="00B050"/>
        </w:rPr>
        <w:t xml:space="preserve">RSP </w:t>
      </w:r>
      <w:r>
        <w:rPr>
          <w:color w:val="FF0000"/>
        </w:rPr>
        <w:t>si v období, za ktoré je zostavená účtovná závierka, ne</w:t>
      </w:r>
      <w:r>
        <w:rPr>
          <w:b/>
          <w:color w:val="FF0000"/>
        </w:rPr>
        <w:t xml:space="preserve">vzal </w:t>
      </w:r>
      <w:r>
        <w:rPr>
          <w:color w:val="FF0000"/>
        </w:rPr>
        <w:t xml:space="preserve"> </w:t>
      </w:r>
      <w:r>
        <w:rPr>
          <w:color w:val="FF0000"/>
          <w:u w:val="single"/>
        </w:rPr>
        <w:t>úver alebo pôžičku od závislej osoby</w:t>
      </w:r>
      <w:r>
        <w:rPr>
          <w:color w:val="FF0000"/>
        </w:rPr>
        <w:t xml:space="preserve">. </w:t>
      </w:r>
    </w:p>
    <w:p>
      <w:pPr>
        <w:pStyle w:val="ListParagraph"/>
        <w:numPr>
          <w:ilvl w:val="1"/>
          <w:numId w:val="9"/>
        </w:numPr>
        <w:tabs>
          <w:tab w:val="clear" w:pos="720"/>
          <w:tab w:val="left" w:pos="9781" w:leader="none"/>
        </w:tabs>
        <w:spacing w:before="120" w:after="0"/>
        <w:ind w:left="426" w:hanging="284"/>
        <w:jc w:val="both"/>
        <w:rPr/>
      </w:pPr>
      <w:r>
        <w:rPr/>
        <w:t>skutočnostiach, ktoré nastali medzi dňom, ku ktorému sa zostavuje účtovná závierka a dňom jej zostavenia,</w:t>
      </w:r>
    </w:p>
    <w:p>
      <w:pPr>
        <w:pStyle w:val="ListParagraph"/>
        <w:numPr>
          <w:ilvl w:val="1"/>
          <w:numId w:val="9"/>
        </w:numPr>
        <w:tabs>
          <w:tab w:val="clear" w:pos="720"/>
          <w:tab w:val="left" w:pos="9781" w:leader="none"/>
        </w:tabs>
        <w:spacing w:before="120" w:after="0"/>
        <w:ind w:left="426" w:hanging="284"/>
        <w:jc w:val="both"/>
        <w:rPr/>
      </w:pPr>
      <w:r>
        <w:rPr/>
        <w:t>prehľade zmien vlastného imania,</w:t>
      </w:r>
    </w:p>
    <w:p>
      <w:pPr>
        <w:pStyle w:val="ListParagraph"/>
        <w:numPr>
          <w:ilvl w:val="1"/>
          <w:numId w:val="9"/>
        </w:numPr>
        <w:tabs>
          <w:tab w:val="clear" w:pos="720"/>
          <w:tab w:val="left" w:pos="9781" w:leader="none"/>
        </w:tabs>
        <w:spacing w:before="120" w:after="0"/>
        <w:ind w:left="426" w:hanging="284"/>
        <w:jc w:val="both"/>
        <w:rPr/>
      </w:pPr>
      <w:r>
        <w:rPr/>
        <w:t>prehľade peňažných tokov.</w:t>
      </w:r>
    </w:p>
    <w:p>
      <w:pPr>
        <w:pStyle w:val="Telotextu"/>
        <w:tabs>
          <w:tab w:val="clear" w:pos="720"/>
          <w:tab w:val="left" w:pos="9781" w:leader="none"/>
        </w:tabs>
        <w:jc w:val="both"/>
        <w:rPr/>
      </w:pPr>
      <w:r>
        <w:rPr/>
      </w:r>
    </w:p>
    <w:p>
      <w:pPr>
        <w:pStyle w:val="Nadpis1"/>
        <w:numPr>
          <w:ilvl w:val="0"/>
          <w:numId w:val="9"/>
        </w:numPr>
        <w:tabs>
          <w:tab w:val="clear" w:pos="720"/>
          <w:tab w:val="left" w:pos="9781" w:leader="none"/>
        </w:tabs>
        <w:ind w:left="284" w:hanging="288"/>
        <w:jc w:val="both"/>
        <w:rPr>
          <w:sz w:val="24"/>
        </w:rPr>
      </w:pPr>
      <w:r>
        <w:rPr>
          <w:sz w:val="24"/>
        </w:rPr>
        <w:t>V časti o použitých účtovných zásadách a účtovných metódach sa uvádzajú informácie o</w:t>
      </w:r>
    </w:p>
    <w:p>
      <w:pPr>
        <w:pStyle w:val="Telotextu"/>
        <w:tabs>
          <w:tab w:val="clear" w:pos="720"/>
          <w:tab w:val="left" w:pos="9781" w:leader="none"/>
        </w:tabs>
        <w:spacing w:before="10" w:after="0"/>
        <w:jc w:val="both"/>
        <w:rPr>
          <w:b/>
          <w:b/>
          <w:sz w:val="21"/>
        </w:rPr>
      </w:pPr>
      <w:r>
        <w:rPr>
          <w:b/>
          <w:sz w:val="21"/>
        </w:rPr>
      </w:r>
    </w:p>
    <w:p>
      <w:pPr>
        <w:pStyle w:val="ListParagraph"/>
        <w:numPr>
          <w:ilvl w:val="1"/>
          <w:numId w:val="9"/>
        </w:numPr>
        <w:tabs>
          <w:tab w:val="clear" w:pos="720"/>
          <w:tab w:val="left" w:pos="9781" w:leader="none"/>
        </w:tabs>
        <w:spacing w:before="1" w:after="0"/>
        <w:ind w:left="426" w:hanging="284"/>
        <w:jc w:val="both"/>
        <w:rPr/>
      </w:pPr>
      <w:r>
        <w:rPr/>
        <w:t>splnení predpokladu, že účtovná jednotka bude nepretržite pokračovať vo svojej</w:t>
      </w:r>
      <w:r>
        <w:rPr>
          <w:spacing w:val="-18"/>
        </w:rPr>
        <w:t xml:space="preserve"> </w:t>
      </w:r>
      <w:r>
        <w:rPr/>
        <w:t>činnosti,</w:t>
      </w:r>
    </w:p>
    <w:p>
      <w:pPr>
        <w:pStyle w:val="ListParagraph"/>
        <w:numPr>
          <w:ilvl w:val="1"/>
          <w:numId w:val="9"/>
        </w:numPr>
        <w:tabs>
          <w:tab w:val="clear" w:pos="720"/>
          <w:tab w:val="left" w:pos="9781" w:leader="none"/>
        </w:tabs>
        <w:spacing w:before="1" w:after="0"/>
        <w:ind w:left="426" w:hanging="284"/>
        <w:jc w:val="both"/>
        <w:rPr/>
      </w:pPr>
      <w:r>
        <w:rPr/>
        <w:t>zmenách účtovných zásad a zmenách účtovných metód, s uvedením dôvodu ich uplatnenia a ich vplyvu na hodnotu majetku, záväzkov, vlastného imania a výsledku hospodárenia účtovnej jednotky,</w:t>
      </w:r>
    </w:p>
    <w:p>
      <w:pPr>
        <w:pStyle w:val="ListParagraph"/>
        <w:numPr>
          <w:ilvl w:val="1"/>
          <w:numId w:val="9"/>
        </w:numPr>
        <w:tabs>
          <w:tab w:val="clear" w:pos="720"/>
          <w:tab w:val="left" w:pos="9781" w:leader="none"/>
        </w:tabs>
        <w:spacing w:before="1" w:after="0"/>
        <w:ind w:left="426" w:hanging="284"/>
        <w:jc w:val="both"/>
        <w:rPr/>
      </w:pPr>
      <w:r>
        <w:rPr/>
        <w:t>spôsobe oceňovania jednotlivých zložiek majetku a záväzkov v členení na</w:t>
      </w:r>
    </w:p>
    <w:p>
      <w:pPr>
        <w:pStyle w:val="ListParagraph"/>
        <w:numPr>
          <w:ilvl w:val="2"/>
          <w:numId w:val="9"/>
        </w:numPr>
        <w:tabs>
          <w:tab w:val="clear" w:pos="720"/>
          <w:tab w:val="left" w:pos="9781" w:leader="none"/>
        </w:tabs>
        <w:spacing w:lineRule="exact" w:line="252"/>
        <w:ind w:left="851" w:hanging="361"/>
        <w:jc w:val="both"/>
        <w:rPr/>
      </w:pPr>
      <w:r>
        <w:rPr/>
        <w:t>dlhodobý nehmotný majetok obstaraný</w:t>
      </w:r>
      <w:r>
        <w:rPr>
          <w:spacing w:val="-2"/>
        </w:rPr>
        <w:t xml:space="preserve"> </w:t>
      </w:r>
      <w:r>
        <w:rPr/>
        <w:t>kúpou,</w:t>
      </w:r>
    </w:p>
    <w:p>
      <w:pPr>
        <w:pStyle w:val="ListParagraph"/>
        <w:numPr>
          <w:ilvl w:val="2"/>
          <w:numId w:val="9"/>
        </w:numPr>
        <w:tabs>
          <w:tab w:val="clear" w:pos="720"/>
          <w:tab w:val="left" w:pos="9781" w:leader="none"/>
        </w:tabs>
        <w:spacing w:lineRule="exact" w:line="252"/>
        <w:ind w:left="851" w:hanging="361"/>
        <w:jc w:val="both"/>
        <w:rPr/>
      </w:pPr>
      <w:r>
        <w:rPr/>
        <w:t>dlhodobý nehmotný majetok obstaraný vlastnou</w:t>
      </w:r>
      <w:r>
        <w:rPr>
          <w:spacing w:val="-3"/>
        </w:rPr>
        <w:t xml:space="preserve"> </w:t>
      </w:r>
      <w:r>
        <w:rPr/>
        <w:t>činnosťou,</w:t>
      </w:r>
    </w:p>
    <w:p>
      <w:pPr>
        <w:pStyle w:val="ListParagraph"/>
        <w:numPr>
          <w:ilvl w:val="2"/>
          <w:numId w:val="9"/>
        </w:numPr>
        <w:tabs>
          <w:tab w:val="clear" w:pos="720"/>
          <w:tab w:val="left" w:pos="9781" w:leader="none"/>
        </w:tabs>
        <w:spacing w:lineRule="exact" w:line="252" w:before="1" w:after="0"/>
        <w:ind w:left="851" w:hanging="361"/>
        <w:jc w:val="both"/>
        <w:rPr/>
      </w:pPr>
      <w:r>
        <w:rPr/>
        <w:t>dlhodobý nehmotný majetok obstaraný iným</w:t>
      </w:r>
      <w:r>
        <w:rPr>
          <w:spacing w:val="-4"/>
        </w:rPr>
        <w:t xml:space="preserve"> </w:t>
      </w:r>
      <w:r>
        <w:rPr/>
        <w:t>spôsobom,</w:t>
      </w:r>
    </w:p>
    <w:p>
      <w:pPr>
        <w:pStyle w:val="ListParagraph"/>
        <w:numPr>
          <w:ilvl w:val="2"/>
          <w:numId w:val="9"/>
        </w:numPr>
        <w:tabs>
          <w:tab w:val="clear" w:pos="720"/>
          <w:tab w:val="left" w:pos="9781" w:leader="none"/>
        </w:tabs>
        <w:spacing w:lineRule="exact" w:line="252"/>
        <w:ind w:left="851" w:hanging="361"/>
        <w:jc w:val="both"/>
        <w:rPr/>
      </w:pPr>
      <w:r>
        <w:rPr/>
        <w:t>dlhodobý hmotný majetok obstaraný</w:t>
      </w:r>
      <w:r>
        <w:rPr>
          <w:spacing w:val="-6"/>
        </w:rPr>
        <w:t xml:space="preserve"> </w:t>
      </w:r>
      <w:r>
        <w:rPr/>
        <w:t>kúpou,</w:t>
      </w:r>
    </w:p>
    <w:p>
      <w:pPr>
        <w:pStyle w:val="ListParagraph"/>
        <w:numPr>
          <w:ilvl w:val="2"/>
          <w:numId w:val="9"/>
        </w:numPr>
        <w:tabs>
          <w:tab w:val="clear" w:pos="720"/>
          <w:tab w:val="left" w:pos="9781" w:leader="none"/>
        </w:tabs>
        <w:spacing w:lineRule="exact" w:line="252"/>
        <w:ind w:left="851" w:hanging="361"/>
        <w:jc w:val="both"/>
        <w:rPr/>
      </w:pPr>
      <w:r>
        <w:rPr/>
        <w:t>dlhodobý hmotný majetok obstaraný vlastnou</w:t>
      </w:r>
      <w:r>
        <w:rPr>
          <w:spacing w:val="-7"/>
        </w:rPr>
        <w:t xml:space="preserve"> </w:t>
      </w:r>
      <w:r>
        <w:rPr/>
        <w:t>činnosťou,</w:t>
      </w:r>
    </w:p>
    <w:p>
      <w:pPr>
        <w:pStyle w:val="ListParagraph"/>
        <w:numPr>
          <w:ilvl w:val="2"/>
          <w:numId w:val="9"/>
        </w:numPr>
        <w:tabs>
          <w:tab w:val="clear" w:pos="720"/>
          <w:tab w:val="left" w:pos="9781" w:leader="none"/>
        </w:tabs>
        <w:spacing w:lineRule="exact" w:line="252"/>
        <w:ind w:left="851" w:hanging="361"/>
        <w:jc w:val="both"/>
        <w:rPr/>
      </w:pPr>
      <w:r>
        <w:rPr/>
        <w:t>dlhodobý hmotný majetok obstaraný iným</w:t>
      </w:r>
      <w:r>
        <w:rPr>
          <w:spacing w:val="-8"/>
        </w:rPr>
        <w:t xml:space="preserve"> </w:t>
      </w:r>
      <w:r>
        <w:rPr/>
        <w:t>spôsobom,</w:t>
      </w:r>
    </w:p>
    <w:p>
      <w:pPr>
        <w:pStyle w:val="ListParagraph"/>
        <w:numPr>
          <w:ilvl w:val="2"/>
          <w:numId w:val="9"/>
        </w:numPr>
        <w:tabs>
          <w:tab w:val="clear" w:pos="720"/>
          <w:tab w:val="left" w:pos="9781" w:leader="none"/>
        </w:tabs>
        <w:spacing w:lineRule="exact" w:line="252"/>
        <w:ind w:left="851" w:hanging="361"/>
        <w:jc w:val="both"/>
        <w:rPr/>
      </w:pPr>
      <w:r>
        <w:rPr/>
        <w:t>dlhodobý finančný</w:t>
      </w:r>
      <w:r>
        <w:rPr>
          <w:spacing w:val="-1"/>
        </w:rPr>
        <w:t xml:space="preserve"> </w:t>
      </w:r>
      <w:r>
        <w:rPr/>
        <w:t>majetok,</w:t>
      </w:r>
    </w:p>
    <w:p>
      <w:pPr>
        <w:pStyle w:val="ListParagraph"/>
        <w:numPr>
          <w:ilvl w:val="2"/>
          <w:numId w:val="9"/>
        </w:numPr>
        <w:tabs>
          <w:tab w:val="clear" w:pos="720"/>
          <w:tab w:val="left" w:pos="9781" w:leader="none"/>
        </w:tabs>
        <w:spacing w:lineRule="exact" w:line="252"/>
        <w:ind w:left="851" w:hanging="361"/>
        <w:jc w:val="both"/>
        <w:rPr/>
      </w:pPr>
      <w:r>
        <w:rPr/>
        <w:t>zásoby obstarané</w:t>
      </w:r>
      <w:r>
        <w:rPr>
          <w:spacing w:val="-4"/>
        </w:rPr>
        <w:t xml:space="preserve"> </w:t>
      </w:r>
      <w:r>
        <w:rPr/>
        <w:t>kúpou,</w:t>
      </w:r>
    </w:p>
    <w:p>
      <w:pPr>
        <w:pStyle w:val="ListParagraph"/>
        <w:numPr>
          <w:ilvl w:val="2"/>
          <w:numId w:val="9"/>
        </w:numPr>
        <w:tabs>
          <w:tab w:val="clear" w:pos="720"/>
          <w:tab w:val="left" w:pos="9781" w:leader="none"/>
        </w:tabs>
        <w:spacing w:lineRule="exact" w:line="252" w:before="2" w:after="0"/>
        <w:ind w:left="851" w:hanging="361"/>
        <w:jc w:val="both"/>
        <w:rPr/>
      </w:pPr>
      <w:r>
        <w:rPr/>
        <w:t>zásoby vytvorené vlastnou</w:t>
      </w:r>
      <w:r>
        <w:rPr>
          <w:spacing w:val="-1"/>
        </w:rPr>
        <w:t xml:space="preserve"> </w:t>
      </w:r>
      <w:r>
        <w:rPr/>
        <w:t>činnosťou,</w:t>
      </w:r>
    </w:p>
    <w:p>
      <w:pPr>
        <w:pStyle w:val="ListParagraph"/>
        <w:numPr>
          <w:ilvl w:val="2"/>
          <w:numId w:val="9"/>
        </w:numPr>
        <w:tabs>
          <w:tab w:val="clear" w:pos="720"/>
          <w:tab w:val="left" w:pos="9781" w:leader="none"/>
        </w:tabs>
        <w:spacing w:lineRule="exact" w:line="252"/>
        <w:ind w:left="851" w:hanging="361"/>
        <w:jc w:val="both"/>
        <w:rPr/>
      </w:pPr>
      <w:r>
        <w:rPr/>
        <w:t>zásoby obstarané iným</w:t>
      </w:r>
      <w:r>
        <w:rPr>
          <w:spacing w:val="-4"/>
        </w:rPr>
        <w:t xml:space="preserve"> </w:t>
      </w:r>
      <w:r>
        <w:rPr/>
        <w:t>spôsobom,</w:t>
      </w:r>
    </w:p>
    <w:p>
      <w:pPr>
        <w:pStyle w:val="ListParagraph"/>
        <w:numPr>
          <w:ilvl w:val="2"/>
          <w:numId w:val="9"/>
        </w:numPr>
        <w:tabs>
          <w:tab w:val="clear" w:pos="720"/>
          <w:tab w:val="left" w:pos="9781" w:leader="none"/>
        </w:tabs>
        <w:spacing w:lineRule="exact" w:line="252"/>
        <w:ind w:left="851" w:hanging="361"/>
        <w:jc w:val="both"/>
        <w:rPr/>
      </w:pPr>
      <w:r>
        <w:rPr/>
        <w:t>zákazkovú výrobu a zákazkovú výstavbu nehnuteľnosti určenej na</w:t>
      </w:r>
      <w:r>
        <w:rPr>
          <w:spacing w:val="-7"/>
        </w:rPr>
        <w:t xml:space="preserve"> </w:t>
      </w:r>
      <w:r>
        <w:rPr/>
        <w:t>predaj,</w:t>
      </w:r>
    </w:p>
    <w:p>
      <w:pPr>
        <w:pStyle w:val="ListParagraph"/>
        <w:numPr>
          <w:ilvl w:val="2"/>
          <w:numId w:val="9"/>
        </w:numPr>
        <w:tabs>
          <w:tab w:val="clear" w:pos="720"/>
          <w:tab w:val="left" w:pos="9781" w:leader="none"/>
        </w:tabs>
        <w:spacing w:lineRule="exact" w:line="252"/>
        <w:ind w:left="851" w:hanging="361"/>
        <w:jc w:val="both"/>
        <w:rPr/>
      </w:pPr>
      <w:r>
        <w:rPr/>
        <w:t>pohľadávky,</w:t>
      </w:r>
    </w:p>
    <w:p>
      <w:pPr>
        <w:pStyle w:val="ListParagraph"/>
        <w:numPr>
          <w:ilvl w:val="2"/>
          <w:numId w:val="9"/>
        </w:numPr>
        <w:tabs>
          <w:tab w:val="clear" w:pos="720"/>
          <w:tab w:val="left" w:pos="9781" w:leader="none"/>
        </w:tabs>
        <w:spacing w:lineRule="exact" w:line="252"/>
        <w:ind w:left="851" w:hanging="361"/>
        <w:jc w:val="both"/>
        <w:rPr/>
      </w:pPr>
      <w:r>
        <w:rPr/>
        <w:t>krátkodobý finančný</w:t>
      </w:r>
      <w:r>
        <w:rPr>
          <w:spacing w:val="-3"/>
        </w:rPr>
        <w:t xml:space="preserve"> </w:t>
      </w:r>
      <w:r>
        <w:rPr/>
        <w:t>majetok,</w:t>
      </w:r>
    </w:p>
    <w:p>
      <w:pPr>
        <w:pStyle w:val="ListParagraph"/>
        <w:numPr>
          <w:ilvl w:val="2"/>
          <w:numId w:val="9"/>
        </w:numPr>
        <w:tabs>
          <w:tab w:val="clear" w:pos="720"/>
          <w:tab w:val="left" w:pos="9781" w:leader="none"/>
        </w:tabs>
        <w:spacing w:lineRule="exact" w:line="252" w:before="2" w:after="0"/>
        <w:ind w:left="851" w:hanging="361"/>
        <w:jc w:val="both"/>
        <w:rPr/>
      </w:pPr>
      <w:r>
        <w:rPr/>
        <w:t>časové rozlíšenie na strane aktív</w:t>
      </w:r>
      <w:r>
        <w:rPr>
          <w:spacing w:val="-1"/>
        </w:rPr>
        <w:t xml:space="preserve"> </w:t>
      </w:r>
      <w:r>
        <w:rPr/>
        <w:t>súvahy,</w:t>
      </w:r>
    </w:p>
    <w:p>
      <w:pPr>
        <w:pStyle w:val="ListParagraph"/>
        <w:numPr>
          <w:ilvl w:val="2"/>
          <w:numId w:val="9"/>
        </w:numPr>
        <w:tabs>
          <w:tab w:val="clear" w:pos="720"/>
          <w:tab w:val="left" w:pos="9781" w:leader="none"/>
        </w:tabs>
        <w:spacing w:lineRule="exact" w:line="252"/>
        <w:ind w:left="851" w:hanging="361"/>
        <w:jc w:val="both"/>
        <w:rPr/>
      </w:pPr>
      <w:r>
        <w:rPr/>
        <w:t>záväzky, vrátane rezerv, dlhopisov, pôžičiek a</w:t>
      </w:r>
      <w:r>
        <w:rPr>
          <w:spacing w:val="-5"/>
        </w:rPr>
        <w:t xml:space="preserve"> </w:t>
      </w:r>
      <w:r>
        <w:rPr/>
        <w:t>úverov,</w:t>
      </w:r>
    </w:p>
    <w:p>
      <w:pPr>
        <w:pStyle w:val="ListParagraph"/>
        <w:numPr>
          <w:ilvl w:val="2"/>
          <w:numId w:val="9"/>
        </w:numPr>
        <w:tabs>
          <w:tab w:val="clear" w:pos="720"/>
          <w:tab w:val="left" w:pos="9781" w:leader="none"/>
        </w:tabs>
        <w:spacing w:lineRule="exact" w:line="252"/>
        <w:ind w:left="851" w:hanging="361"/>
        <w:jc w:val="both"/>
        <w:rPr/>
      </w:pPr>
      <w:r>
        <w:rPr/>
        <w:t>časové rozlíšenie na strane pasív</w:t>
      </w:r>
      <w:r>
        <w:rPr>
          <w:spacing w:val="-1"/>
        </w:rPr>
        <w:t xml:space="preserve"> </w:t>
      </w:r>
      <w:r>
        <w:rPr/>
        <w:t>súvahy,</w:t>
      </w:r>
    </w:p>
    <w:p>
      <w:pPr>
        <w:pStyle w:val="ListParagraph"/>
        <w:numPr>
          <w:ilvl w:val="2"/>
          <w:numId w:val="9"/>
        </w:numPr>
        <w:tabs>
          <w:tab w:val="clear" w:pos="720"/>
          <w:tab w:val="left" w:pos="9781" w:leader="none"/>
        </w:tabs>
        <w:spacing w:lineRule="exact" w:line="252"/>
        <w:ind w:left="851" w:hanging="361"/>
        <w:jc w:val="both"/>
        <w:rPr/>
      </w:pPr>
      <w:r>
        <w:rPr/>
        <w:t>deriváty,</w:t>
      </w:r>
    </w:p>
    <w:p>
      <w:pPr>
        <w:pStyle w:val="ListParagraph"/>
        <w:numPr>
          <w:ilvl w:val="2"/>
          <w:numId w:val="9"/>
        </w:numPr>
        <w:tabs>
          <w:tab w:val="clear" w:pos="720"/>
          <w:tab w:val="left" w:pos="9781" w:leader="none"/>
        </w:tabs>
        <w:spacing w:lineRule="exact" w:line="252"/>
        <w:ind w:left="851" w:hanging="361"/>
        <w:jc w:val="both"/>
        <w:rPr/>
      </w:pPr>
      <w:r>
        <w:rPr/>
        <w:t>majetok a záväzky zabezpečené</w:t>
      </w:r>
      <w:r>
        <w:rPr>
          <w:spacing w:val="-3"/>
        </w:rPr>
        <w:t xml:space="preserve"> </w:t>
      </w:r>
      <w:r>
        <w:rPr/>
        <w:t>derivátmi,</w:t>
      </w:r>
    </w:p>
    <w:p>
      <w:pPr>
        <w:pStyle w:val="ListParagraph"/>
        <w:numPr>
          <w:ilvl w:val="2"/>
          <w:numId w:val="9"/>
        </w:numPr>
        <w:tabs>
          <w:tab w:val="clear" w:pos="720"/>
          <w:tab w:val="left" w:pos="9781" w:leader="none"/>
        </w:tabs>
        <w:spacing w:lineRule="exact" w:line="252"/>
        <w:ind w:left="851" w:hanging="361"/>
        <w:jc w:val="both"/>
        <w:rPr/>
      </w:pPr>
      <w:r>
        <w:rPr/>
        <w:t>prenajatý majetok a majetok obstaraný na základe zmluvy o kúpe prenajatej</w:t>
      </w:r>
      <w:r>
        <w:rPr>
          <w:spacing w:val="-24"/>
        </w:rPr>
        <w:t xml:space="preserve"> </w:t>
      </w:r>
      <w:r>
        <w:rPr/>
        <w:t>veci,</w:t>
      </w:r>
    </w:p>
    <w:p>
      <w:pPr>
        <w:pStyle w:val="ListParagraph"/>
        <w:numPr>
          <w:ilvl w:val="2"/>
          <w:numId w:val="9"/>
        </w:numPr>
        <w:tabs>
          <w:tab w:val="clear" w:pos="720"/>
          <w:tab w:val="left" w:pos="9781" w:leader="none"/>
        </w:tabs>
        <w:spacing w:lineRule="exact" w:line="252" w:before="3" w:after="0"/>
        <w:ind w:left="851" w:hanging="361"/>
        <w:jc w:val="both"/>
        <w:rPr/>
      </w:pPr>
      <w:r>
        <w:rPr/>
        <w:t>majetok obstaraný v</w:t>
      </w:r>
      <w:r>
        <w:rPr>
          <w:spacing w:val="-1"/>
        </w:rPr>
        <w:t xml:space="preserve"> </w:t>
      </w:r>
      <w:r>
        <w:rPr/>
        <w:t>privatizácii,</w:t>
      </w:r>
    </w:p>
    <w:p>
      <w:pPr>
        <w:pStyle w:val="ListParagraph"/>
        <w:numPr>
          <w:ilvl w:val="2"/>
          <w:numId w:val="9"/>
        </w:numPr>
        <w:tabs>
          <w:tab w:val="clear" w:pos="720"/>
          <w:tab w:val="left" w:pos="9781" w:leader="none"/>
        </w:tabs>
        <w:spacing w:lineRule="exact" w:line="252"/>
        <w:ind w:left="851" w:right="9" w:hanging="361"/>
        <w:jc w:val="both"/>
        <w:rPr/>
      </w:pPr>
      <w:r>
        <w:rPr/>
        <w:t>daň z príjmov splatnú za bežné účtovné obdobie a za zdaňovacie obdobie (ďalej</w:t>
      </w:r>
      <w:r>
        <w:rPr>
          <w:spacing w:val="22"/>
        </w:rPr>
        <w:t xml:space="preserve"> </w:t>
      </w:r>
      <w:r>
        <w:rPr/>
        <w:t>len „splatná daň z príjmov“) a daň z príjmov odloženú do budúcich účtovných období a zdaňovacích období (ďalej len „odložená daň z</w:t>
      </w:r>
      <w:r>
        <w:rPr>
          <w:spacing w:val="-6"/>
        </w:rPr>
        <w:t xml:space="preserve"> </w:t>
      </w:r>
      <w:r>
        <w:rPr/>
        <w:t>príjmov“),</w:t>
      </w:r>
    </w:p>
    <w:p>
      <w:pPr>
        <w:pStyle w:val="ListParagraph"/>
        <w:numPr>
          <w:ilvl w:val="1"/>
          <w:numId w:val="9"/>
        </w:numPr>
        <w:tabs>
          <w:tab w:val="clear" w:pos="720"/>
          <w:tab w:val="left" w:pos="9781" w:leader="none"/>
        </w:tabs>
        <w:spacing w:before="1" w:after="0"/>
        <w:ind w:left="426" w:hanging="284"/>
        <w:jc w:val="both"/>
        <w:rPr/>
      </w:pPr>
      <w:r>
        <w:rPr/>
        <w:t>tvorbe odpisového plánu pre dlhodobý majetok, pričom sa uvádza doba odpisovania, sadzby odpisov a odpisové metódy pre účtovné odpisy,</w:t>
      </w:r>
    </w:p>
    <w:p>
      <w:pPr>
        <w:pStyle w:val="ListParagraph"/>
        <w:numPr>
          <w:ilvl w:val="1"/>
          <w:numId w:val="9"/>
        </w:numPr>
        <w:tabs>
          <w:tab w:val="clear" w:pos="720"/>
          <w:tab w:val="left" w:pos="9781" w:leader="none"/>
        </w:tabs>
        <w:spacing w:before="1" w:after="0"/>
        <w:ind w:left="426" w:hanging="284"/>
        <w:jc w:val="both"/>
        <w:rPr/>
      </w:pPr>
      <w:r>
        <w:rPr/>
        <w:t>dotáciách poskytnutých na obstaranie majetku s uvedením zložky majetku a ich ocenenia,</w:t>
      </w:r>
    </w:p>
    <w:p>
      <w:pPr>
        <w:pStyle w:val="ListParagraph"/>
        <w:numPr>
          <w:ilvl w:val="1"/>
          <w:numId w:val="9"/>
        </w:numPr>
        <w:tabs>
          <w:tab w:val="clear" w:pos="720"/>
          <w:tab w:val="left" w:pos="9781" w:leader="none"/>
        </w:tabs>
        <w:spacing w:before="1" w:after="0"/>
        <w:ind w:left="426" w:hanging="284"/>
        <w:jc w:val="both"/>
        <w:rPr/>
      </w:pPr>
      <w:r>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pPr>
        <w:pStyle w:val="Telotextu"/>
        <w:tabs>
          <w:tab w:val="clear" w:pos="720"/>
          <w:tab w:val="left" w:pos="9781" w:leader="none"/>
        </w:tabs>
        <w:jc w:val="both"/>
        <w:rPr/>
      </w:pPr>
      <w:r>
        <w:rPr/>
      </w:r>
    </w:p>
    <w:p>
      <w:pPr>
        <w:pStyle w:val="Nadpis1"/>
        <w:numPr>
          <w:ilvl w:val="0"/>
          <w:numId w:val="9"/>
        </w:numPr>
        <w:tabs>
          <w:tab w:val="clear" w:pos="720"/>
          <w:tab w:val="left" w:pos="9781" w:leader="none"/>
        </w:tabs>
        <w:ind w:left="284" w:hanging="288"/>
        <w:jc w:val="both"/>
        <w:rPr>
          <w:sz w:val="24"/>
        </w:rPr>
      </w:pPr>
      <w:r>
        <w:rPr>
          <w:sz w:val="24"/>
        </w:rPr>
        <w:t>V časti o údajoch vykázaných na  strane aktív súvahy sa uvádzajú informácie o</w:t>
      </w:r>
    </w:p>
    <w:p>
      <w:pPr>
        <w:pStyle w:val="Telotextu"/>
        <w:tabs>
          <w:tab w:val="clear" w:pos="720"/>
          <w:tab w:val="left" w:pos="9781" w:leader="none"/>
        </w:tabs>
        <w:spacing w:before="11" w:after="0"/>
        <w:jc w:val="both"/>
        <w:rPr>
          <w:b/>
          <w:b/>
          <w:sz w:val="21"/>
        </w:rPr>
      </w:pPr>
      <w:r>
        <w:rPr>
          <w:b/>
          <w:sz w:val="21"/>
        </w:rPr>
      </w:r>
    </w:p>
    <w:p>
      <w:pPr>
        <w:pStyle w:val="ListParagraph"/>
        <w:numPr>
          <w:ilvl w:val="1"/>
          <w:numId w:val="9"/>
        </w:numPr>
        <w:tabs>
          <w:tab w:val="clear" w:pos="720"/>
          <w:tab w:val="left" w:pos="9781" w:leader="none"/>
        </w:tabs>
        <w:ind w:left="426" w:hanging="284"/>
        <w:jc w:val="both"/>
        <w:rPr/>
      </w:pPr>
      <w:r>
        <w:rPr/>
        <w:t>dlhodobom nehmotnom majetku a dlhodobom hmotnom majetku za bežné účtovné obdobie, a</w:t>
      </w:r>
      <w:r>
        <w:rPr>
          <w:spacing w:val="-21"/>
        </w:rPr>
        <w:t xml:space="preserve"> </w:t>
      </w:r>
      <w:r>
        <w:rPr/>
        <w:t>to</w:t>
      </w:r>
    </w:p>
    <w:p>
      <w:pPr>
        <w:pStyle w:val="ListParagraph"/>
        <w:numPr>
          <w:ilvl w:val="2"/>
          <w:numId w:val="9"/>
        </w:numPr>
        <w:tabs>
          <w:tab w:val="clear" w:pos="720"/>
          <w:tab w:val="left" w:pos="9781" w:leader="none"/>
        </w:tabs>
        <w:spacing w:before="2" w:after="0"/>
        <w:ind w:left="851" w:right="571" w:hanging="358"/>
        <w:jc w:val="both"/>
        <w:rPr/>
      </w:pPr>
      <w:r>
        <w:rPr/>
        <w:t>prehľad o pohybe dlhodobého majetku podľa zložiek tohto majetku v členení podľa jednotlivých položiek súvahy; uvádza sa ocenenie tohto majetku na začiatku</w:t>
      </w:r>
      <w:r>
        <w:rPr>
          <w:spacing w:val="12"/>
        </w:rPr>
        <w:t xml:space="preserve"> </w:t>
      </w:r>
      <w:r>
        <w:rPr/>
        <w:t>bežného</w:t>
      </w:r>
    </w:p>
    <w:p>
      <w:pPr>
        <w:pStyle w:val="Telotextu"/>
        <w:tabs>
          <w:tab w:val="clear" w:pos="720"/>
          <w:tab w:val="left" w:pos="9781" w:leader="none"/>
        </w:tabs>
        <w:spacing w:before="76" w:after="0"/>
        <w:ind w:left="851" w:right="571" w:hanging="0"/>
        <w:jc w:val="both"/>
        <w:rPr/>
      </w:pPr>
      <w:r>
        <w:rPr/>
        <w:t>účtovného obdobia, prírastky, úbytky a presuny tohto majetku a stav na konci bežného účtovného</w:t>
      </w:r>
      <w:r>
        <w:rPr>
          <w:spacing w:val="-1"/>
        </w:rPr>
        <w:t xml:space="preserve"> </w:t>
      </w:r>
      <w:r>
        <w:rPr/>
        <w:t>obdobia,</w:t>
      </w:r>
    </w:p>
    <w:p>
      <w:pPr>
        <w:pStyle w:val="ListParagraph"/>
        <w:numPr>
          <w:ilvl w:val="2"/>
          <w:numId w:val="9"/>
        </w:numPr>
        <w:tabs>
          <w:tab w:val="clear" w:pos="720"/>
          <w:tab w:val="left" w:pos="9781" w:leader="none"/>
        </w:tabs>
        <w:ind w:left="851" w:right="572" w:hanging="358"/>
        <w:jc w:val="both"/>
        <w:rPr/>
      </w:pPr>
      <w:r>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rPr/>
        <w:t>obdobia,</w:t>
      </w:r>
    </w:p>
    <w:p>
      <w:pPr>
        <w:pStyle w:val="ListParagraph"/>
        <w:numPr>
          <w:ilvl w:val="2"/>
          <w:numId w:val="9"/>
        </w:numPr>
        <w:tabs>
          <w:tab w:val="clear" w:pos="720"/>
          <w:tab w:val="left" w:pos="9781" w:leader="none"/>
        </w:tabs>
        <w:ind w:left="851" w:right="576" w:hanging="358"/>
        <w:jc w:val="both"/>
        <w:rPr/>
      </w:pPr>
      <w:r>
        <w:rPr/>
        <w:t>prehľad o zostatkových hodnotách dlhodobého majetku na začiatku účtovného obdobia a na konci účtovného</w:t>
      </w:r>
      <w:r>
        <w:rPr>
          <w:spacing w:val="-5"/>
        </w:rPr>
        <w:t xml:space="preserve"> </w:t>
      </w:r>
      <w:r>
        <w:rPr/>
        <w:t>obdobia,</w:t>
      </w:r>
    </w:p>
    <w:p>
      <w:pPr>
        <w:pStyle w:val="ListParagraph"/>
        <w:numPr>
          <w:ilvl w:val="1"/>
          <w:numId w:val="9"/>
        </w:numPr>
        <w:tabs>
          <w:tab w:val="clear" w:pos="720"/>
          <w:tab w:val="left" w:pos="9781" w:leader="none"/>
        </w:tabs>
        <w:ind w:left="426" w:hanging="284"/>
        <w:jc w:val="both"/>
        <w:rPr/>
      </w:pPr>
      <w:r>
        <w:rPr/>
        <w:t>spôsobe a výške poistenia dlhodobého nehmotného majetku a dlhodobého hmotného majetku,</w:t>
      </w:r>
    </w:p>
    <w:p>
      <w:pPr>
        <w:pStyle w:val="ListParagraph"/>
        <w:numPr>
          <w:ilvl w:val="1"/>
          <w:numId w:val="9"/>
        </w:numPr>
        <w:tabs>
          <w:tab w:val="clear" w:pos="720"/>
          <w:tab w:val="left" w:pos="9781" w:leader="none"/>
        </w:tabs>
        <w:ind w:left="426" w:hanging="284"/>
        <w:jc w:val="both"/>
        <w:rPr/>
      </w:pPr>
      <w:r>
        <w:rPr/>
        <w:t>dlhodobom nehmotnom majetku a dlhodobom hmotnom majetku, na ktorý je zriadené záložné právo a o dlhodobom majetku, pri ktorom má účtovná jednotka obmedzené právo s ním nakladať,</w:t>
      </w:r>
    </w:p>
    <w:p>
      <w:pPr>
        <w:pStyle w:val="ListParagraph"/>
        <w:numPr>
          <w:ilvl w:val="1"/>
          <w:numId w:val="9"/>
        </w:numPr>
        <w:tabs>
          <w:tab w:val="clear" w:pos="720"/>
          <w:tab w:val="left" w:pos="9781" w:leader="none"/>
        </w:tabs>
        <w:ind w:left="426" w:hanging="284"/>
        <w:jc w:val="both"/>
        <w:rPr/>
      </w:pPr>
      <w:r>
        <w:rPr/>
        <w:t>dlhodobom majetku, pri ktorom vlastnícke právo nadobudol veriteľ zmluvou o zabezpečovacom prevode práva, ale ktorý užíva účtovná jednotka na základe zmluvy o výpožičke,</w:t>
      </w:r>
    </w:p>
    <w:p>
      <w:pPr>
        <w:pStyle w:val="ListParagraph"/>
        <w:numPr>
          <w:ilvl w:val="1"/>
          <w:numId w:val="9"/>
        </w:numPr>
        <w:tabs>
          <w:tab w:val="clear" w:pos="720"/>
          <w:tab w:val="left" w:pos="9781" w:leader="none"/>
        </w:tabs>
        <w:ind w:left="426" w:hanging="284"/>
        <w:jc w:val="both"/>
        <w:rPr/>
      </w:pPr>
      <w:r>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pPr>
        <w:pStyle w:val="ListParagraph"/>
        <w:numPr>
          <w:ilvl w:val="1"/>
          <w:numId w:val="9"/>
        </w:numPr>
        <w:tabs>
          <w:tab w:val="clear" w:pos="720"/>
          <w:tab w:val="left" w:pos="9781" w:leader="none"/>
        </w:tabs>
        <w:ind w:left="426" w:hanging="284"/>
        <w:jc w:val="both"/>
        <w:rPr/>
      </w:pPr>
      <w:r>
        <w:rPr/>
        <w:t>majetku, ktorým je goodwill a o spôsobe výpočtu jeho hodnoty,</w:t>
      </w:r>
    </w:p>
    <w:p>
      <w:pPr>
        <w:pStyle w:val="ListParagraph"/>
        <w:numPr>
          <w:ilvl w:val="1"/>
          <w:numId w:val="9"/>
        </w:numPr>
        <w:tabs>
          <w:tab w:val="clear" w:pos="720"/>
          <w:tab w:val="left" w:pos="9781" w:leader="none"/>
        </w:tabs>
        <w:ind w:left="426" w:hanging="284"/>
        <w:jc w:val="both"/>
        <w:rPr/>
      </w:pPr>
      <w:r>
        <w:rPr/>
        <w:t>údajoch, ktoré sa účtujú na účte 097 – Opravná položka k nadobudnutému majetku,</w:t>
      </w:r>
    </w:p>
    <w:p>
      <w:pPr>
        <w:pStyle w:val="ListParagraph"/>
        <w:numPr>
          <w:ilvl w:val="1"/>
          <w:numId w:val="9"/>
        </w:numPr>
        <w:tabs>
          <w:tab w:val="clear" w:pos="720"/>
          <w:tab w:val="left" w:pos="9781" w:leader="none"/>
        </w:tabs>
        <w:ind w:left="426" w:hanging="284"/>
        <w:jc w:val="both"/>
        <w:rPr/>
      </w:pPr>
      <w:r>
        <w:rPr/>
        <w:t>výskumnej a vývojovej činnosti účtovnej jednotky za bežné účtovné obdobie a to v členení na</w:t>
      </w:r>
    </w:p>
    <w:p>
      <w:pPr>
        <w:pStyle w:val="ListParagraph"/>
        <w:numPr>
          <w:ilvl w:val="2"/>
          <w:numId w:val="9"/>
        </w:numPr>
        <w:tabs>
          <w:tab w:val="clear" w:pos="720"/>
          <w:tab w:val="left" w:pos="9781" w:leader="none"/>
        </w:tabs>
        <w:spacing w:lineRule="exact" w:line="252"/>
        <w:ind w:left="851" w:hanging="359"/>
        <w:jc w:val="both"/>
        <w:rPr/>
      </w:pPr>
      <w:r>
        <w:rPr/>
        <w:t>náklady na výskum vynaložené v bežnom účtovnom</w:t>
      </w:r>
      <w:r>
        <w:rPr>
          <w:spacing w:val="-6"/>
        </w:rPr>
        <w:t xml:space="preserve"> </w:t>
      </w:r>
      <w:r>
        <w:rPr/>
        <w:t>období,</w:t>
      </w:r>
    </w:p>
    <w:p>
      <w:pPr>
        <w:pStyle w:val="ListParagraph"/>
        <w:numPr>
          <w:ilvl w:val="2"/>
          <w:numId w:val="9"/>
        </w:numPr>
        <w:tabs>
          <w:tab w:val="clear" w:pos="720"/>
          <w:tab w:val="left" w:pos="9781" w:leader="none"/>
        </w:tabs>
        <w:spacing w:lineRule="exact" w:line="252" w:before="2" w:after="0"/>
        <w:ind w:left="851" w:hanging="359"/>
        <w:jc w:val="both"/>
        <w:rPr/>
      </w:pPr>
      <w:r>
        <w:rPr/>
        <w:t>neaktivované náklady na vývoj vynaložené v bežnom účtovnom</w:t>
      </w:r>
      <w:r>
        <w:rPr>
          <w:spacing w:val="-8"/>
        </w:rPr>
        <w:t xml:space="preserve"> </w:t>
      </w:r>
      <w:r>
        <w:rPr/>
        <w:t>období,</w:t>
      </w:r>
    </w:p>
    <w:p>
      <w:pPr>
        <w:pStyle w:val="ListParagraph"/>
        <w:numPr>
          <w:ilvl w:val="2"/>
          <w:numId w:val="9"/>
        </w:numPr>
        <w:tabs>
          <w:tab w:val="clear" w:pos="720"/>
          <w:tab w:val="left" w:pos="9781" w:leader="none"/>
        </w:tabs>
        <w:spacing w:lineRule="exact" w:line="252"/>
        <w:ind w:left="851" w:hanging="359"/>
        <w:jc w:val="both"/>
        <w:rPr/>
      </w:pPr>
      <w:r>
        <w:rPr/>
        <w:t>aktivované náklady na vývoj vynaložené v bežnom účtovnom</w:t>
      </w:r>
      <w:r>
        <w:rPr>
          <w:spacing w:val="-6"/>
        </w:rPr>
        <w:t xml:space="preserve"> </w:t>
      </w:r>
      <w:r>
        <w:rPr/>
        <w:t>období,</w:t>
      </w:r>
    </w:p>
    <w:p>
      <w:pPr>
        <w:pStyle w:val="ListParagraph"/>
        <w:numPr>
          <w:ilvl w:val="1"/>
          <w:numId w:val="9"/>
        </w:numPr>
        <w:tabs>
          <w:tab w:val="clear" w:pos="720"/>
          <w:tab w:val="left" w:pos="9781" w:leader="none"/>
        </w:tabs>
        <w:ind w:left="426" w:hanging="284"/>
        <w:jc w:val="both"/>
        <w:rPr/>
      </w:pPr>
      <w:r>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pPr>
        <w:pStyle w:val="ListParagraph"/>
        <w:numPr>
          <w:ilvl w:val="1"/>
          <w:numId w:val="9"/>
        </w:numPr>
        <w:tabs>
          <w:tab w:val="clear" w:pos="720"/>
          <w:tab w:val="left" w:pos="9781" w:leader="none"/>
        </w:tabs>
        <w:ind w:left="426" w:hanging="284"/>
        <w:jc w:val="both"/>
        <w:rPr/>
      </w:pPr>
      <w:r>
        <w:rPr/>
        <w:t>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pPr>
        <w:pStyle w:val="ListParagraph"/>
        <w:numPr>
          <w:ilvl w:val="1"/>
          <w:numId w:val="9"/>
        </w:numPr>
        <w:tabs>
          <w:tab w:val="clear" w:pos="720"/>
          <w:tab w:val="left" w:pos="9781" w:leader="none"/>
        </w:tabs>
        <w:ind w:left="426" w:hanging="284"/>
        <w:jc w:val="both"/>
        <w:rPr/>
      </w:pPr>
      <w:r>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pPr>
        <w:pStyle w:val="ListParagraph"/>
        <w:numPr>
          <w:ilvl w:val="1"/>
          <w:numId w:val="9"/>
        </w:numPr>
        <w:tabs>
          <w:tab w:val="clear" w:pos="720"/>
          <w:tab w:val="left" w:pos="9781" w:leader="none"/>
        </w:tabs>
        <w:ind w:left="426" w:hanging="284"/>
        <w:jc w:val="both"/>
        <w:rPr/>
      </w:pPr>
      <w:r>
        <w:rPr/>
        <w:t>zmenách v jednotlivých zložkách dlhodobého finančného majetku,</w:t>
      </w:r>
    </w:p>
    <w:p>
      <w:pPr>
        <w:pStyle w:val="ListParagraph"/>
        <w:numPr>
          <w:ilvl w:val="1"/>
          <w:numId w:val="9"/>
        </w:numPr>
        <w:tabs>
          <w:tab w:val="clear" w:pos="720"/>
          <w:tab w:val="left" w:pos="9781" w:leader="none"/>
        </w:tabs>
        <w:ind w:left="426" w:hanging="284"/>
        <w:jc w:val="both"/>
        <w:rPr/>
      </w:pPr>
      <w:r>
        <w:rPr/>
        <w:t>dlhodobom finančnom majetku, na ktorý je zriadené záložné právo a o dlhodobom majetku, pri ktorom má účtovná jednotka obmedzené právo s ním nakladať,</w:t>
      </w:r>
    </w:p>
    <w:p>
      <w:pPr>
        <w:pStyle w:val="ListParagraph"/>
        <w:numPr>
          <w:ilvl w:val="1"/>
          <w:numId w:val="9"/>
        </w:numPr>
        <w:tabs>
          <w:tab w:val="clear" w:pos="720"/>
          <w:tab w:val="left" w:pos="9781" w:leader="none"/>
        </w:tabs>
        <w:ind w:left="426" w:hanging="284"/>
        <w:jc w:val="both"/>
        <w:rPr/>
      </w:pPr>
      <w:r>
        <w:rPr/>
        <w:t>ocenení dlhodobého finančného majetku ku dňu, ku ktorému sa zostavuje účtovná závierka reálnou hodnotou alebo metódou vlastného imania, pričom sa uvádza vplyv takéhoto ocenenia na výsledok hospodárenia a na výšku vlastného imania,</w:t>
      </w:r>
    </w:p>
    <w:p>
      <w:pPr>
        <w:pStyle w:val="ListParagraph"/>
        <w:numPr>
          <w:ilvl w:val="1"/>
          <w:numId w:val="9"/>
        </w:numPr>
        <w:tabs>
          <w:tab w:val="clear" w:pos="720"/>
          <w:tab w:val="left" w:pos="9781" w:leader="none"/>
        </w:tabs>
        <w:ind w:left="426" w:hanging="284"/>
        <w:jc w:val="both"/>
        <w:rPr/>
      </w:pPr>
      <w:r>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p>
    <w:p>
      <w:pPr>
        <w:pStyle w:val="ListParagraph"/>
        <w:numPr>
          <w:ilvl w:val="1"/>
          <w:numId w:val="9"/>
        </w:numPr>
        <w:tabs>
          <w:tab w:val="clear" w:pos="720"/>
          <w:tab w:val="left" w:pos="9781" w:leader="none"/>
        </w:tabs>
        <w:ind w:left="426" w:hanging="284"/>
        <w:jc w:val="both"/>
        <w:rPr/>
      </w:pPr>
      <w:r>
        <w:rPr/>
        <w:t>zásobách, na ktoré je zriadené záložné právo a zásobách, pri ktorých má účtovná jednotka obmedzené právo s nimi nakladať,</w:t>
      </w:r>
    </w:p>
    <w:p>
      <w:pPr>
        <w:pStyle w:val="ListParagraph"/>
        <w:numPr>
          <w:ilvl w:val="1"/>
          <w:numId w:val="9"/>
        </w:numPr>
        <w:tabs>
          <w:tab w:val="clear" w:pos="720"/>
          <w:tab w:val="left" w:pos="9781" w:leader="none"/>
        </w:tabs>
        <w:ind w:left="426" w:hanging="284"/>
        <w:jc w:val="both"/>
        <w:rPr/>
      </w:pPr>
      <w:r>
        <w:rPr/>
        <w:t>zákazkovej výrobe a zákazkovej výstavbe nehnuteľnosti určenej na predaj, a to v členení na</w:t>
      </w:r>
    </w:p>
    <w:p>
      <w:pPr>
        <w:pStyle w:val="ListParagraph"/>
        <w:numPr>
          <w:ilvl w:val="2"/>
          <w:numId w:val="9"/>
        </w:numPr>
        <w:tabs>
          <w:tab w:val="clear" w:pos="720"/>
          <w:tab w:val="left" w:pos="851" w:leader="none"/>
          <w:tab w:val="left" w:pos="9781" w:leader="none"/>
        </w:tabs>
        <w:spacing w:lineRule="exact" w:line="252"/>
        <w:ind w:left="851" w:hanging="359"/>
        <w:jc w:val="both"/>
        <w:rPr/>
      </w:pPr>
      <w:r>
        <w:rPr/>
        <w:t>všeobecné údaje, pričom sa</w:t>
      </w:r>
      <w:r>
        <w:rPr>
          <w:spacing w:val="-6"/>
        </w:rPr>
        <w:t xml:space="preserve"> </w:t>
      </w:r>
      <w:r>
        <w:rPr/>
        <w:t>uvádza</w:t>
      </w:r>
    </w:p>
    <w:p>
      <w:pPr>
        <w:pStyle w:val="Telotextu"/>
        <w:tabs>
          <w:tab w:val="clear" w:pos="720"/>
          <w:tab w:val="left" w:pos="9781" w:leader="none"/>
        </w:tabs>
        <w:spacing w:before="2" w:after="0"/>
        <w:ind w:left="1134" w:right="572" w:hanging="312"/>
        <w:jc w:val="both"/>
        <w:rPr/>
      </w:pPr>
      <w:r>
        <w:rPr/>
        <w:t>1a. hodnota tej časti celkových výnosov zo zákazkovej výroby a zákazkovej výstavby nehnuteľnosti určenej na predaj, ktorá bola v bežnom účtovnom období vykázaná vo výnosoch,</w:t>
      </w:r>
    </w:p>
    <w:p>
      <w:pPr>
        <w:pStyle w:val="Telotextu"/>
        <w:tabs>
          <w:tab w:val="clear" w:pos="720"/>
          <w:tab w:val="left" w:pos="9781" w:leader="none"/>
        </w:tabs>
        <w:ind w:left="1134" w:right="571" w:hanging="312"/>
        <w:jc w:val="both"/>
        <w:rPr/>
      </w:pPr>
      <w:r>
        <w:rPr/>
        <w:t>1b. metóda určenia výnosov zo zákazkovej výroby a zákazkovej výstavby nehnuteľnosti určenej na predaj vykázaných v bežnom účtovnom období,</w:t>
      </w:r>
    </w:p>
    <w:p>
      <w:pPr>
        <w:pStyle w:val="Telotextu"/>
        <w:tabs>
          <w:tab w:val="clear" w:pos="720"/>
          <w:tab w:val="left" w:pos="9781" w:leader="none"/>
        </w:tabs>
        <w:ind w:left="1134" w:right="572" w:hanging="312"/>
        <w:jc w:val="both"/>
        <w:rPr/>
      </w:pPr>
      <w:r>
        <w:rPr/>
        <w:t>1c. metóda určenia stupňa dokončenia zákazkovej výroby a zákazkovej výstavby nehnuteľnosti určenej na predaj,</w:t>
      </w:r>
    </w:p>
    <w:p>
      <w:pPr>
        <w:pStyle w:val="Telotextu"/>
        <w:tabs>
          <w:tab w:val="clear" w:pos="720"/>
          <w:tab w:val="left" w:pos="9781" w:leader="none"/>
        </w:tabs>
        <w:ind w:left="1134" w:right="574" w:hanging="312"/>
        <w:jc w:val="both"/>
        <w:rPr/>
      </w:pPr>
      <w:r>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w:t>
      </w:r>
      <w:r>
        <w:rPr>
          <w:spacing w:val="-13"/>
        </w:rPr>
        <w:t xml:space="preserve"> </w:t>
      </w:r>
      <w:r>
        <w:rPr/>
        <w:t>indikátorov:</w:t>
      </w:r>
    </w:p>
    <w:p>
      <w:pPr>
        <w:pStyle w:val="Telotextu"/>
        <w:tabs>
          <w:tab w:val="clear" w:pos="720"/>
          <w:tab w:val="left" w:pos="9781" w:leader="none"/>
        </w:tabs>
        <w:ind w:left="1560" w:right="851" w:hanging="426"/>
        <w:jc w:val="both"/>
        <w:rPr/>
      </w:pPr>
      <w:r>
        <w:rPr/>
        <w:t>1da. výstavba nehnuteľnosti určenej na predaj sa uskutočňuje na pozemku vo vlastníctve objednávateľa,</w:t>
      </w:r>
    </w:p>
    <w:p>
      <w:pPr>
        <w:pStyle w:val="Telotextu"/>
        <w:tabs>
          <w:tab w:val="clear" w:pos="720"/>
          <w:tab w:val="left" w:pos="9781" w:leader="none"/>
        </w:tabs>
        <w:ind w:left="1560" w:hanging="426"/>
        <w:jc w:val="both"/>
        <w:rPr/>
      </w:pPr>
      <w:r>
        <w:rPr/>
        <w:t>1db. objednávateľovi nevzniká nárok na odstúpenie od zmluvy s právom vrátenia peňažných prostriedkov,</w:t>
      </w:r>
    </w:p>
    <w:p>
      <w:pPr>
        <w:pStyle w:val="Telotextu"/>
        <w:tabs>
          <w:tab w:val="clear" w:pos="720"/>
          <w:tab w:val="left" w:pos="9781" w:leader="none"/>
        </w:tabs>
        <w:ind w:left="1560" w:hanging="426"/>
        <w:jc w:val="both"/>
        <w:rPr/>
      </w:pPr>
      <w:r>
        <w:rPr/>
        <w:t>1dc. pri nedokončení dohodnutej výstavby zhotoviteľom nehnuteľnosť zostáva objednávateľovi,</w:t>
      </w:r>
    </w:p>
    <w:p>
      <w:pPr>
        <w:pStyle w:val="Telotextu"/>
        <w:tabs>
          <w:tab w:val="clear" w:pos="720"/>
          <w:tab w:val="left" w:pos="9781" w:leader="none"/>
        </w:tabs>
        <w:ind w:left="1560" w:right="621" w:hanging="426"/>
        <w:jc w:val="both"/>
        <w:rPr/>
      </w:pPr>
      <w:r>
        <w:rPr/>
        <w:t>1dd. zmluva oprávňuje objednávateľa  zmeniť zhotoviteľa  s prípadnou  sankciou a nájsť si iného zhotoviteľa na dokončenie</w:t>
      </w:r>
      <w:r>
        <w:rPr>
          <w:spacing w:val="-13"/>
        </w:rPr>
        <w:t xml:space="preserve"> </w:t>
      </w:r>
      <w:r>
        <w:rPr/>
        <w:t>nehnuteľnosti,</w:t>
      </w:r>
    </w:p>
    <w:p>
      <w:pPr>
        <w:pStyle w:val="Telotextu"/>
        <w:tabs>
          <w:tab w:val="clear" w:pos="720"/>
          <w:tab w:val="left" w:pos="9781" w:leader="none"/>
        </w:tabs>
        <w:ind w:left="2265" w:right="572" w:hanging="312"/>
        <w:jc w:val="both"/>
        <w:rPr/>
      </w:pPr>
      <w:r>
        <w:rPr/>
      </w:r>
    </w:p>
    <w:p>
      <w:pPr>
        <w:pStyle w:val="ListParagraph"/>
        <w:numPr>
          <w:ilvl w:val="2"/>
          <w:numId w:val="9"/>
        </w:numPr>
        <w:tabs>
          <w:tab w:val="clear" w:pos="720"/>
          <w:tab w:val="left" w:pos="851" w:leader="none"/>
          <w:tab w:val="left" w:pos="9781" w:leader="none"/>
        </w:tabs>
        <w:ind w:left="851" w:right="574" w:hanging="358"/>
        <w:jc w:val="both"/>
        <w:rPr/>
      </w:pPr>
      <w:r>
        <w:rPr/>
        <w:t>údaje o zákazkovej výrobe a zákazkovej výstavbe nehnuteľnosti určenej na predaj, ktoré ku dňu, ku ktorému sa zostavuje účtovná závierka, neboli ukončené, pričom sa</w:t>
      </w:r>
      <w:r>
        <w:rPr>
          <w:spacing w:val="-30"/>
        </w:rPr>
        <w:t xml:space="preserve"> </w:t>
      </w:r>
      <w:r>
        <w:rPr/>
        <w:t>uvádza</w:t>
      </w:r>
    </w:p>
    <w:p>
      <w:pPr>
        <w:pStyle w:val="Telotextu"/>
        <w:tabs>
          <w:tab w:val="clear" w:pos="720"/>
          <w:tab w:val="left" w:pos="9781" w:leader="none"/>
        </w:tabs>
        <w:ind w:left="1134" w:right="851" w:hanging="312"/>
        <w:jc w:val="both"/>
        <w:rPr/>
      </w:pPr>
      <w:r>
        <w:rPr/>
        <w:t>2a. celková suma vynaložených nákladov a vykázaných ziskov znížená  o  vykázané  straty ku dňu, ktorému sa zostavuje účtovná</w:t>
      </w:r>
      <w:r>
        <w:rPr>
          <w:spacing w:val="-12"/>
        </w:rPr>
        <w:t xml:space="preserve"> </w:t>
      </w:r>
      <w:r>
        <w:rPr/>
        <w:t>závierka,</w:t>
      </w:r>
    </w:p>
    <w:p>
      <w:pPr>
        <w:pStyle w:val="Telotextu"/>
        <w:tabs>
          <w:tab w:val="clear" w:pos="720"/>
          <w:tab w:val="left" w:pos="9781" w:leader="none"/>
        </w:tabs>
        <w:ind w:left="1134" w:right="5319" w:hanging="312"/>
        <w:jc w:val="both"/>
        <w:rPr/>
      </w:pPr>
      <w:r>
        <w:rPr/>
        <w:t>2b. suma prijatých preddavkov, 2c. suma zadržanej platby,</w:t>
      </w:r>
    </w:p>
    <w:p>
      <w:pPr>
        <w:pStyle w:val="Telotextu"/>
        <w:tabs>
          <w:tab w:val="clear" w:pos="720"/>
          <w:tab w:val="left" w:pos="9781" w:leader="none"/>
        </w:tabs>
        <w:ind w:left="2265" w:right="572" w:hanging="312"/>
        <w:jc w:val="both"/>
        <w:rPr/>
      </w:pPr>
      <w:r>
        <w:rPr/>
      </w:r>
    </w:p>
    <w:p>
      <w:pPr>
        <w:pStyle w:val="ListParagraph"/>
        <w:numPr>
          <w:ilvl w:val="1"/>
          <w:numId w:val="9"/>
        </w:numPr>
        <w:tabs>
          <w:tab w:val="clear" w:pos="720"/>
          <w:tab w:val="left" w:pos="9781" w:leader="none"/>
        </w:tabs>
        <w:ind w:left="426" w:hanging="284"/>
        <w:jc w:val="both"/>
        <w:rPr/>
      </w:pPr>
      <w:r>
        <w:rPr/>
        <w:t>tvorbe, zúčtovaní opravných položiek k pohľadávkam v členení podľa jednotlivých položiek súvahy za bežné účtovné obdobie, pričom sa uvádza dôvod ich tvorby, zúčtovania,</w:t>
      </w:r>
    </w:p>
    <w:p>
      <w:pPr>
        <w:pStyle w:val="ListParagraph"/>
        <w:numPr>
          <w:ilvl w:val="1"/>
          <w:numId w:val="9"/>
        </w:numPr>
        <w:tabs>
          <w:tab w:val="clear" w:pos="720"/>
          <w:tab w:val="left" w:pos="9781" w:leader="none"/>
        </w:tabs>
        <w:ind w:left="426" w:hanging="284"/>
        <w:jc w:val="both"/>
        <w:rPr/>
      </w:pPr>
      <w:r>
        <w:rPr/>
        <w:t>hodnote pohľadávok do lehoty splatnosti a po lehote splatnosti,</w:t>
      </w:r>
    </w:p>
    <w:p>
      <w:pPr>
        <w:pStyle w:val="ListParagraph"/>
        <w:numPr>
          <w:ilvl w:val="1"/>
          <w:numId w:val="9"/>
        </w:numPr>
        <w:tabs>
          <w:tab w:val="clear" w:pos="720"/>
          <w:tab w:val="left" w:pos="9781" w:leader="none"/>
        </w:tabs>
        <w:ind w:left="426" w:hanging="284"/>
        <w:jc w:val="both"/>
        <w:rPr/>
      </w:pPr>
      <w:r>
        <w:rPr/>
        <w:t>hodnote pohľadávok zabezpečených záložným právom alebo inou formou zabezpečenia s uvedením formy zabezpečenia,</w:t>
      </w:r>
    </w:p>
    <w:p>
      <w:pPr>
        <w:pStyle w:val="ListParagraph"/>
        <w:numPr>
          <w:ilvl w:val="1"/>
          <w:numId w:val="9"/>
        </w:numPr>
        <w:tabs>
          <w:tab w:val="clear" w:pos="720"/>
          <w:tab w:val="left" w:pos="9781" w:leader="none"/>
        </w:tabs>
        <w:ind w:left="426" w:hanging="284"/>
        <w:jc w:val="both"/>
        <w:rPr/>
      </w:pPr>
      <w:r>
        <w:rPr/>
        <w:t>hodnote pohľadávok, na ktoré sa zriadilo záložné právo a pohľadávok, pri ktorých má účtovná jednotka obmedzené právo s nimi nakladať,</w:t>
      </w:r>
    </w:p>
    <w:p>
      <w:pPr>
        <w:pStyle w:val="ListParagraph"/>
        <w:numPr>
          <w:ilvl w:val="1"/>
          <w:numId w:val="9"/>
        </w:numPr>
        <w:tabs>
          <w:tab w:val="clear" w:pos="720"/>
          <w:tab w:val="left" w:pos="9781" w:leader="none"/>
        </w:tabs>
        <w:ind w:left="426" w:hanging="284"/>
        <w:jc w:val="both"/>
        <w:rPr/>
      </w:pPr>
      <w:r>
        <w:rPr/>
        <w:t>odloženej daňovej pohľadávke, pričom sa uvedie opis jej vzniku,</w:t>
      </w:r>
    </w:p>
    <w:p>
      <w:pPr>
        <w:pStyle w:val="ListParagraph"/>
        <w:numPr>
          <w:ilvl w:val="1"/>
          <w:numId w:val="9"/>
        </w:numPr>
        <w:tabs>
          <w:tab w:val="clear" w:pos="720"/>
          <w:tab w:val="left" w:pos="9781" w:leader="none"/>
        </w:tabs>
        <w:ind w:left="426" w:hanging="284"/>
        <w:jc w:val="both"/>
        <w:rPr/>
      </w:pPr>
      <w:r>
        <w:rPr/>
        <w:t>významných zložkách krátkodobého finančného majetku,</w:t>
      </w:r>
    </w:p>
    <w:p>
      <w:pPr>
        <w:pStyle w:val="ListParagraph"/>
        <w:numPr>
          <w:ilvl w:val="1"/>
          <w:numId w:val="9"/>
        </w:numPr>
        <w:tabs>
          <w:tab w:val="clear" w:pos="720"/>
          <w:tab w:val="left" w:pos="9781" w:leader="none"/>
        </w:tabs>
        <w:ind w:left="426" w:hanging="284"/>
        <w:jc w:val="both"/>
        <w:rPr/>
      </w:pPr>
      <w:r>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pPr>
        <w:pStyle w:val="ListParagraph"/>
        <w:numPr>
          <w:ilvl w:val="1"/>
          <w:numId w:val="9"/>
        </w:numPr>
        <w:tabs>
          <w:tab w:val="clear" w:pos="720"/>
          <w:tab w:val="left" w:pos="9781" w:leader="none"/>
        </w:tabs>
        <w:ind w:left="426" w:hanging="284"/>
        <w:jc w:val="both"/>
        <w:rPr/>
      </w:pPr>
      <w:r>
        <w:rPr/>
        <w:t>krátkodobom finančnom majetku, na ktorý bolo zriadené záložné právo a krátkodobom finančnom majetku, pri ktorom má účtovná jednotka obmedzené právo s nim nakladať,</w:t>
      </w:r>
    </w:p>
    <w:p>
      <w:pPr>
        <w:pStyle w:val="ListParagraph"/>
        <w:numPr>
          <w:ilvl w:val="1"/>
          <w:numId w:val="9"/>
        </w:numPr>
        <w:tabs>
          <w:tab w:val="clear" w:pos="720"/>
          <w:tab w:val="left" w:pos="9781" w:leader="none"/>
        </w:tabs>
        <w:ind w:left="426" w:hanging="284"/>
        <w:jc w:val="both"/>
        <w:rPr/>
      </w:pPr>
      <w:r>
        <w:rPr/>
        <w:t>za) ocenení krátkodobého finančného majetku ku dňu, ku ktorému sa zostavuje účtovná závierka reálnou hodnotou, pričom sa uvádza vplyv takéhoto ocenenia na výsledok hospodárenia a na výšku vlastného imania,</w:t>
      </w:r>
    </w:p>
    <w:p>
      <w:pPr>
        <w:pStyle w:val="Normal"/>
        <w:tabs>
          <w:tab w:val="clear" w:pos="720"/>
          <w:tab w:val="left" w:pos="9781" w:leader="none"/>
        </w:tabs>
        <w:ind w:left="426" w:hanging="0"/>
        <w:jc w:val="both"/>
        <w:rPr/>
      </w:pPr>
      <w:r>
        <w:rPr/>
        <w:t>zb) vlastných akciách, a to o</w:t>
      </w:r>
    </w:p>
    <w:p>
      <w:pPr>
        <w:pStyle w:val="ListParagraph"/>
        <w:numPr>
          <w:ilvl w:val="2"/>
          <w:numId w:val="9"/>
        </w:numPr>
        <w:tabs>
          <w:tab w:val="clear" w:pos="720"/>
          <w:tab w:val="left" w:pos="9781" w:leader="none"/>
        </w:tabs>
        <w:spacing w:lineRule="exact" w:line="252" w:before="2" w:after="0"/>
        <w:ind w:left="1134" w:hanging="359"/>
        <w:jc w:val="both"/>
        <w:rPr>
          <w:b/>
          <w:b/>
        </w:rPr>
      </w:pPr>
      <w:r>
        <w:rPr>
          <w:b/>
        </w:rPr>
        <w:t>dôvode nadobudnutia vlastných akcií počas účtovného</w:t>
      </w:r>
      <w:r>
        <w:rPr>
          <w:b/>
          <w:spacing w:val="-4"/>
        </w:rPr>
        <w:t xml:space="preserve"> </w:t>
      </w:r>
      <w:r>
        <w:rPr>
          <w:b/>
        </w:rPr>
        <w:t>obdobia,</w:t>
      </w:r>
    </w:p>
    <w:p>
      <w:pPr>
        <w:pStyle w:val="Nadpis1"/>
        <w:numPr>
          <w:ilvl w:val="2"/>
          <w:numId w:val="9"/>
        </w:numPr>
        <w:tabs>
          <w:tab w:val="clear" w:pos="720"/>
          <w:tab w:val="left" w:pos="9781" w:leader="none"/>
        </w:tabs>
        <w:ind w:left="1134" w:right="572" w:hanging="359"/>
        <w:jc w:val="both"/>
        <w:rPr/>
      </w:pPr>
      <w:r>
        <w:rPr/>
        <w:t>počte a menovitej hodnote nadobudnutých vlastných akcií počas účtovného obdobia a o počte a menovitej hodnote prevedených vlastných akcií počas účtovného obdobia, pričom sa uvádza percentuálna hodnota týchto vlastných akcií na upísanom základnom</w:t>
      </w:r>
      <w:r>
        <w:rPr>
          <w:spacing w:val="-5"/>
        </w:rPr>
        <w:t xml:space="preserve"> </w:t>
      </w:r>
      <w:r>
        <w:rPr/>
        <w:t>imaní,</w:t>
      </w:r>
    </w:p>
    <w:p>
      <w:pPr>
        <w:pStyle w:val="ListParagraph"/>
        <w:numPr>
          <w:ilvl w:val="2"/>
          <w:numId w:val="9"/>
        </w:numPr>
        <w:tabs>
          <w:tab w:val="clear" w:pos="720"/>
          <w:tab w:val="left" w:pos="9781" w:leader="none"/>
        </w:tabs>
        <w:ind w:left="1134" w:right="569" w:hanging="359"/>
        <w:jc w:val="both"/>
        <w:rPr>
          <w:b/>
          <w:b/>
        </w:rPr>
      </w:pPr>
      <w:r>
        <w:rPr>
          <w:b/>
        </w:rPr>
        <w:t>počte a hodnote, za ktorú sa vlastné akcie počas účtovného obdobia nadobudli a o počte a hodnote, za ktorú sa vlastné akcie počas účtovného obdobia previedli na inú osobu,</w:t>
      </w:r>
    </w:p>
    <w:p>
      <w:pPr>
        <w:pStyle w:val="Nadpis1"/>
        <w:numPr>
          <w:ilvl w:val="2"/>
          <w:numId w:val="9"/>
        </w:numPr>
        <w:tabs>
          <w:tab w:val="clear" w:pos="720"/>
          <w:tab w:val="left" w:pos="9781" w:leader="none"/>
        </w:tabs>
        <w:ind w:left="1134" w:right="573" w:hanging="359"/>
        <w:jc w:val="both"/>
        <w:rPr/>
      </w:pPr>
      <w:r>
        <w:rPr/>
        <w:t>počte, menovitej hodnote a hodnote, za ktorú sa vlastné akcie nadobudli a ktoré účtovná jednotka má v držbe k poslednému dňu účtovného obdobia; uvádza sa aj ich percentuálny podiel na upísanom základnom</w:t>
      </w:r>
      <w:r>
        <w:rPr>
          <w:spacing w:val="-5"/>
        </w:rPr>
        <w:t xml:space="preserve"> </w:t>
      </w:r>
      <w:r>
        <w:rPr/>
        <w:t>imaní,</w:t>
      </w:r>
    </w:p>
    <w:p>
      <w:pPr>
        <w:pStyle w:val="Telotextu"/>
        <w:tabs>
          <w:tab w:val="clear" w:pos="720"/>
          <w:tab w:val="left" w:pos="9781" w:leader="none"/>
        </w:tabs>
        <w:ind w:left="709" w:right="878" w:hanging="282"/>
        <w:jc w:val="both"/>
        <w:rPr/>
      </w:pPr>
      <w:r>
        <w:rPr/>
        <w:t>zc) významných položkách časového rozlíšenia nákladov budúcich období a príjmov budúcich období, zd) majetku prenajatom formou finančného prenájmu v poznámkach prenajímateľa, a to</w:t>
      </w:r>
    </w:p>
    <w:p>
      <w:pPr>
        <w:pStyle w:val="ListParagraph"/>
        <w:numPr>
          <w:ilvl w:val="0"/>
          <w:numId w:val="8"/>
        </w:numPr>
        <w:tabs>
          <w:tab w:val="clear" w:pos="720"/>
          <w:tab w:val="left" w:pos="9781" w:leader="none"/>
        </w:tabs>
        <w:ind w:left="1134" w:right="577" w:hanging="358"/>
        <w:jc w:val="both"/>
        <w:rPr/>
      </w:pPr>
      <w:r>
        <w:rPr/>
        <w:t>celková suma  dohodnutých platieb ku  dňu, ku ktorému sa  zostavuje účtovná  závierka    v členení na istinu u prenajímateľa a finančný</w:t>
      </w:r>
      <w:r>
        <w:rPr>
          <w:spacing w:val="-3"/>
        </w:rPr>
        <w:t xml:space="preserve"> </w:t>
      </w:r>
      <w:r>
        <w:rPr/>
        <w:t>výnos,</w:t>
      </w:r>
    </w:p>
    <w:p>
      <w:pPr>
        <w:pStyle w:val="ListParagraph"/>
        <w:numPr>
          <w:ilvl w:val="0"/>
          <w:numId w:val="8"/>
        </w:numPr>
        <w:tabs>
          <w:tab w:val="clear" w:pos="720"/>
          <w:tab w:val="left" w:pos="9781" w:leader="none"/>
        </w:tabs>
        <w:ind w:left="1134" w:right="2173" w:hanging="358"/>
        <w:jc w:val="both"/>
        <w:rPr/>
      </w:pPr>
      <w:r>
        <w:rPr/>
        <w:t xml:space="preserve">suma istiny u prenajímateľa a finančného výnosu podľa doby splatnosti </w:t>
      </w:r>
    </w:p>
    <w:p>
      <w:pPr>
        <w:pStyle w:val="ListParagraph"/>
        <w:tabs>
          <w:tab w:val="clear" w:pos="720"/>
          <w:tab w:val="left" w:pos="9781" w:leader="none"/>
        </w:tabs>
        <w:ind w:left="1134" w:right="2173" w:hanging="0"/>
        <w:jc w:val="both"/>
        <w:rPr/>
      </w:pPr>
      <w:r>
        <w:rPr/>
        <w:t>2a. do jedného roka</w:t>
      </w:r>
      <w:r>
        <w:rPr>
          <w:spacing w:val="6"/>
        </w:rPr>
        <w:t xml:space="preserve"> </w:t>
      </w:r>
      <w:r>
        <w:rPr/>
        <w:t>vrátane,</w:t>
      </w:r>
    </w:p>
    <w:p>
      <w:pPr>
        <w:pStyle w:val="ListParagraph"/>
        <w:tabs>
          <w:tab w:val="clear" w:pos="720"/>
          <w:tab w:val="left" w:pos="9781" w:leader="none"/>
        </w:tabs>
        <w:ind w:left="1134" w:right="2173" w:hanging="0"/>
        <w:jc w:val="both"/>
        <w:rPr/>
      </w:pPr>
      <w:r>
        <w:rPr/>
        <w:t>2b. od jedného roka do piatich rokov vrátane,</w:t>
      </w:r>
    </w:p>
    <w:p>
      <w:pPr>
        <w:pStyle w:val="ListParagraph"/>
        <w:tabs>
          <w:tab w:val="clear" w:pos="720"/>
          <w:tab w:val="left" w:pos="9781" w:leader="none"/>
        </w:tabs>
        <w:ind w:left="1134" w:right="2173" w:hanging="0"/>
        <w:jc w:val="both"/>
        <w:rPr/>
      </w:pPr>
      <w:r>
        <w:rPr/>
        <w:t>2c. viac ako päť rokov.</w:t>
      </w:r>
    </w:p>
    <w:p>
      <w:pPr>
        <w:pStyle w:val="Telotextu"/>
        <w:tabs>
          <w:tab w:val="clear" w:pos="720"/>
          <w:tab w:val="left" w:pos="9781" w:leader="none"/>
        </w:tabs>
        <w:spacing w:before="10" w:after="0"/>
        <w:jc w:val="both"/>
        <w:rPr>
          <w:sz w:val="21"/>
        </w:rPr>
      </w:pPr>
      <w:r>
        <w:rPr>
          <w:sz w:val="21"/>
        </w:rPr>
      </w:r>
    </w:p>
    <w:p>
      <w:pPr>
        <w:pStyle w:val="Nadpis1"/>
        <w:numPr>
          <w:ilvl w:val="0"/>
          <w:numId w:val="9"/>
        </w:numPr>
        <w:tabs>
          <w:tab w:val="clear" w:pos="720"/>
          <w:tab w:val="left" w:pos="9781" w:leader="none"/>
        </w:tabs>
        <w:ind w:left="284" w:hanging="288"/>
        <w:jc w:val="both"/>
        <w:rPr>
          <w:sz w:val="24"/>
        </w:rPr>
      </w:pPr>
      <w:r>
        <w:rPr>
          <w:sz w:val="24"/>
        </w:rPr>
        <w:t>V časti o údajoch vykázaných na strane pasív súvahy sa uvádzajú informácie o</w:t>
      </w:r>
    </w:p>
    <w:p>
      <w:pPr>
        <w:pStyle w:val="Telotextu"/>
        <w:tabs>
          <w:tab w:val="clear" w:pos="720"/>
          <w:tab w:val="left" w:pos="9781" w:leader="none"/>
        </w:tabs>
        <w:spacing w:before="1" w:after="0"/>
        <w:jc w:val="both"/>
        <w:rPr>
          <w:b/>
          <w:b/>
        </w:rPr>
      </w:pPr>
      <w:r>
        <w:rPr>
          <w:b/>
        </w:rPr>
      </w:r>
    </w:p>
    <w:p>
      <w:pPr>
        <w:pStyle w:val="ListParagraph"/>
        <w:numPr>
          <w:ilvl w:val="1"/>
          <w:numId w:val="9"/>
        </w:numPr>
        <w:tabs>
          <w:tab w:val="clear" w:pos="720"/>
          <w:tab w:val="left" w:pos="426" w:leader="none"/>
          <w:tab w:val="left" w:pos="9781" w:leader="none"/>
        </w:tabs>
        <w:spacing w:lineRule="exact" w:line="252" w:before="1" w:after="0"/>
        <w:ind w:left="426" w:hanging="284"/>
        <w:jc w:val="both"/>
        <w:rPr/>
      </w:pPr>
      <w:r>
        <w:rPr/>
        <w:t>vlastnom imaní za bežné účtovné obdobie, a</w:t>
      </w:r>
      <w:r>
        <w:rPr>
          <w:spacing w:val="-12"/>
        </w:rPr>
        <w:t xml:space="preserve"> </w:t>
      </w:r>
      <w:r>
        <w:rPr/>
        <w:t>to</w:t>
      </w:r>
    </w:p>
    <w:p>
      <w:pPr>
        <w:pStyle w:val="ListParagraph"/>
        <w:numPr>
          <w:ilvl w:val="2"/>
          <w:numId w:val="9"/>
        </w:numPr>
        <w:tabs>
          <w:tab w:val="clear" w:pos="720"/>
          <w:tab w:val="left" w:pos="851" w:leader="none"/>
          <w:tab w:val="left" w:pos="9781" w:leader="none"/>
        </w:tabs>
        <w:ind w:left="851" w:right="570" w:hanging="358"/>
        <w:jc w:val="both"/>
        <w:rPr/>
      </w:pPr>
      <w:r>
        <w:rPr/>
        <w:t>opis základného imania najmä počet akcií, hodnota akcií, práva spojené s jednotlivými druhmi akcií, splatené základné</w:t>
      </w:r>
      <w:r>
        <w:rPr>
          <w:spacing w:val="-3"/>
        </w:rPr>
        <w:t xml:space="preserve"> </w:t>
      </w:r>
      <w:r>
        <w:rPr/>
        <w:t>imanie,</w:t>
      </w:r>
    </w:p>
    <w:p>
      <w:pPr>
        <w:pStyle w:val="ListParagraph"/>
        <w:numPr>
          <w:ilvl w:val="2"/>
          <w:numId w:val="9"/>
        </w:numPr>
        <w:tabs>
          <w:tab w:val="clear" w:pos="720"/>
          <w:tab w:val="left" w:pos="851" w:leader="none"/>
          <w:tab w:val="left" w:pos="9781" w:leader="none"/>
        </w:tabs>
        <w:spacing w:lineRule="exact" w:line="251"/>
        <w:ind w:left="851" w:hanging="359"/>
        <w:jc w:val="both"/>
        <w:rPr/>
      </w:pPr>
      <w:r>
        <w:rPr/>
        <w:t>hodnota upísaného vlastného</w:t>
      </w:r>
      <w:r>
        <w:rPr>
          <w:spacing w:val="-11"/>
        </w:rPr>
        <w:t xml:space="preserve"> </w:t>
      </w:r>
      <w:r>
        <w:rPr/>
        <w:t>imania,</w:t>
      </w:r>
    </w:p>
    <w:p>
      <w:pPr>
        <w:pStyle w:val="ListParagraph"/>
        <w:numPr>
          <w:ilvl w:val="2"/>
          <w:numId w:val="9"/>
        </w:numPr>
        <w:tabs>
          <w:tab w:val="clear" w:pos="720"/>
          <w:tab w:val="left" w:pos="851" w:leader="none"/>
          <w:tab w:val="left" w:pos="9781" w:leader="none"/>
        </w:tabs>
        <w:ind w:left="851" w:right="571" w:hanging="358"/>
        <w:jc w:val="both"/>
        <w:rPr/>
      </w:pPr>
      <w:r>
        <w:rPr/>
        <w:t>rozdelenie účtovného zisku alebo vysporiadanie účtovnej straty vykázanej v predchádzajúcom účtovnom</w:t>
      </w:r>
      <w:r>
        <w:rPr>
          <w:spacing w:val="-3"/>
        </w:rPr>
        <w:t xml:space="preserve"> </w:t>
      </w:r>
      <w:r>
        <w:rPr/>
        <w:t>období,</w:t>
      </w:r>
    </w:p>
    <w:p>
      <w:pPr>
        <w:pStyle w:val="ListParagraph"/>
        <w:tabs>
          <w:tab w:val="clear" w:pos="720"/>
          <w:tab w:val="left" w:pos="9781" w:leader="none"/>
        </w:tabs>
        <w:ind w:left="567" w:right="571" w:hanging="0"/>
        <w:jc w:val="both"/>
        <w:rPr>
          <w:color w:val="00B050"/>
        </w:rPr>
      </w:pPr>
      <w:r>
        <w:rPr>
          <w:b/>
          <w:color w:val="00B050"/>
        </w:rPr>
        <w:t>RSP</w:t>
      </w:r>
      <w:r>
        <w:rPr>
          <w:color w:val="00B050"/>
        </w:rPr>
        <w:t xml:space="preserve"> </w:t>
      </w:r>
      <w:r>
        <w:rPr>
          <w:color w:val="FF0000"/>
        </w:rPr>
        <w:t>vyhlasuje, že</w:t>
      </w:r>
      <w:r>
        <w:rPr>
          <w:color w:val="00B050"/>
        </w:rPr>
        <w:t xml:space="preserve"> </w:t>
      </w:r>
      <w:r>
        <w:rPr>
          <w:color w:val="FF0000"/>
        </w:rPr>
        <w:t xml:space="preserve">v období, za ktoré je zostavená účtovná závierka, dosiahol zisk, z ktorého </w:t>
      </w:r>
      <w:r>
        <w:rPr>
          <w:b/>
          <w:color w:val="FF0000"/>
        </w:rPr>
        <w:t>..100 % po zdanení použil</w:t>
      </w:r>
      <w:r>
        <w:rPr>
          <w:color w:val="FF0000"/>
        </w:rPr>
        <w:t xml:space="preserve"> v zmysle základného dokumentu </w:t>
      </w:r>
      <w:r>
        <w:rPr>
          <w:color w:val="FF0000"/>
          <w:u w:val="single"/>
        </w:rPr>
        <w:t>nasledovne</w:t>
      </w:r>
      <w:r>
        <w:rPr>
          <w:color w:val="00B050"/>
        </w:rPr>
        <w:t>:</w:t>
      </w:r>
    </w:p>
    <w:p>
      <w:pPr>
        <w:pStyle w:val="ListParagraph"/>
        <w:numPr>
          <w:ilvl w:val="0"/>
          <w:numId w:val="13"/>
        </w:numPr>
        <w:tabs>
          <w:tab w:val="clear" w:pos="720"/>
          <w:tab w:val="left" w:pos="9781" w:leader="none"/>
        </w:tabs>
        <w:ind w:left="1440" w:right="571" w:hanging="360"/>
        <w:jc w:val="both"/>
        <w:rPr>
          <w:color w:val="FF0000"/>
        </w:rPr>
      </w:pPr>
      <w:r>
        <w:rPr>
          <w:color w:val="FF0000"/>
        </w:rPr>
        <w:t xml:space="preserve">na plnenie daňových povinností a iných zákonných platieb, </w:t>
      </w:r>
    </w:p>
    <w:p>
      <w:pPr>
        <w:pStyle w:val="ListParagraph"/>
        <w:numPr>
          <w:ilvl w:val="0"/>
          <w:numId w:val="13"/>
        </w:numPr>
        <w:tabs>
          <w:tab w:val="clear" w:pos="720"/>
          <w:tab w:val="left" w:pos="9781" w:leader="none"/>
        </w:tabs>
        <w:ind w:left="1440" w:right="571" w:hanging="360"/>
        <w:jc w:val="both"/>
        <w:rPr>
          <w:color w:val="FF0000"/>
        </w:rPr>
      </w:pPr>
      <w:r>
        <w:rPr>
          <w:color w:val="FF0000"/>
        </w:rPr>
        <w:t>na doplnenie rezervného fondu,</w:t>
      </w:r>
    </w:p>
    <w:p>
      <w:pPr>
        <w:pStyle w:val="ListParagraph"/>
        <w:numPr>
          <w:ilvl w:val="0"/>
          <w:numId w:val="13"/>
        </w:numPr>
        <w:tabs>
          <w:tab w:val="clear" w:pos="720"/>
          <w:tab w:val="left" w:pos="9781" w:leader="none"/>
        </w:tabs>
        <w:ind w:left="1440" w:right="571" w:hanging="360"/>
        <w:jc w:val="both"/>
        <w:rPr>
          <w:color w:val="FF0000"/>
        </w:rPr>
      </w:pPr>
      <w:r>
        <w:rPr>
          <w:color w:val="FF0000"/>
        </w:rPr>
        <w:t xml:space="preserve">na uhradenie neuhradenej straty z minulých období do sumy daňovej straty </w:t>
      </w:r>
      <w:r>
        <w:rPr>
          <w:i/>
          <w:color w:val="FF0000"/>
          <w:sz w:val="20"/>
        </w:rPr>
        <w:t>(ak ide o registrovaný sociálny podnik, ktorý dosahuje merateľný pozitívny sociálny vplyv výlučne nehospodárskou činnosťou, môže týmto spôsobom použiť zisk najdlhšie počas piatich rokov odo dňa priznania štatútu registrovaného sociálneho podniku)</w:t>
      </w:r>
      <w:r>
        <w:rPr>
          <w:color w:val="FF0000"/>
        </w:rPr>
        <w:t xml:space="preserve">, </w:t>
      </w:r>
    </w:p>
    <w:p>
      <w:pPr>
        <w:pStyle w:val="ListParagraph"/>
        <w:numPr>
          <w:ilvl w:val="0"/>
          <w:numId w:val="13"/>
        </w:numPr>
        <w:tabs>
          <w:tab w:val="clear" w:pos="720"/>
          <w:tab w:val="left" w:pos="9781" w:leader="none"/>
        </w:tabs>
        <w:ind w:left="1440" w:right="571" w:hanging="360"/>
        <w:jc w:val="both"/>
        <w:rPr>
          <w:color w:val="FF0000"/>
        </w:rPr>
      </w:pPr>
      <w:r>
        <w:rPr>
          <w:color w:val="FF0000"/>
        </w:rPr>
        <w:t>na dosahovanie pozitívneho sociálneho vplyvu, a to konkrétne na .</w:t>
      </w:r>
      <w:r>
        <w:rPr>
          <w:color w:val="FF0000"/>
        </w:rPr>
        <w:t xml:space="preserve">kumulov. prijmu na ucet 427 </w:t>
      </w:r>
      <w:r>
        <w:rPr>
          <w:color w:val="FF0000"/>
        </w:rPr>
        <w:t xml:space="preserve"> </w:t>
      </w:r>
    </w:p>
    <w:p>
      <w:pPr>
        <w:pStyle w:val="ListParagraph"/>
        <w:numPr>
          <w:ilvl w:val="0"/>
          <w:numId w:val="0"/>
        </w:numPr>
        <w:tabs>
          <w:tab w:val="clear" w:pos="720"/>
          <w:tab w:val="left" w:pos="851" w:leader="none"/>
          <w:tab w:val="left" w:pos="9781" w:leader="none"/>
        </w:tabs>
        <w:ind w:left="3240" w:right="571" w:hanging="0"/>
        <w:jc w:val="both"/>
        <w:rPr/>
      </w:pPr>
      <w:r>
        <w:rPr/>
      </w:r>
    </w:p>
    <w:p>
      <w:pPr>
        <w:pStyle w:val="ListParagraph"/>
        <w:tabs>
          <w:tab w:val="clear" w:pos="720"/>
          <w:tab w:val="left" w:pos="9781" w:leader="none"/>
        </w:tabs>
        <w:spacing w:before="60" w:after="0"/>
        <w:ind w:left="567" w:right="573" w:hanging="0"/>
        <w:jc w:val="both"/>
        <w:rPr>
          <w:color w:val="00B050"/>
        </w:rPr>
      </w:pPr>
      <w:r>
        <w:rPr>
          <w:b/>
          <w:color w:val="00B050"/>
        </w:rPr>
        <w:t xml:space="preserve">Ak RSP </w:t>
      </w:r>
      <w:r>
        <w:rPr>
          <w:color w:val="FF0000"/>
        </w:rPr>
        <w:t>v zmysle základného dokumentu</w:t>
      </w:r>
      <w:r>
        <w:rPr>
          <w:color w:val="00B050"/>
        </w:rPr>
        <w:t xml:space="preserve"> nereinvestuje 100 % zisku po zdanení, zvyšnú časť zisku </w:t>
      </w:r>
      <w:r>
        <w:rPr>
          <w:color w:val="FF0000"/>
        </w:rPr>
        <w:t xml:space="preserve">vo výške </w:t>
      </w:r>
      <w:r>
        <w:rPr>
          <w:color w:val="FF0000"/>
        </w:rPr>
        <w:t>100</w:t>
      </w:r>
      <w:r>
        <w:rPr>
          <w:b/>
          <w:color w:val="FF0000"/>
        </w:rPr>
        <w:t xml:space="preserve">% </w:t>
      </w:r>
      <w:r>
        <w:rPr>
          <w:color w:val="00B050"/>
        </w:rPr>
        <w:t xml:space="preserve"> </w:t>
      </w:r>
      <w:r>
        <w:rPr>
          <w:b/>
          <w:color w:val="FF0000"/>
        </w:rPr>
        <w:t>nerozdelil*</w:t>
      </w:r>
      <w:r>
        <w:rPr>
          <w:color w:val="00B050"/>
        </w:rPr>
        <w:t xml:space="preserve"> podľa postupov a pravidiel, ktoré </w:t>
      </w:r>
      <w:r>
        <w:rPr>
          <w:color w:val="00B050"/>
          <w:u w:val="single"/>
        </w:rPr>
        <w:t>nenarušili jeho hlavný cieľ</w:t>
      </w:r>
      <w:r>
        <w:rPr>
          <w:color w:val="00B050"/>
        </w:rPr>
        <w:t>, t.j. dosahovanie pozitívneho sociálneho vplyvu.</w:t>
      </w:r>
    </w:p>
    <w:p>
      <w:pPr>
        <w:pStyle w:val="ListParagraph"/>
        <w:numPr>
          <w:ilvl w:val="2"/>
          <w:numId w:val="9"/>
        </w:numPr>
        <w:tabs>
          <w:tab w:val="clear" w:pos="720"/>
          <w:tab w:val="left" w:pos="851" w:leader="none"/>
          <w:tab w:val="left" w:pos="9781" w:leader="none"/>
        </w:tabs>
        <w:spacing w:before="120" w:after="0"/>
        <w:ind w:left="850" w:right="567" w:hanging="357"/>
        <w:jc w:val="both"/>
        <w:rPr/>
      </w:pPr>
      <w:r>
        <w:rP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rPr/>
        <w:t>strát,</w:t>
      </w:r>
    </w:p>
    <w:p>
      <w:pPr>
        <w:pStyle w:val="ListParagraph"/>
        <w:numPr>
          <w:ilvl w:val="2"/>
          <w:numId w:val="9"/>
        </w:numPr>
        <w:tabs>
          <w:tab w:val="clear" w:pos="720"/>
          <w:tab w:val="left" w:pos="851" w:leader="none"/>
          <w:tab w:val="left" w:pos="9781" w:leader="none"/>
        </w:tabs>
        <w:spacing w:before="1" w:after="0"/>
        <w:ind w:left="851" w:right="569" w:hanging="358"/>
        <w:jc w:val="both"/>
        <w:rPr/>
      </w:pPr>
      <w:r>
        <w:rPr/>
        <w:t>zisk na akciu alebo podiel na základnom imaní,</w:t>
      </w:r>
    </w:p>
    <w:p>
      <w:pPr>
        <w:pStyle w:val="Normal"/>
        <w:tabs>
          <w:tab w:val="clear" w:pos="720"/>
          <w:tab w:val="left" w:pos="9781" w:leader="none"/>
        </w:tabs>
        <w:jc w:val="both"/>
        <w:rPr/>
      </w:pPr>
      <w:r>
        <w:rPr/>
      </w:r>
    </w:p>
    <w:p>
      <w:pPr>
        <w:pStyle w:val="ListParagraph"/>
        <w:numPr>
          <w:ilvl w:val="1"/>
          <w:numId w:val="9"/>
        </w:numPr>
        <w:tabs>
          <w:tab w:val="clear" w:pos="720"/>
          <w:tab w:val="left" w:pos="426" w:leader="none"/>
          <w:tab w:val="left" w:pos="9781" w:leader="none"/>
        </w:tabs>
        <w:ind w:left="426" w:right="570" w:hanging="284"/>
        <w:jc w:val="both"/>
        <w:rPr/>
      </w:pPr>
      <w:r>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rPr/>
        <w:t>rezerv,</w:t>
      </w:r>
    </w:p>
    <w:p>
      <w:pPr>
        <w:pStyle w:val="ListParagraph"/>
        <w:numPr>
          <w:ilvl w:val="1"/>
          <w:numId w:val="9"/>
        </w:numPr>
        <w:tabs>
          <w:tab w:val="clear" w:pos="720"/>
          <w:tab w:val="left" w:pos="426" w:leader="none"/>
          <w:tab w:val="left" w:pos="9781" w:leader="none"/>
        </w:tabs>
        <w:spacing w:lineRule="exact" w:line="252" w:before="1" w:after="0"/>
        <w:ind w:left="426" w:hanging="284"/>
        <w:jc w:val="both"/>
        <w:rPr/>
      </w:pPr>
      <w:r>
        <w:rPr/>
        <w:t>výške záväzkov do lehoty splatnosti a po lehote</w:t>
      </w:r>
      <w:r>
        <w:rPr>
          <w:spacing w:val="-8"/>
        </w:rPr>
        <w:t xml:space="preserve"> </w:t>
      </w:r>
      <w:r>
        <w:rPr/>
        <w:t>splatnosti,</w:t>
      </w:r>
    </w:p>
    <w:p>
      <w:pPr>
        <w:pStyle w:val="Default"/>
        <w:tabs>
          <w:tab w:val="clear" w:pos="720"/>
          <w:tab w:val="left" w:pos="9781" w:leader="none"/>
        </w:tabs>
        <w:spacing w:before="60" w:after="0"/>
        <w:ind w:left="425" w:hanging="0"/>
        <w:jc w:val="both"/>
        <w:rPr>
          <w:rFonts w:ascii="Arial Narrow" w:hAnsi="Arial Narrow"/>
          <w:color w:val="00B050"/>
          <w:sz w:val="22"/>
          <w:szCs w:val="22"/>
        </w:rPr>
      </w:pPr>
      <w:r>
        <w:rPr>
          <w:rFonts w:ascii="Arial Narrow" w:hAnsi="Arial Narrow"/>
          <w:b/>
          <w:color w:val="00B050"/>
          <w:sz w:val="22"/>
          <w:szCs w:val="22"/>
        </w:rPr>
        <w:t>RSP</w:t>
      </w:r>
      <w:r>
        <w:rPr>
          <w:rFonts w:ascii="Arial Narrow" w:hAnsi="Arial Narrow"/>
          <w:color w:val="00B050"/>
          <w:sz w:val="22"/>
          <w:szCs w:val="22"/>
        </w:rPr>
        <w:t xml:space="preserve"> vyhlasuje, že počas obdobia, za ktoré je zostavená účtovná závierka, </w:t>
      </w:r>
      <w:r>
        <w:rPr>
          <w:rFonts w:ascii="Arial Narrow" w:hAnsi="Arial Narrow"/>
          <w:b/>
          <w:color w:val="00B050"/>
          <w:sz w:val="22"/>
          <w:szCs w:val="22"/>
        </w:rPr>
        <w:t xml:space="preserve">nemal* </w:t>
      </w:r>
      <w:r>
        <w:rPr>
          <w:rFonts w:ascii="Arial Narrow" w:hAnsi="Arial Narrow"/>
          <w:color w:val="00B050"/>
          <w:sz w:val="22"/>
          <w:szCs w:val="22"/>
        </w:rPr>
        <w:t xml:space="preserve">nedoplatky </w:t>
      </w:r>
      <w:r>
        <w:rPr>
          <w:rFonts w:ascii="Arial Narrow" w:hAnsi="Arial Narrow"/>
          <w:color w:val="00B050"/>
          <w:sz w:val="22"/>
          <w:szCs w:val="22"/>
          <w:u w:val="single"/>
        </w:rPr>
        <w:t>poistného</w:t>
      </w:r>
      <w:r>
        <w:rPr>
          <w:rFonts w:ascii="Arial Narrow" w:hAnsi="Arial Narrow"/>
          <w:color w:val="00B050"/>
          <w:sz w:val="22"/>
          <w:szCs w:val="22"/>
        </w:rPr>
        <w:t xml:space="preserve"> na povinné verejné zdravotné poistenie, poistného na sociálne poistenie, povinných </w:t>
      </w:r>
      <w:r>
        <w:rPr>
          <w:rFonts w:ascii="Arial Narrow" w:hAnsi="Arial Narrow"/>
          <w:color w:val="00B050"/>
          <w:sz w:val="22"/>
          <w:szCs w:val="22"/>
          <w:u w:val="single"/>
        </w:rPr>
        <w:t>príspevkov</w:t>
      </w:r>
      <w:r>
        <w:rPr>
          <w:rFonts w:ascii="Arial Narrow" w:hAnsi="Arial Narrow"/>
          <w:color w:val="00B050"/>
          <w:sz w:val="22"/>
          <w:szCs w:val="22"/>
        </w:rPr>
        <w:t xml:space="preserve"> na starobné dôchodkové sporenie a </w:t>
      </w:r>
      <w:r>
        <w:rPr>
          <w:rFonts w:ascii="Arial Narrow" w:hAnsi="Arial Narrow"/>
          <w:color w:val="00B050"/>
          <w:sz w:val="22"/>
          <w:szCs w:val="22"/>
          <w:u w:val="single"/>
        </w:rPr>
        <w:t>na dani</w:t>
      </w:r>
      <w:r>
        <w:rPr>
          <w:rFonts w:ascii="Arial Narrow" w:hAnsi="Arial Narrow"/>
          <w:color w:val="00B050"/>
          <w:sz w:val="22"/>
          <w:szCs w:val="22"/>
        </w:rPr>
        <w:t>, ktorej správcom je daňový úrad alebo colný úrad..</w:t>
      </w:r>
    </w:p>
    <w:p>
      <w:pPr>
        <w:pStyle w:val="ListParagraph"/>
        <w:numPr>
          <w:ilvl w:val="1"/>
          <w:numId w:val="9"/>
        </w:numPr>
        <w:tabs>
          <w:tab w:val="clear" w:pos="720"/>
          <w:tab w:val="left" w:pos="426" w:leader="none"/>
          <w:tab w:val="left" w:pos="9781" w:leader="none"/>
        </w:tabs>
        <w:spacing w:before="120" w:after="0"/>
        <w:ind w:left="426" w:right="709" w:hanging="284"/>
        <w:jc w:val="both"/>
        <w:rPr/>
      </w:pPr>
      <w:r>
        <w:rPr/>
        <w:t>štruktúre záväzkov podľa zostatkovej doby splatnosti v členení podľa jednotlivých položiek súvahy, a to podľa zostatkovej doby</w:t>
      </w:r>
      <w:r>
        <w:rPr>
          <w:spacing w:val="-1"/>
        </w:rPr>
        <w:t xml:space="preserve"> </w:t>
      </w:r>
      <w:r>
        <w:rPr/>
        <w:t>splatnosti</w:t>
      </w:r>
    </w:p>
    <w:p>
      <w:pPr>
        <w:pStyle w:val="ListParagraph"/>
        <w:numPr>
          <w:ilvl w:val="2"/>
          <w:numId w:val="9"/>
        </w:numPr>
        <w:tabs>
          <w:tab w:val="clear" w:pos="720"/>
          <w:tab w:val="left" w:pos="851" w:leader="none"/>
          <w:tab w:val="left" w:pos="9781" w:leader="none"/>
        </w:tabs>
        <w:spacing w:lineRule="exact" w:line="252" w:before="1" w:after="0"/>
        <w:ind w:left="851" w:hanging="359"/>
        <w:jc w:val="both"/>
        <w:rPr/>
      </w:pPr>
      <w:r>
        <w:rPr/>
        <w:t>do jedného roka</w:t>
      </w:r>
      <w:r>
        <w:rPr>
          <w:spacing w:val="-1"/>
        </w:rPr>
        <w:t xml:space="preserve"> </w:t>
      </w:r>
      <w:r>
        <w:rPr/>
        <w:t>vrátane,</w:t>
      </w:r>
    </w:p>
    <w:p>
      <w:pPr>
        <w:pStyle w:val="ListParagraph"/>
        <w:numPr>
          <w:ilvl w:val="2"/>
          <w:numId w:val="9"/>
        </w:numPr>
        <w:tabs>
          <w:tab w:val="clear" w:pos="720"/>
          <w:tab w:val="left" w:pos="851" w:leader="none"/>
          <w:tab w:val="left" w:pos="9781" w:leader="none"/>
        </w:tabs>
        <w:spacing w:lineRule="exact" w:line="252"/>
        <w:ind w:left="851" w:hanging="359"/>
        <w:jc w:val="both"/>
        <w:rPr/>
      </w:pPr>
      <w:r>
        <w:rPr/>
        <w:t>od jedného roka do piatich rokov</w:t>
      </w:r>
      <w:r>
        <w:rPr>
          <w:spacing w:val="-4"/>
        </w:rPr>
        <w:t xml:space="preserve"> </w:t>
      </w:r>
      <w:r>
        <w:rPr/>
        <w:t>vrátane,</w:t>
      </w:r>
    </w:p>
    <w:p>
      <w:pPr>
        <w:pStyle w:val="ListParagraph"/>
        <w:numPr>
          <w:ilvl w:val="2"/>
          <w:numId w:val="9"/>
        </w:numPr>
        <w:tabs>
          <w:tab w:val="clear" w:pos="720"/>
          <w:tab w:val="left" w:pos="851" w:leader="none"/>
          <w:tab w:val="left" w:pos="9781" w:leader="none"/>
        </w:tabs>
        <w:spacing w:lineRule="exact" w:line="252"/>
        <w:ind w:left="851" w:hanging="359"/>
        <w:jc w:val="both"/>
        <w:rPr/>
      </w:pPr>
      <w:r>
        <w:rPr/>
        <w:t>viac ako päť</w:t>
      </w:r>
      <w:r>
        <w:rPr>
          <w:spacing w:val="-3"/>
        </w:rPr>
        <w:t xml:space="preserve"> </w:t>
      </w:r>
      <w:r>
        <w:rPr/>
        <w:t>rokov,</w:t>
      </w:r>
    </w:p>
    <w:p>
      <w:pPr>
        <w:pStyle w:val="ListParagraph"/>
        <w:numPr>
          <w:ilvl w:val="1"/>
          <w:numId w:val="9"/>
        </w:numPr>
        <w:tabs>
          <w:tab w:val="clear" w:pos="720"/>
          <w:tab w:val="left" w:pos="426" w:leader="none"/>
          <w:tab w:val="left" w:pos="9781" w:leader="none"/>
        </w:tabs>
        <w:ind w:left="426" w:right="577" w:hanging="284"/>
        <w:jc w:val="both"/>
        <w:rPr/>
      </w:pPr>
      <w:r>
        <w:rPr/>
        <w:t>hodnote záväzku zabezpečenom záložným právom alebo zabezpečeným inou formou zabezpečenia a to s uvedením formy</w:t>
      </w:r>
      <w:r>
        <w:rPr>
          <w:spacing w:val="-3"/>
        </w:rPr>
        <w:t xml:space="preserve"> </w:t>
      </w:r>
      <w:r>
        <w:rPr/>
        <w:t>zabezpečenia,</w:t>
      </w:r>
    </w:p>
    <w:p>
      <w:pPr>
        <w:pStyle w:val="ListParagraph"/>
        <w:numPr>
          <w:ilvl w:val="1"/>
          <w:numId w:val="9"/>
        </w:numPr>
        <w:tabs>
          <w:tab w:val="clear" w:pos="720"/>
          <w:tab w:val="left" w:pos="426" w:leader="none"/>
          <w:tab w:val="left" w:pos="9781" w:leader="none"/>
        </w:tabs>
        <w:spacing w:lineRule="exact" w:line="252"/>
        <w:ind w:left="426" w:hanging="284"/>
        <w:jc w:val="both"/>
        <w:rPr/>
      </w:pPr>
      <w:r>
        <w:rPr/>
        <w:t>spôsobe vzniku odloženého daňového</w:t>
      </w:r>
      <w:r>
        <w:rPr>
          <w:spacing w:val="-1"/>
        </w:rPr>
        <w:t xml:space="preserve"> </w:t>
      </w:r>
      <w:r>
        <w:rPr/>
        <w:t>záväzku,</w:t>
      </w:r>
    </w:p>
    <w:p>
      <w:pPr>
        <w:pStyle w:val="ListParagraph"/>
        <w:numPr>
          <w:ilvl w:val="1"/>
          <w:numId w:val="9"/>
        </w:numPr>
        <w:tabs>
          <w:tab w:val="clear" w:pos="720"/>
          <w:tab w:val="left" w:pos="426" w:leader="none"/>
          <w:tab w:val="left" w:pos="9781" w:leader="none"/>
        </w:tabs>
        <w:spacing w:before="2" w:after="0"/>
        <w:ind w:left="426" w:right="574" w:hanging="284"/>
        <w:jc w:val="both"/>
        <w:rPr/>
      </w:pPr>
      <w:r>
        <w:rPr/>
        <w:t>záväzkoch zo sociálneho fondu, s uvedením stavu na začiatku bežného účtovného obdobia, tvorbe  a čerpaní sociálneho fondu počas bežného účtovného obdobia a stavu na konci účtovného</w:t>
      </w:r>
      <w:r>
        <w:rPr>
          <w:spacing w:val="4"/>
        </w:rPr>
        <w:t xml:space="preserve"> </w:t>
      </w:r>
      <w:r>
        <w:rPr/>
        <w:t>obdobia,</w:t>
      </w:r>
    </w:p>
    <w:p>
      <w:pPr>
        <w:pStyle w:val="ListParagraph"/>
        <w:numPr>
          <w:ilvl w:val="1"/>
          <w:numId w:val="9"/>
        </w:numPr>
        <w:tabs>
          <w:tab w:val="clear" w:pos="720"/>
          <w:tab w:val="left" w:pos="426" w:leader="none"/>
          <w:tab w:val="left" w:pos="9781" w:leader="none"/>
        </w:tabs>
        <w:spacing w:lineRule="exact" w:line="251"/>
        <w:ind w:left="426" w:hanging="284"/>
        <w:jc w:val="both"/>
        <w:rPr/>
      </w:pPr>
      <w:r>
        <w:rPr/>
        <w:t>vydaných dlhopisoch, najmä ich menovitá hodnota, emisný kurz, úrok a</w:t>
      </w:r>
      <w:r>
        <w:rPr>
          <w:spacing w:val="-15"/>
        </w:rPr>
        <w:t xml:space="preserve"> </w:t>
      </w:r>
      <w:r>
        <w:rPr/>
        <w:t>splatnosť,</w:t>
      </w:r>
    </w:p>
    <w:p>
      <w:pPr>
        <w:pStyle w:val="ListParagraph"/>
        <w:numPr>
          <w:ilvl w:val="1"/>
          <w:numId w:val="9"/>
        </w:numPr>
        <w:tabs>
          <w:tab w:val="clear" w:pos="720"/>
          <w:tab w:val="left" w:pos="426" w:leader="none"/>
          <w:tab w:val="left" w:pos="9781" w:leader="none"/>
        </w:tabs>
        <w:ind w:left="426" w:right="571" w:hanging="284"/>
        <w:jc w:val="both"/>
        <w:rPr/>
      </w:pPr>
      <w:r>
        <w:rP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rPr/>
        <w:t>zabezpečenia,</w:t>
      </w:r>
    </w:p>
    <w:p>
      <w:pPr>
        <w:pStyle w:val="ListParagraph"/>
        <w:numPr>
          <w:ilvl w:val="1"/>
          <w:numId w:val="9"/>
        </w:numPr>
        <w:tabs>
          <w:tab w:val="clear" w:pos="720"/>
          <w:tab w:val="left" w:pos="426" w:leader="none"/>
          <w:tab w:val="left" w:pos="9781" w:leader="none"/>
        </w:tabs>
        <w:spacing w:lineRule="exact" w:line="252"/>
        <w:ind w:left="426" w:hanging="284"/>
        <w:jc w:val="both"/>
        <w:rPr/>
      </w:pPr>
      <w:r>
        <w:rPr/>
        <w:t>významných položkách časového rozlíšenia výdavkov budúcich období a výnosov budúcich</w:t>
      </w:r>
      <w:r>
        <w:rPr>
          <w:spacing w:val="-21"/>
        </w:rPr>
        <w:t xml:space="preserve"> </w:t>
      </w:r>
      <w:r>
        <w:rPr/>
        <w:t>období,</w:t>
      </w:r>
    </w:p>
    <w:p>
      <w:pPr>
        <w:pStyle w:val="ListParagraph"/>
        <w:numPr>
          <w:ilvl w:val="1"/>
          <w:numId w:val="9"/>
        </w:numPr>
        <w:tabs>
          <w:tab w:val="clear" w:pos="720"/>
          <w:tab w:val="left" w:pos="426" w:leader="none"/>
          <w:tab w:val="left" w:pos="9781" w:leader="none"/>
        </w:tabs>
        <w:spacing w:lineRule="exact" w:line="252"/>
        <w:ind w:left="426" w:hanging="284"/>
        <w:jc w:val="both"/>
        <w:rPr/>
      </w:pPr>
      <w:r>
        <w:rPr/>
        <w:t>významných položkách</w:t>
      </w:r>
      <w:r>
        <w:rPr>
          <w:spacing w:val="-1"/>
        </w:rPr>
        <w:t xml:space="preserve"> </w:t>
      </w:r>
      <w:r>
        <w:rPr/>
        <w:t>derivátov,</w:t>
      </w:r>
    </w:p>
    <w:p>
      <w:pPr>
        <w:pStyle w:val="ListParagraph"/>
        <w:numPr>
          <w:ilvl w:val="1"/>
          <w:numId w:val="9"/>
        </w:numPr>
        <w:tabs>
          <w:tab w:val="clear" w:pos="720"/>
          <w:tab w:val="left" w:pos="426" w:leader="none"/>
          <w:tab w:val="left" w:pos="9781" w:leader="none"/>
        </w:tabs>
        <w:spacing w:lineRule="exact" w:line="252"/>
        <w:ind w:left="426" w:hanging="284"/>
        <w:jc w:val="both"/>
        <w:rPr/>
      </w:pPr>
      <w:r>
        <w:rPr/>
        <w:t>majetku a záväzkoch zabezpečených derivátmi, pričom sa uvádza forma tohto</w:t>
      </w:r>
      <w:r>
        <w:rPr>
          <w:spacing w:val="-24"/>
        </w:rPr>
        <w:t xml:space="preserve"> </w:t>
      </w:r>
      <w:r>
        <w:rPr/>
        <w:t>zabezpečenia,</w:t>
      </w:r>
    </w:p>
    <w:p>
      <w:pPr>
        <w:pStyle w:val="ListParagraph"/>
        <w:numPr>
          <w:ilvl w:val="1"/>
          <w:numId w:val="9"/>
        </w:numPr>
        <w:tabs>
          <w:tab w:val="clear" w:pos="720"/>
          <w:tab w:val="left" w:pos="426" w:leader="none"/>
          <w:tab w:val="left" w:pos="9781" w:leader="none"/>
        </w:tabs>
        <w:spacing w:lineRule="exact" w:line="252"/>
        <w:ind w:left="426" w:hanging="284"/>
        <w:jc w:val="both"/>
        <w:rPr/>
      </w:pPr>
      <w:r>
        <w:rPr/>
        <w:t>majetku prenajatom formou finančného prenájmu v poznámkach nájomcu, a</w:t>
      </w:r>
      <w:r>
        <w:rPr>
          <w:spacing w:val="-5"/>
        </w:rPr>
        <w:t xml:space="preserve"> </w:t>
      </w:r>
      <w:r>
        <w:rPr/>
        <w:t>to</w:t>
      </w:r>
    </w:p>
    <w:p>
      <w:pPr>
        <w:pStyle w:val="ListParagraph"/>
        <w:numPr>
          <w:ilvl w:val="2"/>
          <w:numId w:val="9"/>
        </w:numPr>
        <w:tabs>
          <w:tab w:val="clear" w:pos="720"/>
          <w:tab w:val="left" w:pos="851" w:leader="none"/>
          <w:tab w:val="left" w:pos="9781" w:leader="none"/>
        </w:tabs>
        <w:spacing w:lineRule="auto" w:line="240"/>
        <w:ind w:left="851" w:right="580" w:hanging="360"/>
        <w:jc w:val="both"/>
        <w:rPr/>
      </w:pPr>
      <w:r>
        <w:rPr/>
        <w:t>celková suma  dohodnutých platieb ku  dňu,  ku ktorému  sa  zostavuje  účtovná  závierka v členení na istinu u nájomcu a finančný</w:t>
      </w:r>
      <w:r>
        <w:rPr>
          <w:spacing w:val="-8"/>
        </w:rPr>
        <w:t xml:space="preserve"> </w:t>
      </w:r>
      <w:r>
        <w:rPr/>
        <w:t>náklad,</w:t>
      </w:r>
    </w:p>
    <w:p>
      <w:pPr>
        <w:pStyle w:val="ListParagraph"/>
        <w:numPr>
          <w:ilvl w:val="2"/>
          <w:numId w:val="9"/>
        </w:numPr>
        <w:tabs>
          <w:tab w:val="clear" w:pos="720"/>
          <w:tab w:val="left" w:pos="851" w:leader="none"/>
          <w:tab w:val="left" w:pos="9781" w:leader="none"/>
        </w:tabs>
        <w:ind w:left="851" w:right="2559" w:hanging="360"/>
        <w:jc w:val="both"/>
        <w:rPr/>
      </w:pPr>
      <w:r>
        <w:rPr/>
        <w:t xml:space="preserve">suma istiny u nájomcu a finančného nákladu podľa doby splatnosti </w:t>
      </w:r>
    </w:p>
    <w:p>
      <w:pPr>
        <w:pStyle w:val="ListParagraph"/>
        <w:tabs>
          <w:tab w:val="clear" w:pos="720"/>
          <w:tab w:val="left" w:pos="9781" w:leader="none"/>
        </w:tabs>
        <w:ind w:left="1276" w:right="2559" w:hanging="283"/>
        <w:jc w:val="both"/>
        <w:rPr/>
      </w:pPr>
      <w:r>
        <w:rPr/>
        <w:t>2a. do jedného roka</w:t>
      </w:r>
      <w:r>
        <w:rPr>
          <w:spacing w:val="-4"/>
        </w:rPr>
        <w:t xml:space="preserve"> </w:t>
      </w:r>
      <w:r>
        <w:rPr/>
        <w:t>vrátane,</w:t>
      </w:r>
    </w:p>
    <w:p>
      <w:pPr>
        <w:pStyle w:val="Telotextu"/>
        <w:tabs>
          <w:tab w:val="clear" w:pos="720"/>
          <w:tab w:val="left" w:pos="9781" w:leader="none"/>
        </w:tabs>
        <w:ind w:left="1276" w:right="4245" w:hanging="283"/>
        <w:jc w:val="both"/>
        <w:rPr/>
      </w:pPr>
      <w:r>
        <w:rPr/>
        <w:t>2b. od jedného roka do piatich rokov vrátane</w:t>
      </w:r>
    </w:p>
    <w:p>
      <w:pPr>
        <w:pStyle w:val="Telotextu"/>
        <w:tabs>
          <w:tab w:val="clear" w:pos="720"/>
          <w:tab w:val="left" w:pos="9781" w:leader="none"/>
        </w:tabs>
        <w:ind w:left="1276" w:right="4245" w:hanging="283"/>
        <w:jc w:val="both"/>
        <w:rPr/>
      </w:pPr>
      <w:r>
        <w:rPr/>
        <w:t>2c. viac ako päť rokov.</w:t>
      </w:r>
    </w:p>
    <w:p>
      <w:pPr>
        <w:pStyle w:val="Telotextu"/>
        <w:tabs>
          <w:tab w:val="clear" w:pos="720"/>
          <w:tab w:val="left" w:pos="9781" w:leader="none"/>
        </w:tabs>
        <w:spacing w:before="9" w:after="0"/>
        <w:jc w:val="both"/>
        <w:rPr>
          <w:sz w:val="21"/>
        </w:rPr>
      </w:pPr>
      <w:r>
        <w:rPr>
          <w:sz w:val="21"/>
        </w:rPr>
      </w:r>
    </w:p>
    <w:p>
      <w:pPr>
        <w:pStyle w:val="Nadpis1"/>
        <w:numPr>
          <w:ilvl w:val="0"/>
          <w:numId w:val="9"/>
        </w:numPr>
        <w:tabs>
          <w:tab w:val="clear" w:pos="720"/>
          <w:tab w:val="left" w:pos="9781" w:leader="none"/>
        </w:tabs>
        <w:ind w:left="284" w:hanging="288"/>
        <w:jc w:val="both"/>
        <w:rPr>
          <w:sz w:val="24"/>
        </w:rPr>
      </w:pPr>
      <w:r>
        <w:rPr>
          <w:sz w:val="24"/>
        </w:rPr>
        <w:t>V časti o výnosoch sa uvádzajú tieto informácie:</w:t>
      </w:r>
    </w:p>
    <w:p>
      <w:pPr>
        <w:pStyle w:val="Telotextu"/>
        <w:tabs>
          <w:tab w:val="clear" w:pos="720"/>
          <w:tab w:val="left" w:pos="9781" w:leader="none"/>
        </w:tabs>
        <w:spacing w:before="10" w:after="0"/>
        <w:jc w:val="both"/>
        <w:rPr>
          <w:b/>
          <w:b/>
          <w:sz w:val="21"/>
        </w:rPr>
      </w:pPr>
      <w:r>
        <w:rPr>
          <w:b/>
          <w:sz w:val="21"/>
        </w:rPr>
      </w:r>
    </w:p>
    <w:p>
      <w:pPr>
        <w:pStyle w:val="ListParagraph"/>
        <w:numPr>
          <w:ilvl w:val="1"/>
          <w:numId w:val="9"/>
        </w:numPr>
        <w:tabs>
          <w:tab w:val="clear" w:pos="720"/>
          <w:tab w:val="left" w:pos="426" w:leader="none"/>
          <w:tab w:val="left" w:pos="9781" w:leader="none"/>
        </w:tabs>
        <w:spacing w:before="1" w:after="0"/>
        <w:ind w:left="426" w:right="575" w:hanging="284"/>
        <w:jc w:val="both"/>
        <w:rPr/>
      </w:pPr>
      <w:r>
        <w:rPr/>
        <w:t>sumy tržieb za vlastné výkony a tovar s uvedením ich opisu a hodnoty tržieb podľa jednotlivých  typov výrobkov a služieb účtovnej jednotky a hlavných oblastí</w:t>
      </w:r>
      <w:r>
        <w:rPr>
          <w:spacing w:val="-8"/>
        </w:rPr>
        <w:t xml:space="preserve"> </w:t>
      </w:r>
      <w:r>
        <w:rPr/>
        <w:t>odbytu,</w:t>
      </w:r>
    </w:p>
    <w:p>
      <w:pPr>
        <w:pStyle w:val="ListParagraph"/>
        <w:numPr>
          <w:ilvl w:val="1"/>
          <w:numId w:val="9"/>
        </w:numPr>
        <w:tabs>
          <w:tab w:val="clear" w:pos="720"/>
          <w:tab w:val="left" w:pos="426" w:leader="none"/>
          <w:tab w:val="left" w:pos="9781" w:leader="none"/>
        </w:tabs>
        <w:ind w:left="426" w:right="570" w:hanging="284"/>
        <w:jc w:val="both"/>
        <w:rPr/>
      </w:pPr>
      <w:r>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w:t>
      </w:r>
      <w:r>
        <w:rPr>
          <w:spacing w:val="-3"/>
        </w:rPr>
        <w:t xml:space="preserve"> </w:t>
      </w:r>
      <w:r>
        <w:rPr/>
        <w:t>dary,</w:t>
      </w:r>
    </w:p>
    <w:p>
      <w:pPr>
        <w:pStyle w:val="ListParagraph"/>
        <w:numPr>
          <w:ilvl w:val="1"/>
          <w:numId w:val="9"/>
        </w:numPr>
        <w:tabs>
          <w:tab w:val="clear" w:pos="720"/>
          <w:tab w:val="left" w:pos="426" w:leader="none"/>
          <w:tab w:val="left" w:pos="9781" w:leader="none"/>
        </w:tabs>
        <w:spacing w:lineRule="exact" w:line="252"/>
        <w:ind w:left="426" w:hanging="284"/>
        <w:jc w:val="both"/>
        <w:rPr/>
      </w:pPr>
      <w:r>
        <w:rPr/>
        <w:t>opis a suma významných položiek výnosov pri aktivácii</w:t>
      </w:r>
      <w:r>
        <w:rPr>
          <w:spacing w:val="-5"/>
        </w:rPr>
        <w:t xml:space="preserve"> </w:t>
      </w:r>
      <w:r>
        <w:rPr/>
        <w:t>nákladov,</w:t>
      </w:r>
    </w:p>
    <w:p>
      <w:pPr>
        <w:pStyle w:val="ListParagraph"/>
        <w:numPr>
          <w:ilvl w:val="1"/>
          <w:numId w:val="9"/>
        </w:numPr>
        <w:tabs>
          <w:tab w:val="clear" w:pos="720"/>
          <w:tab w:val="left" w:pos="426" w:leader="none"/>
          <w:tab w:val="left" w:pos="9781" w:leader="none"/>
        </w:tabs>
        <w:spacing w:lineRule="exact" w:line="252"/>
        <w:ind w:left="426" w:hanging="284"/>
        <w:jc w:val="both"/>
        <w:rPr/>
      </w:pPr>
      <w:r>
        <w:rPr/>
        <w:t>opis a suma ostatných významných položiek výnosov z hospodárskej</w:t>
      </w:r>
      <w:r>
        <w:rPr>
          <w:spacing w:val="-9"/>
        </w:rPr>
        <w:t xml:space="preserve"> </w:t>
      </w:r>
      <w:r>
        <w:rPr/>
        <w:t>činnosti,</w:t>
      </w:r>
    </w:p>
    <w:p>
      <w:pPr>
        <w:pStyle w:val="ListParagraph"/>
        <w:numPr>
          <w:ilvl w:val="1"/>
          <w:numId w:val="9"/>
        </w:numPr>
        <w:tabs>
          <w:tab w:val="clear" w:pos="720"/>
          <w:tab w:val="left" w:pos="426" w:leader="none"/>
          <w:tab w:val="left" w:pos="9781" w:leader="none"/>
        </w:tabs>
        <w:ind w:left="426" w:right="572" w:hanging="284"/>
        <w:jc w:val="both"/>
        <w:rPr/>
      </w:pPr>
      <w:r>
        <w:rPr/>
        <w:t>opis a suma významných položiek finančných výnosov a celková suma kurzových ziskov; osobitne sa</w:t>
      </w:r>
      <w:r>
        <w:rPr>
          <w:spacing w:val="-2"/>
        </w:rPr>
        <w:t xml:space="preserve"> </w:t>
      </w:r>
      <w:r>
        <w:rPr/>
        <w:t>uvádza</w:t>
      </w:r>
      <w:r>
        <w:rPr>
          <w:spacing w:val="-5"/>
        </w:rPr>
        <w:t xml:space="preserve"> </w:t>
      </w:r>
      <w:r>
        <w:rPr/>
        <w:t>hodnota</w:t>
      </w:r>
      <w:r>
        <w:rPr>
          <w:spacing w:val="-2"/>
        </w:rPr>
        <w:t xml:space="preserve"> </w:t>
      </w:r>
      <w:r>
        <w:rPr/>
        <w:t>kurzových</w:t>
      </w:r>
      <w:r>
        <w:rPr>
          <w:spacing w:val="-5"/>
        </w:rPr>
        <w:t xml:space="preserve"> </w:t>
      </w:r>
      <w:r>
        <w:rPr/>
        <w:t>ziskov</w:t>
      </w:r>
      <w:r>
        <w:rPr>
          <w:spacing w:val="-2"/>
        </w:rPr>
        <w:t xml:space="preserve"> </w:t>
      </w:r>
      <w:r>
        <w:rPr/>
        <w:t>účtovaná</w:t>
      </w:r>
      <w:r>
        <w:rPr>
          <w:spacing w:val="-4"/>
        </w:rPr>
        <w:t xml:space="preserve"> </w:t>
      </w:r>
      <w:r>
        <w:rPr/>
        <w:t>ku</w:t>
      </w:r>
      <w:r>
        <w:rPr>
          <w:spacing w:val="-1"/>
        </w:rPr>
        <w:t xml:space="preserve"> </w:t>
      </w:r>
      <w:r>
        <w:rPr/>
        <w:t>dňu,</w:t>
      </w:r>
      <w:r>
        <w:rPr>
          <w:spacing w:val="-4"/>
        </w:rPr>
        <w:t xml:space="preserve"> </w:t>
      </w:r>
      <w:r>
        <w:rPr/>
        <w:t>ku</w:t>
      </w:r>
      <w:r>
        <w:rPr>
          <w:spacing w:val="-5"/>
        </w:rPr>
        <w:t xml:space="preserve"> </w:t>
      </w:r>
      <w:r>
        <w:rPr/>
        <w:t>ktorému</w:t>
      </w:r>
      <w:r>
        <w:rPr>
          <w:spacing w:val="-2"/>
        </w:rPr>
        <w:t xml:space="preserve"> </w:t>
      </w:r>
      <w:r>
        <w:rPr/>
        <w:t>sa</w:t>
      </w:r>
      <w:r>
        <w:rPr>
          <w:spacing w:val="-2"/>
        </w:rPr>
        <w:t xml:space="preserve"> </w:t>
      </w:r>
      <w:r>
        <w:rPr/>
        <w:t>zostavuje</w:t>
      </w:r>
      <w:r>
        <w:rPr>
          <w:spacing w:val="-2"/>
        </w:rPr>
        <w:t xml:space="preserve"> </w:t>
      </w:r>
      <w:r>
        <w:rPr/>
        <w:t>účtovná</w:t>
      </w:r>
      <w:r>
        <w:rPr>
          <w:spacing w:val="-2"/>
        </w:rPr>
        <w:t xml:space="preserve"> </w:t>
      </w:r>
      <w:r>
        <w:rPr/>
        <w:t>závierka,</w:t>
      </w:r>
    </w:p>
    <w:p>
      <w:pPr>
        <w:pStyle w:val="ListParagraph"/>
        <w:numPr>
          <w:ilvl w:val="1"/>
          <w:numId w:val="9"/>
        </w:numPr>
        <w:tabs>
          <w:tab w:val="clear" w:pos="720"/>
          <w:tab w:val="left" w:pos="426" w:leader="none"/>
          <w:tab w:val="left" w:pos="9781" w:leader="none"/>
        </w:tabs>
        <w:ind w:left="426" w:right="569" w:hanging="284"/>
        <w:jc w:val="both"/>
        <w:rPr/>
      </w:pPr>
      <w:r>
        <w:rPr/>
        <w:t xml:space="preserve">suma položiek </w:t>
      </w:r>
      <w:r>
        <w:rPr>
          <w:b/>
        </w:rPr>
        <w:t>výnosov, ktoré majú výnimočný rozsah alebo výskyt</w:t>
      </w:r>
      <w:r>
        <w:rPr/>
        <w:t>, týkajúcich sa bežného účtovného obdobia a ich opis a suma položiek mimoriadnych výnosov týkajúcich sa predchádzajúcich účtovných období a ich</w:t>
      </w:r>
      <w:r>
        <w:rPr>
          <w:spacing w:val="-9"/>
        </w:rPr>
        <w:t xml:space="preserve"> </w:t>
      </w:r>
      <w:r>
        <w:rPr/>
        <w:t>opis,</w:t>
      </w:r>
    </w:p>
    <w:p>
      <w:pPr>
        <w:pStyle w:val="ListParagraph"/>
        <w:numPr>
          <w:ilvl w:val="1"/>
          <w:numId w:val="9"/>
        </w:numPr>
        <w:tabs>
          <w:tab w:val="clear" w:pos="720"/>
          <w:tab w:val="left" w:pos="426" w:leader="none"/>
          <w:tab w:val="left" w:pos="9781" w:leader="none"/>
        </w:tabs>
        <w:ind w:left="426" w:right="570" w:hanging="284"/>
        <w:jc w:val="both"/>
        <w:rPr/>
      </w:pPr>
      <w:r>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w:t>
      </w:r>
      <w:r>
        <w:rPr>
          <w:spacing w:val="-21"/>
        </w:rPr>
        <w:t xml:space="preserve"> </w:t>
      </w:r>
      <w:r>
        <w:rPr/>
        <w:t>majetku.</w:t>
      </w:r>
    </w:p>
    <w:p>
      <w:pPr>
        <w:pStyle w:val="Normal"/>
        <w:tabs>
          <w:tab w:val="clear" w:pos="720"/>
          <w:tab w:val="left" w:pos="9781" w:leader="none"/>
        </w:tabs>
        <w:jc w:val="both"/>
        <w:rPr/>
      </w:pPr>
      <w:r>
        <w:rPr/>
      </w:r>
    </w:p>
    <w:p>
      <w:pPr>
        <w:pStyle w:val="Nadpis1"/>
        <w:numPr>
          <w:ilvl w:val="0"/>
          <w:numId w:val="9"/>
        </w:numPr>
        <w:tabs>
          <w:tab w:val="clear" w:pos="720"/>
          <w:tab w:val="left" w:pos="9781" w:leader="none"/>
        </w:tabs>
        <w:ind w:left="284" w:hanging="288"/>
        <w:jc w:val="both"/>
        <w:rPr>
          <w:sz w:val="24"/>
        </w:rPr>
      </w:pPr>
      <w:r>
        <w:rPr>
          <w:sz w:val="24"/>
        </w:rPr>
        <w:t>V časti o nákladoch sa uvádzajú tieto informácie:</w:t>
      </w:r>
    </w:p>
    <w:p>
      <w:pPr>
        <w:pStyle w:val="Telotextu"/>
        <w:tabs>
          <w:tab w:val="clear" w:pos="720"/>
          <w:tab w:val="left" w:pos="9781" w:leader="none"/>
        </w:tabs>
        <w:spacing w:before="2" w:after="0"/>
        <w:jc w:val="both"/>
        <w:rPr>
          <w:b/>
          <w:b/>
        </w:rPr>
      </w:pPr>
      <w:r>
        <w:rPr>
          <w:b/>
        </w:rPr>
      </w:r>
    </w:p>
    <w:p>
      <w:pPr>
        <w:pStyle w:val="ListParagraph"/>
        <w:numPr>
          <w:ilvl w:val="1"/>
          <w:numId w:val="9"/>
        </w:numPr>
        <w:tabs>
          <w:tab w:val="clear" w:pos="720"/>
          <w:tab w:val="left" w:pos="426" w:leader="none"/>
          <w:tab w:val="left" w:pos="1418" w:leader="none"/>
          <w:tab w:val="left" w:pos="9781" w:leader="none"/>
        </w:tabs>
        <w:ind w:left="426" w:hanging="284"/>
        <w:jc w:val="both"/>
        <w:rPr/>
      </w:pPr>
      <w:r>
        <w:rPr/>
        <w:t>opis a suma významných položiek nákladov za poskytnuté</w:t>
      </w:r>
      <w:r>
        <w:rPr>
          <w:spacing w:val="-9"/>
        </w:rPr>
        <w:t xml:space="preserve"> </w:t>
      </w:r>
      <w:r>
        <w:rPr/>
        <w:t>služby,</w:t>
      </w:r>
    </w:p>
    <w:p>
      <w:pPr>
        <w:pStyle w:val="ListParagraph"/>
        <w:numPr>
          <w:ilvl w:val="1"/>
          <w:numId w:val="9"/>
        </w:numPr>
        <w:tabs>
          <w:tab w:val="clear" w:pos="720"/>
          <w:tab w:val="left" w:pos="426" w:leader="none"/>
          <w:tab w:val="left" w:pos="1418" w:leader="none"/>
          <w:tab w:val="left" w:pos="9781" w:leader="none"/>
        </w:tabs>
        <w:spacing w:lineRule="exact" w:line="252"/>
        <w:ind w:left="426" w:hanging="284"/>
        <w:jc w:val="both"/>
        <w:rPr/>
      </w:pPr>
      <w:r>
        <w:rPr/>
        <w:t>opis a suma významných položiek ostatných nákladov z hospodárskej</w:t>
      </w:r>
      <w:r>
        <w:rPr>
          <w:spacing w:val="-10"/>
        </w:rPr>
        <w:t xml:space="preserve"> </w:t>
      </w:r>
      <w:r>
        <w:rPr/>
        <w:t>činnosti,</w:t>
      </w:r>
    </w:p>
    <w:p>
      <w:pPr>
        <w:pStyle w:val="ListParagraph"/>
        <w:numPr>
          <w:ilvl w:val="1"/>
          <w:numId w:val="9"/>
        </w:numPr>
        <w:tabs>
          <w:tab w:val="clear" w:pos="720"/>
          <w:tab w:val="left" w:pos="426" w:leader="none"/>
          <w:tab w:val="left" w:pos="1418" w:leader="none"/>
          <w:tab w:val="left" w:pos="9781" w:leader="none"/>
        </w:tabs>
        <w:ind w:left="426" w:right="571" w:hanging="284"/>
        <w:jc w:val="both"/>
        <w:rPr/>
      </w:pPr>
      <w:r>
        <w:rPr/>
        <w:t>opis a suma významných položiek finančných nákladov a celková suma kurzových strát; osobitne sa uvádza suma kurzových strát účtovaná ku dňu, ku ktorému sa zostavuje účtovná</w:t>
      </w:r>
      <w:r>
        <w:rPr>
          <w:spacing w:val="-24"/>
        </w:rPr>
        <w:t xml:space="preserve"> </w:t>
      </w:r>
      <w:r>
        <w:rPr/>
        <w:t>závierka,</w:t>
      </w:r>
    </w:p>
    <w:p>
      <w:pPr>
        <w:pStyle w:val="ListParagraph"/>
        <w:numPr>
          <w:ilvl w:val="1"/>
          <w:numId w:val="9"/>
        </w:numPr>
        <w:tabs>
          <w:tab w:val="clear" w:pos="720"/>
          <w:tab w:val="left" w:pos="426" w:leader="none"/>
          <w:tab w:val="left" w:pos="1418" w:leader="none"/>
          <w:tab w:val="left" w:pos="9781" w:leader="none"/>
        </w:tabs>
        <w:spacing w:before="1" w:after="0"/>
        <w:ind w:left="426" w:right="570" w:hanging="284"/>
        <w:jc w:val="both"/>
        <w:rPr/>
      </w:pPr>
      <w:r>
        <w:rPr/>
        <w:t xml:space="preserve">opis a suma položiek </w:t>
      </w:r>
      <w:r>
        <w:rPr>
          <w:b/>
        </w:rPr>
        <w:t xml:space="preserve">nákladov, ktoré majú výnimočný rozsah alebo výskyt, </w:t>
      </w:r>
      <w:r>
        <w:rPr/>
        <w:t>týkajúcich sa bežného účtovného obdobia a položiek mimoriadnych nákladov týkajúcich sa predchádzajúcich účtovných</w:t>
      </w:r>
      <w:r>
        <w:rPr>
          <w:spacing w:val="-4"/>
        </w:rPr>
        <w:t xml:space="preserve"> </w:t>
      </w:r>
      <w:r>
        <w:rPr/>
        <w:t>období,</w:t>
      </w:r>
    </w:p>
    <w:p>
      <w:pPr>
        <w:pStyle w:val="ListParagraph"/>
        <w:numPr>
          <w:ilvl w:val="1"/>
          <w:numId w:val="9"/>
        </w:numPr>
        <w:tabs>
          <w:tab w:val="clear" w:pos="720"/>
          <w:tab w:val="left" w:pos="426" w:leader="none"/>
          <w:tab w:val="left" w:pos="1418" w:leader="none"/>
          <w:tab w:val="left" w:pos="9781" w:leader="none"/>
        </w:tabs>
        <w:ind w:left="426" w:right="574" w:hanging="284"/>
        <w:jc w:val="both"/>
        <w:rPr/>
      </w:pPr>
      <w:r>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w:t>
      </w:r>
      <w:r>
        <w:rPr>
          <w:spacing w:val="-5"/>
        </w:rPr>
        <w:t xml:space="preserve"> </w:t>
      </w:r>
      <w:r>
        <w:rPr/>
        <w:t>spoločnosťou.</w:t>
      </w:r>
    </w:p>
    <w:p>
      <w:pPr>
        <w:pStyle w:val="Telotextu"/>
        <w:tabs>
          <w:tab w:val="clear" w:pos="720"/>
          <w:tab w:val="left" w:pos="9781" w:leader="none"/>
        </w:tabs>
        <w:spacing w:before="11" w:after="0"/>
        <w:jc w:val="both"/>
        <w:rPr>
          <w:sz w:val="21"/>
        </w:rPr>
      </w:pPr>
      <w:r>
        <w:rPr>
          <w:sz w:val="21"/>
        </w:rPr>
      </w:r>
    </w:p>
    <w:p>
      <w:pPr>
        <w:pStyle w:val="Nadpis1"/>
        <w:numPr>
          <w:ilvl w:val="0"/>
          <w:numId w:val="9"/>
        </w:numPr>
        <w:tabs>
          <w:tab w:val="clear" w:pos="720"/>
          <w:tab w:val="left" w:pos="9781" w:leader="none"/>
        </w:tabs>
        <w:ind w:left="284" w:hanging="288"/>
        <w:jc w:val="both"/>
        <w:rPr>
          <w:sz w:val="24"/>
        </w:rPr>
      </w:pPr>
      <w:r>
        <w:rPr>
          <w:sz w:val="24"/>
        </w:rPr>
        <w:t>V časti o daniach z príjmov sa uvádzajú informácie o</w:t>
      </w:r>
    </w:p>
    <w:p>
      <w:pPr>
        <w:pStyle w:val="ListParagraph"/>
        <w:numPr>
          <w:ilvl w:val="1"/>
          <w:numId w:val="9"/>
        </w:numPr>
        <w:tabs>
          <w:tab w:val="clear" w:pos="720"/>
          <w:tab w:val="left" w:pos="426" w:leader="none"/>
          <w:tab w:val="left" w:pos="9781" w:leader="none"/>
        </w:tabs>
        <w:ind w:left="426" w:right="574" w:hanging="284"/>
        <w:jc w:val="both"/>
        <w:rPr/>
      </w:pPr>
      <w:r>
        <w:rPr/>
        <w:t>sume odložených daní z príjmov účtovaných v bežnom účtovnom období ako náklad alebo výnos vyplývajúcej zo zmeny sadzby dane z</w:t>
      </w:r>
      <w:r>
        <w:rPr>
          <w:spacing w:val="-11"/>
        </w:rPr>
        <w:t xml:space="preserve"> </w:t>
      </w:r>
      <w:r>
        <w:rPr/>
        <w:t>príjmov,</w:t>
      </w:r>
    </w:p>
    <w:p>
      <w:pPr>
        <w:pStyle w:val="ListParagraph"/>
        <w:numPr>
          <w:ilvl w:val="1"/>
          <w:numId w:val="9"/>
        </w:numPr>
        <w:tabs>
          <w:tab w:val="clear" w:pos="720"/>
          <w:tab w:val="left" w:pos="426" w:leader="none"/>
          <w:tab w:val="left" w:pos="9781" w:leader="none"/>
        </w:tabs>
        <w:spacing w:before="1" w:after="0"/>
        <w:ind w:left="426" w:right="571" w:hanging="284"/>
        <w:jc w:val="both"/>
        <w:rPr/>
      </w:pPr>
      <w:r>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w:t>
      </w:r>
      <w:r>
        <w:rPr>
          <w:spacing w:val="-7"/>
        </w:rPr>
        <w:t xml:space="preserve"> </w:t>
      </w:r>
      <w:r>
        <w:rPr/>
        <w:t>neúčtovala,</w:t>
      </w:r>
    </w:p>
    <w:p>
      <w:pPr>
        <w:pStyle w:val="ListParagraph"/>
        <w:numPr>
          <w:ilvl w:val="1"/>
          <w:numId w:val="9"/>
        </w:numPr>
        <w:tabs>
          <w:tab w:val="clear" w:pos="720"/>
          <w:tab w:val="left" w:pos="426" w:leader="none"/>
          <w:tab w:val="left" w:pos="9781" w:leader="none"/>
        </w:tabs>
        <w:spacing w:before="1" w:after="0"/>
        <w:ind w:left="426" w:right="572" w:hanging="284"/>
        <w:jc w:val="both"/>
        <w:rPr/>
      </w:pPr>
      <w:r>
        <w:rPr/>
        <w:t>sume odloženého daňového záväzku, ktorý vznikol z dôvodu neúčtovania tej časti odloženej daňovej pohľadávky v bežnom účtovnom období, o ktorej sa účtovalo v predchádzajúcich účtovných obdobiach,</w:t>
      </w:r>
    </w:p>
    <w:p>
      <w:pPr>
        <w:pStyle w:val="ListParagraph"/>
        <w:numPr>
          <w:ilvl w:val="1"/>
          <w:numId w:val="9"/>
        </w:numPr>
        <w:tabs>
          <w:tab w:val="clear" w:pos="720"/>
          <w:tab w:val="left" w:pos="426" w:leader="none"/>
          <w:tab w:val="left" w:pos="9781" w:leader="none"/>
        </w:tabs>
        <w:ind w:left="426" w:right="570" w:hanging="284"/>
        <w:jc w:val="both"/>
        <w:rPr/>
      </w:pPr>
      <w:r>
        <w:rPr/>
        <w:t>sume neuplatneného umorenia  daňovej  straty,  nevyužitých  daňových  odpočtov  a iných  nárokov a odpočítateľných dočasných rozdielov, ku ktorým nebola účtovaná odložená daňová</w:t>
      </w:r>
      <w:r>
        <w:rPr>
          <w:spacing w:val="-35"/>
        </w:rPr>
        <w:t xml:space="preserve"> </w:t>
      </w:r>
      <w:r>
        <w:rPr/>
        <w:t>pohľadávka,</w:t>
      </w:r>
    </w:p>
    <w:p>
      <w:pPr>
        <w:pStyle w:val="ListParagraph"/>
        <w:numPr>
          <w:ilvl w:val="1"/>
          <w:numId w:val="9"/>
        </w:numPr>
        <w:tabs>
          <w:tab w:val="clear" w:pos="720"/>
          <w:tab w:val="left" w:pos="426" w:leader="none"/>
          <w:tab w:val="left" w:pos="9781" w:leader="none"/>
        </w:tabs>
        <w:spacing w:lineRule="auto" w:line="240"/>
        <w:ind w:left="426" w:right="573" w:hanging="284"/>
        <w:jc w:val="both"/>
        <w:rPr/>
      </w:pPr>
      <w:r>
        <w:rPr/>
        <w:t>odloženej dani z príjmov, ktorá sa vzťahuje k položkám účtovaným priamo na účty vlastného imania bez účtovania na účty nákladov a</w:t>
      </w:r>
      <w:r>
        <w:rPr>
          <w:spacing w:val="1"/>
        </w:rPr>
        <w:t xml:space="preserve"> </w:t>
      </w:r>
      <w:r>
        <w:rPr/>
        <w:t>výnosov,</w:t>
      </w:r>
    </w:p>
    <w:p>
      <w:pPr>
        <w:pStyle w:val="ListParagraph"/>
        <w:numPr>
          <w:ilvl w:val="1"/>
          <w:numId w:val="9"/>
        </w:numPr>
        <w:tabs>
          <w:tab w:val="clear" w:pos="720"/>
          <w:tab w:val="left" w:pos="426" w:leader="none"/>
          <w:tab w:val="left" w:pos="9781" w:leader="none"/>
        </w:tabs>
        <w:ind w:left="426" w:right="570" w:hanging="284"/>
        <w:jc w:val="both"/>
        <w:rPr/>
      </w:pPr>
      <w:r>
        <w:rPr/>
        <w:t>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w:t>
      </w:r>
      <w:r>
        <w:rPr>
          <w:spacing w:val="-1"/>
        </w:rPr>
        <w:t xml:space="preserve"> </w:t>
      </w:r>
      <w:r>
        <w:rPr/>
        <w:t>príjmov,</w:t>
      </w:r>
    </w:p>
    <w:p>
      <w:pPr>
        <w:pStyle w:val="ListParagraph"/>
        <w:numPr>
          <w:ilvl w:val="1"/>
          <w:numId w:val="9"/>
        </w:numPr>
        <w:tabs>
          <w:tab w:val="clear" w:pos="720"/>
          <w:tab w:val="left" w:pos="426" w:leader="none"/>
          <w:tab w:val="left" w:pos="9781" w:leader="none"/>
        </w:tabs>
        <w:ind w:left="426" w:hanging="284"/>
        <w:jc w:val="both"/>
        <w:rPr/>
      </w:pPr>
      <w:r>
        <w:rPr/>
        <w:t>zmene sadzby dane z</w:t>
      </w:r>
      <w:r>
        <w:rPr>
          <w:spacing w:val="-5"/>
        </w:rPr>
        <w:t xml:space="preserve"> </w:t>
      </w:r>
      <w:r>
        <w:rPr/>
        <w:t>príjmov.</w:t>
      </w:r>
    </w:p>
    <w:p>
      <w:pPr>
        <w:pStyle w:val="Telotextu"/>
        <w:tabs>
          <w:tab w:val="clear" w:pos="720"/>
          <w:tab w:val="left" w:pos="9781" w:leader="none"/>
        </w:tabs>
        <w:spacing w:before="6" w:after="0"/>
        <w:jc w:val="both"/>
        <w:rPr>
          <w:sz w:val="21"/>
        </w:rPr>
      </w:pPr>
      <w:r>
        <w:rPr>
          <w:sz w:val="21"/>
        </w:rPr>
      </w:r>
    </w:p>
    <w:p>
      <w:pPr>
        <w:pStyle w:val="Nadpis1"/>
        <w:numPr>
          <w:ilvl w:val="0"/>
          <w:numId w:val="9"/>
        </w:numPr>
        <w:tabs>
          <w:tab w:val="clear" w:pos="720"/>
          <w:tab w:val="left" w:pos="9781" w:leader="none"/>
        </w:tabs>
        <w:ind w:left="284" w:hanging="288"/>
        <w:jc w:val="both"/>
        <w:rPr>
          <w:b w:val="false"/>
          <w:b w:val="false"/>
        </w:rPr>
      </w:pPr>
      <w:r>
        <w:rPr>
          <w:sz w:val="24"/>
        </w:rPr>
        <w:t xml:space="preserve">V časti o údajoch na podsúvahových účtoch </w:t>
      </w:r>
      <w:r>
        <w:rPr>
          <w:b w:val="false"/>
        </w:rPr>
        <w:t>sa uvádzajú informácie o významných položkách  prenajatého majetku, majetku prijatého do úschovy, o pohľadávkach a záväzkoch z opcií, o odpísaných pohľadávkach a pohľadávkach a záväzkoch z lízingu.</w:t>
      </w:r>
    </w:p>
    <w:p>
      <w:pPr>
        <w:pStyle w:val="Telotextu"/>
        <w:tabs>
          <w:tab w:val="clear" w:pos="720"/>
          <w:tab w:val="left" w:pos="9781" w:leader="none"/>
        </w:tabs>
        <w:jc w:val="both"/>
        <w:rPr/>
      </w:pPr>
      <w:r>
        <w:rPr/>
      </w:r>
    </w:p>
    <w:p>
      <w:pPr>
        <w:pStyle w:val="Nadpis1"/>
        <w:numPr>
          <w:ilvl w:val="0"/>
          <w:numId w:val="9"/>
        </w:numPr>
        <w:tabs>
          <w:tab w:val="clear" w:pos="720"/>
          <w:tab w:val="left" w:pos="9781" w:leader="none"/>
        </w:tabs>
        <w:ind w:left="284" w:hanging="288"/>
        <w:jc w:val="both"/>
        <w:rPr>
          <w:sz w:val="24"/>
          <w:szCs w:val="24"/>
        </w:rPr>
      </w:pPr>
      <w:r>
        <w:rPr>
          <w:sz w:val="24"/>
          <w:szCs w:val="24"/>
        </w:rPr>
        <w:t>V časti o iných aktívach a iných pasívach sa uvádzajú tieto informácie:</w:t>
      </w:r>
    </w:p>
    <w:p>
      <w:pPr>
        <w:pStyle w:val="ListParagraph"/>
        <w:numPr>
          <w:ilvl w:val="1"/>
          <w:numId w:val="9"/>
        </w:numPr>
        <w:tabs>
          <w:tab w:val="clear" w:pos="720"/>
          <w:tab w:val="left" w:pos="426" w:leader="none"/>
          <w:tab w:val="left" w:pos="9781" w:leader="none"/>
        </w:tabs>
        <w:spacing w:before="1" w:after="0"/>
        <w:ind w:left="426" w:right="572" w:hanging="284"/>
        <w:jc w:val="both"/>
        <w:rPr/>
      </w:pPr>
      <w:r>
        <w:rPr/>
        <w:t>opis a hodnota podmienených záväzkov vyplývajúcich zo súdnych rozhodnutí, z poskytnutých záruk, zo všeobecne záväzných právnych predpisov, zo zmlúv o podriadenom záväzku</w:t>
      </w:r>
      <w:r>
        <w:rPr>
          <w:position w:val="6"/>
          <w:sz w:val="14"/>
        </w:rPr>
        <w:t>1cb</w:t>
      </w:r>
      <w:r>
        <w:rPr/>
        <w:t>), z ručenia podľa jednotlivých druhov ručenia a podobne; takýmito podmienenými záväzkami</w:t>
      </w:r>
      <w:r>
        <w:rPr>
          <w:spacing w:val="-16"/>
        </w:rPr>
        <w:t xml:space="preserve"> </w:t>
      </w:r>
      <w:r>
        <w:rPr/>
        <w:t>sú</w:t>
      </w:r>
    </w:p>
    <w:p>
      <w:pPr>
        <w:pStyle w:val="ListParagraph"/>
        <w:numPr>
          <w:ilvl w:val="2"/>
          <w:numId w:val="9"/>
        </w:numPr>
        <w:tabs>
          <w:tab w:val="clear" w:pos="720"/>
          <w:tab w:val="left" w:pos="851" w:leader="none"/>
          <w:tab w:val="left" w:pos="9781" w:leader="none"/>
        </w:tabs>
        <w:spacing w:before="76" w:after="0"/>
        <w:ind w:left="851" w:right="571" w:hanging="358"/>
        <w:jc w:val="both"/>
        <w:rPr/>
      </w:pPr>
      <w:r>
        <w:rP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rPr/>
        <w:t>alebo</w:t>
      </w:r>
    </w:p>
    <w:p>
      <w:pPr>
        <w:pStyle w:val="ListParagraph"/>
        <w:numPr>
          <w:ilvl w:val="2"/>
          <w:numId w:val="9"/>
        </w:numPr>
        <w:tabs>
          <w:tab w:val="clear" w:pos="720"/>
          <w:tab w:val="left" w:pos="851" w:leader="none"/>
          <w:tab w:val="left" w:pos="9781" w:leader="none"/>
        </w:tabs>
        <w:ind w:left="851" w:right="579" w:hanging="358"/>
        <w:jc w:val="both"/>
        <w:rPr/>
      </w:pPr>
      <w:r>
        <w:rPr/>
        <w:t>existujúca povinnosť, ktorá vznikla ako dôsledok minulej udalosti, ale ktorá sa nevykazuje v súvahe,</w:t>
      </w:r>
      <w:r>
        <w:rPr>
          <w:spacing w:val="-1"/>
        </w:rPr>
        <w:t xml:space="preserve"> </w:t>
      </w:r>
      <w:r>
        <w:rPr/>
        <w:t>pretože</w:t>
      </w:r>
    </w:p>
    <w:p>
      <w:pPr>
        <w:pStyle w:val="Telotextu"/>
        <w:tabs>
          <w:tab w:val="clear" w:pos="720"/>
          <w:tab w:val="left" w:pos="9781" w:leader="none"/>
        </w:tabs>
        <w:ind w:left="1134" w:right="571" w:hanging="312"/>
        <w:jc w:val="both"/>
        <w:rPr/>
      </w:pPr>
      <w:r>
        <w:rPr/>
        <w:t>2a. nie je pravdepodobné, že na splnenie tejto povinnosti bude potrebný úbytok ekonomických úžitkov, alebo</w:t>
      </w:r>
    </w:p>
    <w:p>
      <w:pPr>
        <w:pStyle w:val="Telotextu"/>
        <w:tabs>
          <w:tab w:val="clear" w:pos="720"/>
          <w:tab w:val="left" w:pos="9781" w:leader="none"/>
        </w:tabs>
        <w:ind w:left="1134" w:right="571" w:hanging="312"/>
        <w:jc w:val="both"/>
        <w:rPr/>
      </w:pPr>
      <w:r>
        <w:rPr/>
        <w:t>2b. výška tejto povinnosti sa nedá spoľahlivo oceniť,</w:t>
      </w:r>
    </w:p>
    <w:p>
      <w:pPr>
        <w:pStyle w:val="ListParagraph"/>
        <w:numPr>
          <w:ilvl w:val="1"/>
          <w:numId w:val="9"/>
        </w:numPr>
        <w:tabs>
          <w:tab w:val="clear" w:pos="720"/>
          <w:tab w:val="left" w:pos="426" w:leader="none"/>
          <w:tab w:val="left" w:pos="9781" w:leader="none"/>
        </w:tabs>
        <w:spacing w:before="1" w:after="0"/>
        <w:ind w:left="426" w:right="572" w:hanging="284"/>
        <w:jc w:val="both"/>
        <w:rPr/>
      </w:pPr>
      <w:r>
        <w:rPr/>
        <w:t>opis a hodnota podmienených záväzkov podľa písmena a) voči spriazneným osobám, ktorými sú</w:t>
      </w:r>
    </w:p>
    <w:p>
      <w:pPr>
        <w:pStyle w:val="ListParagraph"/>
        <w:numPr>
          <w:ilvl w:val="2"/>
          <w:numId w:val="9"/>
        </w:numPr>
        <w:tabs>
          <w:tab w:val="clear" w:pos="720"/>
          <w:tab w:val="left" w:pos="851" w:leader="none"/>
          <w:tab w:val="left" w:pos="9781" w:leader="none"/>
        </w:tabs>
        <w:ind w:left="851" w:right="570" w:hanging="360"/>
        <w:jc w:val="both"/>
        <w:rPr/>
      </w:pPr>
      <w:r>
        <w:rP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rPr/>
        <w:t>jednotkami,</w:t>
      </w:r>
    </w:p>
    <w:p>
      <w:pPr>
        <w:pStyle w:val="ListParagraph"/>
        <w:numPr>
          <w:ilvl w:val="2"/>
          <w:numId w:val="9"/>
        </w:numPr>
        <w:tabs>
          <w:tab w:val="clear" w:pos="720"/>
          <w:tab w:val="left" w:pos="851" w:leader="none"/>
          <w:tab w:val="left" w:pos="9781" w:leader="none"/>
        </w:tabs>
        <w:spacing w:before="1" w:after="0"/>
        <w:ind w:left="851" w:right="572" w:hanging="360"/>
        <w:jc w:val="both"/>
        <w:rPr/>
      </w:pPr>
      <w:r>
        <w:rPr/>
        <w:t>právnické osoby, ktoré vykonávajú podstatný vplyv v účtovnej jednotke alebo je v nich vykonávaný podstatný vplyv účtovnou</w:t>
      </w:r>
      <w:r>
        <w:rPr>
          <w:spacing w:val="-2"/>
        </w:rPr>
        <w:t xml:space="preserve"> </w:t>
      </w:r>
      <w:r>
        <w:rPr/>
        <w:t>jednotkou,</w:t>
      </w:r>
    </w:p>
    <w:p>
      <w:pPr>
        <w:pStyle w:val="ListParagraph"/>
        <w:numPr>
          <w:ilvl w:val="2"/>
          <w:numId w:val="9"/>
        </w:numPr>
        <w:tabs>
          <w:tab w:val="clear" w:pos="720"/>
          <w:tab w:val="left" w:pos="851" w:leader="none"/>
          <w:tab w:val="left" w:pos="9781" w:leader="none"/>
        </w:tabs>
        <w:ind w:left="851" w:right="578" w:hanging="360"/>
        <w:jc w:val="both"/>
        <w:rPr/>
      </w:pPr>
      <w:r>
        <w:rPr/>
        <w:t>fyzické osoby, prostredníctvom ktorých vykonáva iná osoba v účtovnej jednotke podstatný vplyv,</w:t>
      </w:r>
    </w:p>
    <w:p>
      <w:pPr>
        <w:pStyle w:val="ListParagraph"/>
        <w:numPr>
          <w:ilvl w:val="2"/>
          <w:numId w:val="9"/>
        </w:numPr>
        <w:tabs>
          <w:tab w:val="clear" w:pos="720"/>
          <w:tab w:val="left" w:pos="851" w:leader="none"/>
          <w:tab w:val="left" w:pos="9781" w:leader="none"/>
        </w:tabs>
        <w:spacing w:before="1" w:after="0"/>
        <w:ind w:left="851" w:right="573" w:hanging="360"/>
        <w:jc w:val="both"/>
        <w:rPr/>
      </w:pPr>
      <w:r>
        <w:rP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rPr/>
        <w:t>osoby,</w:t>
      </w:r>
    </w:p>
    <w:p>
      <w:pPr>
        <w:pStyle w:val="ListParagraph"/>
        <w:numPr>
          <w:ilvl w:val="2"/>
          <w:numId w:val="9"/>
        </w:numPr>
        <w:tabs>
          <w:tab w:val="clear" w:pos="720"/>
          <w:tab w:val="left" w:pos="851" w:leader="none"/>
          <w:tab w:val="left" w:pos="9781" w:leader="none"/>
        </w:tabs>
        <w:ind w:left="851" w:right="572" w:hanging="360"/>
        <w:jc w:val="both"/>
        <w:rPr/>
      </w:pPr>
      <w:r>
        <w:rPr/>
        <w:t>právnické osoby, v ktorých fyzické osoby uvedené v treťom a štvrtom bode vykonávajú podstatný vplyv a to aj</w:t>
      </w:r>
      <w:r>
        <w:rPr>
          <w:spacing w:val="-4"/>
        </w:rPr>
        <w:t xml:space="preserve"> </w:t>
      </w:r>
      <w:r>
        <w:rPr/>
        <w:t>sprostredkovane,</w:t>
      </w:r>
    </w:p>
    <w:p>
      <w:pPr>
        <w:pStyle w:val="ListParagraph"/>
        <w:numPr>
          <w:ilvl w:val="2"/>
          <w:numId w:val="9"/>
        </w:numPr>
        <w:tabs>
          <w:tab w:val="clear" w:pos="720"/>
          <w:tab w:val="left" w:pos="851" w:leader="none"/>
          <w:tab w:val="left" w:pos="9781" w:leader="none"/>
        </w:tabs>
        <w:ind w:left="851" w:right="570" w:hanging="360"/>
        <w:jc w:val="both"/>
        <w:rPr/>
      </w:pPr>
      <w:r>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rPr/>
        <w:t>vplyv,</w:t>
      </w:r>
    </w:p>
    <w:p>
      <w:pPr>
        <w:pStyle w:val="ListParagraph"/>
        <w:numPr>
          <w:ilvl w:val="2"/>
          <w:numId w:val="9"/>
        </w:numPr>
        <w:tabs>
          <w:tab w:val="clear" w:pos="720"/>
          <w:tab w:val="left" w:pos="851" w:leader="none"/>
          <w:tab w:val="left" w:pos="9781" w:leader="none"/>
        </w:tabs>
        <w:ind w:left="851" w:right="573" w:hanging="360"/>
        <w:jc w:val="both"/>
        <w:rPr/>
      </w:pPr>
      <w:r>
        <w:rPr/>
        <w:t>osoby, ktoré poskytli účtovnej jednotke úver, a z tohto dôvodu sú schopné ovplyvniť ekonomické vzťahy s účtovnou</w:t>
      </w:r>
      <w:r>
        <w:rPr>
          <w:spacing w:val="-3"/>
        </w:rPr>
        <w:t xml:space="preserve"> </w:t>
      </w:r>
      <w:r>
        <w:rPr/>
        <w:t>jednotkou,</w:t>
      </w:r>
    </w:p>
    <w:p>
      <w:pPr>
        <w:pStyle w:val="ListParagraph"/>
        <w:numPr>
          <w:ilvl w:val="2"/>
          <w:numId w:val="9"/>
        </w:numPr>
        <w:tabs>
          <w:tab w:val="clear" w:pos="720"/>
          <w:tab w:val="left" w:pos="851" w:leader="none"/>
          <w:tab w:val="left" w:pos="9781" w:leader="none"/>
        </w:tabs>
        <w:ind w:left="851" w:right="577" w:hanging="360"/>
        <w:jc w:val="both"/>
        <w:rPr/>
      </w:pPr>
      <w:r>
        <w:rPr/>
        <w:t>osoby, s ktorými účtovná jednotka realizuje taký objem obchodov, že je od týchto osôb hospodársky</w:t>
      </w:r>
      <w:r>
        <w:rPr>
          <w:spacing w:val="-1"/>
        </w:rPr>
        <w:t xml:space="preserve"> </w:t>
      </w:r>
      <w:r>
        <w:rPr/>
        <w:t>závislá,</w:t>
      </w:r>
    </w:p>
    <w:p>
      <w:pPr>
        <w:pStyle w:val="Telotextu"/>
        <w:tabs>
          <w:tab w:val="clear" w:pos="720"/>
          <w:tab w:val="left" w:pos="9781" w:leader="none"/>
        </w:tabs>
        <w:spacing w:before="5" w:after="0"/>
        <w:jc w:val="both"/>
        <w:rPr>
          <w:sz w:val="20"/>
        </w:rPr>
      </w:pPr>
      <w:r>
        <w:rPr>
          <w:sz w:val="20"/>
        </w:rPr>
        <mc:AlternateContent>
          <mc:Choice Requires="wps">
            <w:drawing>
              <wp:anchor behindDoc="1" distT="0" distB="0" distL="0" distR="0" simplePos="0" locked="0" layoutInCell="0" allowOverlap="1" relativeHeight="52">
                <wp:simplePos x="0" y="0"/>
                <wp:positionH relativeFrom="page">
                  <wp:posOffset>901065</wp:posOffset>
                </wp:positionH>
                <wp:positionV relativeFrom="paragraph">
                  <wp:posOffset>173990</wp:posOffset>
                </wp:positionV>
                <wp:extent cx="1830705" cy="9525"/>
                <wp:effectExtent l="0" t="0" r="0" b="0"/>
                <wp:wrapTopAndBottom/>
                <wp:docPr id="1" name="Obrázok1"/>
                <a:graphic xmlns:a="http://schemas.openxmlformats.org/drawingml/2006/main">
                  <a:graphicData uri="http://schemas.microsoft.com/office/word/2010/wordprocessingShape">
                    <wps:wsp>
                      <wps:cNvSpPr/>
                      <wps:spPr>
                        <a:xfrm>
                          <a:off x="0" y="0"/>
                          <a:ext cx="1830240" cy="9000"/>
                        </a:xfrm>
                        <a:prstGeom prst="rect">
                          <a:avLst/>
                        </a:prstGeom>
                        <a:solidFill>
                          <a:srgbClr val="000000"/>
                        </a:solidFill>
                        <a:ln w="0">
                          <a:noFill/>
                        </a:ln>
                      </wps:spPr>
                      <wps:style>
                        <a:lnRef idx="0"/>
                        <a:fillRef idx="0"/>
                        <a:effectRef idx="0"/>
                        <a:fontRef idx="minor"/>
                      </wps:style>
                      <wps:bodyPr/>
                    </wps:wsp>
                  </a:graphicData>
                </a:graphic>
              </wp:anchor>
            </w:drawing>
          </mc:Choice>
          <mc:Fallback>
            <w:pict>
              <v:rect id="shape_0" ID="Obrázok1" path="m0,0l-2147483645,0l-2147483645,-2147483646l0,-2147483646xe" fillcolor="black" stroked="f" style="position:absolute;margin-left:70.95pt;margin-top:13.7pt;width:144.05pt;height:0.65pt;mso-wrap-style:none;v-text-anchor:middle;mso-position-horizontal-relative:page">
                <v:fill o:detectmouseclick="t" type="solid" color2="white"/>
                <v:stroke color="#3465a4" joinstyle="round" endcap="flat"/>
                <w10:wrap type="topAndBottom"/>
              </v:rect>
            </w:pict>
          </mc:Fallback>
        </mc:AlternateContent>
      </w:r>
    </w:p>
    <w:p>
      <w:pPr>
        <w:sectPr>
          <w:footerReference w:type="default" r:id="rId2"/>
          <w:type w:val="nextPage"/>
          <w:pgSz w:w="11906" w:h="16850"/>
          <w:pgMar w:left="1280" w:right="840" w:header="0" w:top="1340" w:footer="897" w:bottom="1080" w:gutter="0"/>
          <w:pgNumType w:fmt="decimal"/>
          <w:formProt w:val="false"/>
          <w:textDirection w:val="lrTb"/>
          <w:docGrid w:type="default" w:linePitch="100" w:charSpace="4096"/>
        </w:sectPr>
        <w:pStyle w:val="Normal"/>
        <w:tabs>
          <w:tab w:val="clear" w:pos="720"/>
          <w:tab w:val="left" w:pos="9781" w:leader="none"/>
        </w:tabs>
        <w:spacing w:before="76" w:after="0"/>
        <w:ind w:left="138" w:hanging="0"/>
        <w:jc w:val="both"/>
        <w:rPr>
          <w:b/>
          <w:b/>
          <w:sz w:val="20"/>
        </w:rPr>
      </w:pPr>
      <w:r>
        <w:rPr>
          <w:position w:val="5"/>
          <w:sz w:val="13"/>
        </w:rPr>
        <w:t xml:space="preserve">1cb) </w:t>
      </w:r>
      <w:r>
        <w:rPr>
          <w:sz w:val="20"/>
        </w:rPr>
        <w:t>Napríklad § 408a Obchodného zákonníka v znení neskorších predpisov</w:t>
      </w:r>
      <w:r>
        <w:rPr>
          <w:b/>
          <w:sz w:val="20"/>
        </w:rPr>
        <w:t>.</w:t>
      </w:r>
    </w:p>
    <w:p>
      <w:pPr>
        <w:pStyle w:val="ListParagraph"/>
        <w:numPr>
          <w:ilvl w:val="1"/>
          <w:numId w:val="9"/>
        </w:numPr>
        <w:tabs>
          <w:tab w:val="clear" w:pos="720"/>
          <w:tab w:val="left" w:pos="426" w:leader="none"/>
          <w:tab w:val="left" w:pos="9781" w:leader="none"/>
        </w:tabs>
        <w:ind w:left="426" w:right="569" w:hanging="284"/>
        <w:jc w:val="both"/>
        <w:rPr>
          <w:sz w:val="20"/>
        </w:rPr>
      </w:pPr>
      <w:r>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pPr>
        <w:pStyle w:val="Telotextu"/>
        <w:tabs>
          <w:tab w:val="clear" w:pos="720"/>
          <w:tab w:val="left" w:pos="9781" w:leader="none"/>
        </w:tabs>
        <w:spacing w:before="1" w:after="0"/>
        <w:jc w:val="both"/>
        <w:rPr>
          <w:sz w:val="20"/>
        </w:rPr>
      </w:pPr>
      <w:r>
        <w:rPr>
          <w:sz w:val="20"/>
        </w:rPr>
      </w:r>
    </w:p>
    <w:p>
      <w:pPr>
        <w:pStyle w:val="Nadpis1"/>
        <w:numPr>
          <w:ilvl w:val="0"/>
          <w:numId w:val="9"/>
        </w:numPr>
        <w:tabs>
          <w:tab w:val="clear" w:pos="720"/>
          <w:tab w:val="left" w:pos="9781" w:leader="none"/>
        </w:tabs>
        <w:ind w:left="284" w:hanging="288"/>
        <w:jc w:val="both"/>
        <w:rPr>
          <w:sz w:val="24"/>
          <w:szCs w:val="24"/>
        </w:rPr>
      </w:pPr>
      <w:r>
        <w:rPr>
          <w:sz w:val="24"/>
          <w:szCs w:val="24"/>
        </w:rPr>
        <w:t>V časti o príjmoch a výhodách členov štatutárneho orgánu, dozorného orgánu a iného orgánu účtovnej jednotky sa uvádzajú informácie o</w:t>
      </w:r>
    </w:p>
    <w:p>
      <w:pPr>
        <w:pStyle w:val="Telotextu"/>
        <w:tabs>
          <w:tab w:val="clear" w:pos="720"/>
          <w:tab w:val="left" w:pos="9781" w:leader="none"/>
        </w:tabs>
        <w:spacing w:before="10" w:after="0"/>
        <w:jc w:val="both"/>
        <w:rPr>
          <w:b/>
          <w:b/>
          <w:sz w:val="21"/>
        </w:rPr>
      </w:pPr>
      <w:r>
        <w:rPr>
          <w:b/>
          <w:sz w:val="21"/>
        </w:rPr>
      </w:r>
    </w:p>
    <w:p>
      <w:pPr>
        <w:pStyle w:val="ListParagraph"/>
        <w:numPr>
          <w:ilvl w:val="1"/>
          <w:numId w:val="9"/>
        </w:numPr>
        <w:tabs>
          <w:tab w:val="clear" w:pos="720"/>
          <w:tab w:val="left" w:pos="426" w:leader="none"/>
          <w:tab w:val="left" w:pos="9781" w:leader="none"/>
        </w:tabs>
        <w:ind w:left="426" w:right="571" w:hanging="284"/>
        <w:jc w:val="both"/>
        <w:rPr>
          <w:sz w:val="20"/>
        </w:rPr>
      </w:pPr>
      <w:r>
        <w:rP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rPr/>
        <w:t>orgány,</w:t>
      </w:r>
    </w:p>
    <w:p>
      <w:pPr>
        <w:pStyle w:val="ListParagraph"/>
        <w:numPr>
          <w:ilvl w:val="1"/>
          <w:numId w:val="9"/>
        </w:numPr>
        <w:tabs>
          <w:tab w:val="clear" w:pos="720"/>
          <w:tab w:val="left" w:pos="426" w:leader="none"/>
          <w:tab w:val="left" w:pos="9781" w:leader="none"/>
        </w:tabs>
        <w:spacing w:before="1" w:after="0"/>
        <w:ind w:left="426" w:right="576" w:hanging="284"/>
        <w:jc w:val="both"/>
        <w:rPr>
          <w:sz w:val="20"/>
        </w:rPr>
      </w:pPr>
      <w:r>
        <w:rPr/>
        <w:t>výške jednotlivých druhov záruk alebo iných zabezpečení poskytnutých pre členov štatutárneho orgánu,</w:t>
      </w:r>
      <w:r>
        <w:rPr>
          <w:spacing w:val="-2"/>
        </w:rPr>
        <w:t xml:space="preserve"> </w:t>
      </w:r>
      <w:r>
        <w:rPr/>
        <w:t>dozorného</w:t>
      </w:r>
      <w:r>
        <w:rPr>
          <w:spacing w:val="-2"/>
        </w:rPr>
        <w:t xml:space="preserve"> </w:t>
      </w:r>
      <w:r>
        <w:rPr/>
        <w:t>orgánu</w:t>
      </w:r>
      <w:r>
        <w:rPr>
          <w:spacing w:val="-2"/>
        </w:rPr>
        <w:t xml:space="preserve"> </w:t>
      </w:r>
      <w:r>
        <w:rPr/>
        <w:t>a</w:t>
      </w:r>
      <w:r>
        <w:rPr>
          <w:spacing w:val="-3"/>
        </w:rPr>
        <w:t xml:space="preserve"> </w:t>
      </w:r>
      <w:r>
        <w:rPr/>
        <w:t>iného</w:t>
      </w:r>
      <w:r>
        <w:rPr>
          <w:spacing w:val="-2"/>
        </w:rPr>
        <w:t xml:space="preserve"> </w:t>
      </w:r>
      <w:r>
        <w:rPr/>
        <w:t>orgánu</w:t>
      </w:r>
      <w:r>
        <w:rPr>
          <w:spacing w:val="-2"/>
        </w:rPr>
        <w:t xml:space="preserve"> </w:t>
      </w:r>
      <w:r>
        <w:rPr/>
        <w:t>účtovnej</w:t>
      </w:r>
      <w:r>
        <w:rPr>
          <w:spacing w:val="-2"/>
        </w:rPr>
        <w:t xml:space="preserve"> </w:t>
      </w:r>
      <w:r>
        <w:rPr/>
        <w:t>jednotky,</w:t>
      </w:r>
      <w:r>
        <w:rPr>
          <w:spacing w:val="-2"/>
        </w:rPr>
        <w:t xml:space="preserve"> </w:t>
      </w:r>
      <w:r>
        <w:rPr/>
        <w:t>a</w:t>
      </w:r>
      <w:r>
        <w:rPr>
          <w:spacing w:val="-1"/>
        </w:rPr>
        <w:t xml:space="preserve"> </w:t>
      </w:r>
      <w:r>
        <w:rPr/>
        <w:t>to</w:t>
      </w:r>
      <w:r>
        <w:rPr>
          <w:spacing w:val="-5"/>
        </w:rPr>
        <w:t xml:space="preserve"> </w:t>
      </w:r>
      <w:r>
        <w:rPr/>
        <w:t>v</w:t>
      </w:r>
      <w:r>
        <w:rPr>
          <w:spacing w:val="-2"/>
        </w:rPr>
        <w:t xml:space="preserve"> </w:t>
      </w:r>
      <w:r>
        <w:rPr/>
        <w:t>členení</w:t>
      </w:r>
      <w:r>
        <w:rPr>
          <w:spacing w:val="-4"/>
        </w:rPr>
        <w:t xml:space="preserve"> </w:t>
      </w:r>
      <w:r>
        <w:rPr/>
        <w:t>za</w:t>
      </w:r>
      <w:r>
        <w:rPr>
          <w:spacing w:val="-2"/>
        </w:rPr>
        <w:t xml:space="preserve"> </w:t>
      </w:r>
      <w:r>
        <w:rPr/>
        <w:t>jednotlivé</w:t>
      </w:r>
      <w:r>
        <w:rPr>
          <w:spacing w:val="-7"/>
        </w:rPr>
        <w:t xml:space="preserve"> </w:t>
      </w:r>
      <w:r>
        <w:rPr/>
        <w:t>orgány,</w:t>
      </w:r>
    </w:p>
    <w:p>
      <w:pPr>
        <w:pStyle w:val="ListParagraph"/>
        <w:numPr>
          <w:ilvl w:val="1"/>
          <w:numId w:val="9"/>
        </w:numPr>
        <w:tabs>
          <w:tab w:val="clear" w:pos="720"/>
          <w:tab w:val="left" w:pos="426" w:leader="none"/>
          <w:tab w:val="left" w:pos="9781" w:leader="none"/>
        </w:tabs>
        <w:ind w:left="426" w:right="572" w:hanging="284"/>
        <w:jc w:val="both"/>
        <w:rPr>
          <w:sz w:val="20"/>
        </w:rPr>
      </w:pPr>
      <w:r>
        <w:rPr/>
        <w:t>pôžičkách poskytnutých členom štatutárneho orgánu, dozorného orgánu a iného orgánu účtovnej jednotky, a</w:t>
      </w:r>
      <w:r>
        <w:rPr>
          <w:spacing w:val="-4"/>
        </w:rPr>
        <w:t xml:space="preserve"> </w:t>
      </w:r>
      <w:r>
        <w:rPr/>
        <w:t>to</w:t>
      </w:r>
    </w:p>
    <w:p>
      <w:pPr>
        <w:pStyle w:val="ListParagraph"/>
        <w:numPr>
          <w:ilvl w:val="2"/>
          <w:numId w:val="9"/>
        </w:numPr>
        <w:tabs>
          <w:tab w:val="clear" w:pos="720"/>
          <w:tab w:val="left" w:pos="9781" w:leader="none"/>
        </w:tabs>
        <w:ind w:left="851" w:right="570" w:hanging="358"/>
        <w:jc w:val="both"/>
        <w:rPr>
          <w:sz w:val="20"/>
        </w:rPr>
      </w:pPr>
      <w:r>
        <w:rPr/>
        <w:t>celková suma poskytnutých pôžičiek k poslednému dňu účtovného obdobia v členení za jednotlivé</w:t>
      </w:r>
      <w:r>
        <w:rPr>
          <w:spacing w:val="-4"/>
        </w:rPr>
        <w:t xml:space="preserve"> </w:t>
      </w:r>
      <w:r>
        <w:rPr/>
        <w:t>orgány,</w:t>
      </w:r>
    </w:p>
    <w:p>
      <w:pPr>
        <w:pStyle w:val="ListParagraph"/>
        <w:numPr>
          <w:ilvl w:val="2"/>
          <w:numId w:val="9"/>
        </w:numPr>
        <w:tabs>
          <w:tab w:val="clear" w:pos="720"/>
          <w:tab w:val="left" w:pos="9781" w:leader="none"/>
        </w:tabs>
        <w:spacing w:before="1" w:after="0"/>
        <w:ind w:left="851" w:right="570" w:hanging="358"/>
        <w:jc w:val="both"/>
        <w:rPr>
          <w:sz w:val="20"/>
        </w:rPr>
      </w:pPr>
      <w:r>
        <w:rPr/>
        <w:t>celková suma splatených pôžičiek k poslednému dňu účtovného obdobia v členení za jednotlivé</w:t>
      </w:r>
      <w:r>
        <w:rPr>
          <w:spacing w:val="-4"/>
        </w:rPr>
        <w:t xml:space="preserve"> </w:t>
      </w:r>
      <w:r>
        <w:rPr/>
        <w:t>orgány,</w:t>
      </w:r>
    </w:p>
    <w:p>
      <w:pPr>
        <w:pStyle w:val="ListParagraph"/>
        <w:numPr>
          <w:ilvl w:val="2"/>
          <w:numId w:val="9"/>
        </w:numPr>
        <w:tabs>
          <w:tab w:val="clear" w:pos="720"/>
          <w:tab w:val="left" w:pos="9781" w:leader="none"/>
        </w:tabs>
        <w:ind w:left="851" w:right="571" w:hanging="358"/>
        <w:jc w:val="both"/>
        <w:rPr>
          <w:sz w:val="20"/>
        </w:rPr>
      </w:pPr>
      <w:r>
        <w:rPr/>
        <w:t>celková suma odpustených pôžičiek a odpísaných pôžičiek k poslednému dňu účtovného obdobia v členení za jednotlivé</w:t>
      </w:r>
      <w:r>
        <w:rPr>
          <w:spacing w:val="-7"/>
        </w:rPr>
        <w:t xml:space="preserve"> </w:t>
      </w:r>
      <w:r>
        <w:rPr/>
        <w:t>orgány,</w:t>
      </w:r>
    </w:p>
    <w:p>
      <w:pPr>
        <w:pStyle w:val="ListParagraph"/>
        <w:numPr>
          <w:ilvl w:val="1"/>
          <w:numId w:val="9"/>
        </w:numPr>
        <w:tabs>
          <w:tab w:val="clear" w:pos="720"/>
          <w:tab w:val="left" w:pos="426" w:leader="none"/>
          <w:tab w:val="left" w:pos="9781" w:leader="none"/>
        </w:tabs>
        <w:ind w:left="426" w:right="570" w:hanging="284"/>
        <w:jc w:val="both"/>
        <w:rPr>
          <w:sz w:val="20"/>
        </w:rPr>
      </w:pPr>
      <w:r>
        <w:rPr/>
        <w:t>hlavných podmienkach, na základe ktorých im boli záruky alebo iné zabezpečenia a pôžičky poskytnuté; pri pôžičkách sa uvádzajú aj úrokové</w:t>
      </w:r>
      <w:r>
        <w:rPr>
          <w:spacing w:val="-12"/>
        </w:rPr>
        <w:t xml:space="preserve"> </w:t>
      </w:r>
      <w:r>
        <w:rPr/>
        <w:t>sadzby,</w:t>
      </w:r>
    </w:p>
    <w:p>
      <w:pPr>
        <w:pStyle w:val="ListParagraph"/>
        <w:numPr>
          <w:ilvl w:val="1"/>
          <w:numId w:val="9"/>
        </w:numPr>
        <w:tabs>
          <w:tab w:val="clear" w:pos="720"/>
          <w:tab w:val="left" w:pos="426" w:leader="none"/>
          <w:tab w:val="left" w:pos="9781" w:leader="none"/>
        </w:tabs>
        <w:spacing w:before="76" w:after="0"/>
        <w:ind w:left="426" w:right="576" w:hanging="284"/>
        <w:jc w:val="both"/>
        <w:rPr>
          <w:sz w:val="20"/>
        </w:rPr>
      </w:pPr>
      <w:r>
        <w:rPr/>
        <w:t>celkovej sume použitých finančných prostriedkov alebo iného plnenia na súkromné účely členmi štatutárneho orgánu, dozorného orgánu a iného orgánu účtovnej jednotky, ktoré sa</w:t>
      </w:r>
      <w:r>
        <w:rPr>
          <w:spacing w:val="9"/>
        </w:rPr>
        <w:t xml:space="preserve"> </w:t>
      </w:r>
      <w:r>
        <w:rPr/>
        <w:t>vyúčtovávajú.</w:t>
      </w:r>
    </w:p>
    <w:p>
      <w:pPr>
        <w:pStyle w:val="Telotextu"/>
        <w:tabs>
          <w:tab w:val="clear" w:pos="720"/>
          <w:tab w:val="left" w:pos="9781" w:leader="none"/>
        </w:tabs>
        <w:spacing w:before="10" w:after="0"/>
        <w:jc w:val="both"/>
        <w:rPr>
          <w:sz w:val="21"/>
        </w:rPr>
      </w:pPr>
      <w:r>
        <w:rPr>
          <w:sz w:val="21"/>
        </w:rPr>
      </w:r>
    </w:p>
    <w:p>
      <w:pPr>
        <w:pStyle w:val="Nadpis1"/>
        <w:numPr>
          <w:ilvl w:val="0"/>
          <w:numId w:val="9"/>
        </w:numPr>
        <w:tabs>
          <w:tab w:val="clear" w:pos="720"/>
          <w:tab w:val="left" w:pos="9781" w:leader="none"/>
        </w:tabs>
        <w:ind w:left="284" w:hanging="288"/>
        <w:jc w:val="both"/>
        <w:rPr>
          <w:sz w:val="24"/>
          <w:szCs w:val="24"/>
        </w:rPr>
      </w:pPr>
      <w:r>
        <w:rPr>
          <w:sz w:val="24"/>
          <w:szCs w:val="24"/>
        </w:rPr>
        <w:t>V časti o ekonomických vzťahoch účtovnej jednotky a spriaznených osôb sa uvádzajú tieto informácie:</w:t>
      </w:r>
    </w:p>
    <w:p>
      <w:pPr>
        <w:pStyle w:val="Telotextu"/>
        <w:tabs>
          <w:tab w:val="clear" w:pos="720"/>
          <w:tab w:val="left" w:pos="9781" w:leader="none"/>
        </w:tabs>
        <w:spacing w:before="1" w:after="0"/>
        <w:jc w:val="both"/>
        <w:rPr>
          <w:b/>
          <w:b/>
        </w:rPr>
      </w:pPr>
      <w:r>
        <w:rPr>
          <w:b/>
        </w:rPr>
      </w:r>
    </w:p>
    <w:p>
      <w:pPr>
        <w:pStyle w:val="ListParagraph"/>
        <w:numPr>
          <w:ilvl w:val="1"/>
          <w:numId w:val="9"/>
        </w:numPr>
        <w:tabs>
          <w:tab w:val="clear" w:pos="720"/>
          <w:tab w:val="left" w:pos="426" w:leader="none"/>
          <w:tab w:val="left" w:pos="9781" w:leader="none"/>
        </w:tabs>
        <w:ind w:left="426" w:right="575" w:hanging="284"/>
        <w:jc w:val="both"/>
        <w:rPr>
          <w:sz w:val="20"/>
        </w:rPr>
      </w:pPr>
      <w:r>
        <w:rPr/>
        <w:t>zoznam obchodov, ktoré sa uskutočnili medzi účtovnou jednotkou a spriaznenými osobami uvedenými v časti L. písm. b), a</w:t>
      </w:r>
      <w:r>
        <w:rPr>
          <w:spacing w:val="-9"/>
        </w:rPr>
        <w:t xml:space="preserve"> </w:t>
      </w:r>
      <w:r>
        <w:rPr/>
        <w:t>to</w:t>
      </w:r>
    </w:p>
    <w:p>
      <w:pPr>
        <w:pStyle w:val="ListParagraph"/>
        <w:numPr>
          <w:ilvl w:val="2"/>
          <w:numId w:val="9"/>
        </w:numPr>
        <w:tabs>
          <w:tab w:val="clear" w:pos="720"/>
          <w:tab w:val="left" w:pos="851" w:leader="none"/>
          <w:tab w:val="left" w:pos="9781" w:leader="none"/>
        </w:tabs>
        <w:ind w:left="851" w:right="571" w:hanging="358"/>
        <w:jc w:val="both"/>
        <w:rPr>
          <w:sz w:val="20"/>
        </w:rPr>
      </w:pPr>
      <w:r>
        <w:rPr/>
        <w:t>druh obchodu, napríklad kúpa alebo predaj, poskytnutie služby, obchodné zastúpenie, licencie, transfery, know-how, úver, pôžička, výpomoc,</w:t>
      </w:r>
      <w:r>
        <w:rPr>
          <w:spacing w:val="-17"/>
        </w:rPr>
        <w:t xml:space="preserve"> </w:t>
      </w:r>
      <w:r>
        <w:rPr/>
        <w:t>záruka,</w:t>
      </w:r>
    </w:p>
    <w:p>
      <w:pPr>
        <w:pStyle w:val="ListParagraph"/>
        <w:numPr>
          <w:ilvl w:val="2"/>
          <w:numId w:val="9"/>
        </w:numPr>
        <w:tabs>
          <w:tab w:val="clear" w:pos="720"/>
          <w:tab w:val="left" w:pos="851" w:leader="none"/>
          <w:tab w:val="left" w:pos="9781" w:leader="none"/>
        </w:tabs>
        <w:ind w:left="851" w:right="569" w:hanging="358"/>
        <w:jc w:val="both"/>
        <w:rPr>
          <w:sz w:val="20"/>
        </w:rPr>
      </w:pPr>
      <w:r>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rPr/>
        <w:t>osobami,</w:t>
      </w:r>
    </w:p>
    <w:p>
      <w:pPr>
        <w:pStyle w:val="ListParagraph"/>
        <w:numPr>
          <w:ilvl w:val="1"/>
          <w:numId w:val="9"/>
        </w:numPr>
        <w:tabs>
          <w:tab w:val="clear" w:pos="720"/>
          <w:tab w:val="left" w:pos="426" w:leader="none"/>
          <w:tab w:val="left" w:pos="9781" w:leader="none"/>
        </w:tabs>
        <w:ind w:left="426" w:right="575" w:hanging="284"/>
        <w:jc w:val="both"/>
        <w:rPr>
          <w:sz w:val="20"/>
        </w:rPr>
      </w:pPr>
      <w:r>
        <w:rPr/>
        <w:t>o obchodoch podľa písmena a), ktoré sú rovnakého druhu a uvádzajú sa kumulovane okrem informácií o týchto obchodoch, ktoré sa v súlade s požiadavkami na uvádzané informácie podľa § 3 ods. 1 uvádzajú samostatne.</w:t>
      </w:r>
    </w:p>
    <w:p>
      <w:pPr>
        <w:pStyle w:val="Telotextu"/>
        <w:tabs>
          <w:tab w:val="clear" w:pos="720"/>
          <w:tab w:val="left" w:pos="9781" w:leader="none"/>
        </w:tabs>
        <w:jc w:val="both"/>
        <w:rPr>
          <w:sz w:val="20"/>
        </w:rPr>
      </w:pPr>
      <w:r>
        <w:rPr>
          <w:sz w:val="20"/>
        </w:rPr>
      </w:r>
    </w:p>
    <w:p>
      <w:pPr>
        <w:pStyle w:val="Nadpis1"/>
        <w:numPr>
          <w:ilvl w:val="0"/>
          <w:numId w:val="9"/>
        </w:numPr>
        <w:tabs>
          <w:tab w:val="clear" w:pos="720"/>
          <w:tab w:val="left" w:pos="9781" w:leader="none"/>
        </w:tabs>
        <w:ind w:left="284" w:hanging="288"/>
        <w:jc w:val="both"/>
        <w:rPr>
          <w:sz w:val="24"/>
          <w:szCs w:val="24"/>
        </w:rPr>
      </w:pPr>
      <w:r>
        <w:rPr>
          <w:sz w:val="24"/>
          <w:szCs w:val="24"/>
        </w:rPr>
        <w:t>V časti o skutočnostiach, ktoré nastali po dni, ku ktorému sa zostavuje účtovná závierka do dňa zostavenia účtovnej závierky sa uvádzajú informácie o</w:t>
      </w:r>
    </w:p>
    <w:p>
      <w:pPr>
        <w:pStyle w:val="Telotextu"/>
        <w:tabs>
          <w:tab w:val="clear" w:pos="720"/>
          <w:tab w:val="left" w:pos="9781" w:leader="none"/>
        </w:tabs>
        <w:spacing w:before="10" w:after="0"/>
        <w:jc w:val="both"/>
        <w:rPr>
          <w:b/>
          <w:b/>
          <w:sz w:val="21"/>
        </w:rPr>
      </w:pPr>
      <w:r>
        <w:rPr>
          <w:b/>
          <w:sz w:val="21"/>
        </w:rPr>
      </w:r>
    </w:p>
    <w:p>
      <w:pPr>
        <w:pStyle w:val="ListParagraph"/>
        <w:numPr>
          <w:ilvl w:val="1"/>
          <w:numId w:val="9"/>
        </w:numPr>
        <w:tabs>
          <w:tab w:val="clear" w:pos="720"/>
          <w:tab w:val="left" w:pos="426" w:leader="none"/>
          <w:tab w:val="left" w:pos="9781" w:leader="none"/>
        </w:tabs>
        <w:spacing w:before="1" w:after="0"/>
        <w:ind w:left="426" w:right="571" w:hanging="284"/>
        <w:jc w:val="both"/>
        <w:rPr>
          <w:sz w:val="20"/>
        </w:rPr>
      </w:pPr>
      <w:r>
        <w:rP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rPr/>
        <w:t>zmien,</w:t>
      </w:r>
    </w:p>
    <w:p>
      <w:pPr>
        <w:pStyle w:val="ListParagraph"/>
        <w:numPr>
          <w:ilvl w:val="1"/>
          <w:numId w:val="9"/>
        </w:numPr>
        <w:tabs>
          <w:tab w:val="clear" w:pos="720"/>
          <w:tab w:val="left" w:pos="426" w:leader="none"/>
          <w:tab w:val="left" w:pos="9781" w:leader="none"/>
        </w:tabs>
        <w:spacing w:before="1" w:after="0"/>
        <w:ind w:left="426" w:right="572" w:hanging="284"/>
        <w:jc w:val="both"/>
        <w:rPr>
          <w:sz w:val="20"/>
        </w:rPr>
      </w:pPr>
      <w:r>
        <w:rP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8"/>
        </w:rPr>
        <w:t xml:space="preserve"> </w:t>
      </w:r>
      <w:r>
        <w:rPr/>
        <w:t>závierka,</w:t>
      </w:r>
    </w:p>
    <w:p>
      <w:pPr>
        <w:pStyle w:val="ListParagraph"/>
        <w:numPr>
          <w:ilvl w:val="1"/>
          <w:numId w:val="9"/>
        </w:numPr>
        <w:tabs>
          <w:tab w:val="clear" w:pos="720"/>
          <w:tab w:val="left" w:pos="426" w:leader="none"/>
          <w:tab w:val="left" w:pos="9781" w:leader="none"/>
        </w:tabs>
        <w:spacing w:lineRule="exact" w:line="251"/>
        <w:ind w:left="426" w:hanging="284"/>
        <w:jc w:val="both"/>
        <w:rPr>
          <w:sz w:val="20"/>
        </w:rPr>
      </w:pPr>
      <w:r>
        <w:rPr/>
        <w:t>zmene spoločníkov účtovnej</w:t>
      </w:r>
      <w:r>
        <w:rPr>
          <w:spacing w:val="-7"/>
        </w:rPr>
        <w:t xml:space="preserve"> </w:t>
      </w:r>
      <w:r>
        <w:rPr/>
        <w:t>jednotky,</w:t>
      </w:r>
    </w:p>
    <w:p>
      <w:pPr>
        <w:pStyle w:val="ListParagraph"/>
        <w:numPr>
          <w:ilvl w:val="1"/>
          <w:numId w:val="9"/>
        </w:numPr>
        <w:tabs>
          <w:tab w:val="clear" w:pos="720"/>
          <w:tab w:val="left" w:pos="426" w:leader="none"/>
          <w:tab w:val="left" w:pos="9781" w:leader="none"/>
        </w:tabs>
        <w:spacing w:lineRule="exact" w:line="252"/>
        <w:ind w:left="426" w:hanging="284"/>
        <w:jc w:val="both"/>
        <w:rPr>
          <w:sz w:val="20"/>
        </w:rPr>
      </w:pPr>
      <w:r>
        <w:rPr/>
        <w:t>prijatí rozhodnutia o predaji účtovnej jednotky alebo jej</w:t>
      </w:r>
      <w:r>
        <w:rPr>
          <w:spacing w:val="-7"/>
        </w:rPr>
        <w:t xml:space="preserve"> </w:t>
      </w:r>
      <w:r>
        <w:rPr/>
        <w:t>časti,</w:t>
      </w:r>
    </w:p>
    <w:p>
      <w:pPr>
        <w:pStyle w:val="ListParagraph"/>
        <w:numPr>
          <w:ilvl w:val="1"/>
          <w:numId w:val="9"/>
        </w:numPr>
        <w:tabs>
          <w:tab w:val="clear" w:pos="720"/>
          <w:tab w:val="left" w:pos="426" w:leader="none"/>
          <w:tab w:val="left" w:pos="9781" w:leader="none"/>
        </w:tabs>
        <w:spacing w:lineRule="exact" w:line="252" w:before="2" w:after="0"/>
        <w:ind w:left="426" w:hanging="284"/>
        <w:jc w:val="both"/>
        <w:rPr>
          <w:sz w:val="20"/>
        </w:rPr>
      </w:pPr>
      <w:r>
        <w:rPr/>
        <w:t>zmenách významných položiek dlhodobého finančného</w:t>
      </w:r>
      <w:r>
        <w:rPr>
          <w:spacing w:val="-3"/>
        </w:rPr>
        <w:t xml:space="preserve"> </w:t>
      </w:r>
      <w:r>
        <w:rPr/>
        <w:t>majetku,</w:t>
      </w:r>
    </w:p>
    <w:p>
      <w:pPr>
        <w:pStyle w:val="ListParagraph"/>
        <w:numPr>
          <w:ilvl w:val="1"/>
          <w:numId w:val="9"/>
        </w:numPr>
        <w:tabs>
          <w:tab w:val="clear" w:pos="720"/>
          <w:tab w:val="left" w:pos="426" w:leader="none"/>
          <w:tab w:val="left" w:pos="9781" w:leader="none"/>
        </w:tabs>
        <w:ind w:left="426" w:right="570" w:hanging="284"/>
        <w:jc w:val="both"/>
        <w:rPr>
          <w:sz w:val="20"/>
        </w:rPr>
      </w:pPr>
      <w:r>
        <w:rPr/>
        <w:t>začatí alebo ukončení činnosti časti účtovnej jednotky, napríklad odštepného závodu, organizačnej zložky,</w:t>
      </w:r>
      <w:r>
        <w:rPr>
          <w:spacing w:val="-1"/>
        </w:rPr>
        <w:t xml:space="preserve"> </w:t>
      </w:r>
      <w:r>
        <w:rPr/>
        <w:t>prevádzkarne,</w:t>
      </w:r>
    </w:p>
    <w:p>
      <w:pPr>
        <w:pStyle w:val="ListParagraph"/>
        <w:numPr>
          <w:ilvl w:val="1"/>
          <w:numId w:val="9"/>
        </w:numPr>
        <w:tabs>
          <w:tab w:val="clear" w:pos="720"/>
          <w:tab w:val="left" w:pos="426" w:leader="none"/>
          <w:tab w:val="left" w:pos="9781" w:leader="none"/>
        </w:tabs>
        <w:spacing w:lineRule="exact" w:line="251"/>
        <w:ind w:left="426" w:hanging="284"/>
        <w:jc w:val="both"/>
        <w:rPr>
          <w:sz w:val="20"/>
        </w:rPr>
      </w:pPr>
      <w:r>
        <w:rPr/>
        <w:t>vydaných dlhopisoch a iných cenných</w:t>
      </w:r>
      <w:r>
        <w:rPr>
          <w:spacing w:val="-4"/>
        </w:rPr>
        <w:t xml:space="preserve"> </w:t>
      </w:r>
      <w:r>
        <w:rPr/>
        <w:t>papierov,</w:t>
      </w:r>
    </w:p>
    <w:p>
      <w:pPr>
        <w:pStyle w:val="ListParagraph"/>
        <w:numPr>
          <w:ilvl w:val="1"/>
          <w:numId w:val="9"/>
        </w:numPr>
        <w:tabs>
          <w:tab w:val="clear" w:pos="720"/>
          <w:tab w:val="left" w:pos="426" w:leader="none"/>
          <w:tab w:val="left" w:pos="9781" w:leader="none"/>
        </w:tabs>
        <w:spacing w:lineRule="exact" w:line="252"/>
        <w:ind w:left="426" w:hanging="284"/>
        <w:jc w:val="both"/>
        <w:rPr>
          <w:sz w:val="20"/>
        </w:rPr>
      </w:pPr>
      <w:r>
        <w:rPr/>
        <w:t>zlúčení, splynutí, rozdelení a zmene právnej formy účtovnej</w:t>
      </w:r>
      <w:r>
        <w:rPr>
          <w:spacing w:val="-6"/>
        </w:rPr>
        <w:t xml:space="preserve"> </w:t>
      </w:r>
      <w:r>
        <w:rPr/>
        <w:t>jednotky,</w:t>
      </w:r>
    </w:p>
    <w:p>
      <w:pPr>
        <w:pStyle w:val="ListParagraph"/>
        <w:numPr>
          <w:ilvl w:val="1"/>
          <w:numId w:val="9"/>
        </w:numPr>
        <w:tabs>
          <w:tab w:val="clear" w:pos="720"/>
          <w:tab w:val="left" w:pos="426" w:leader="none"/>
          <w:tab w:val="left" w:pos="9781" w:leader="none"/>
        </w:tabs>
        <w:spacing w:lineRule="auto" w:line="240"/>
        <w:ind w:left="426" w:right="577" w:hanging="284"/>
        <w:jc w:val="both"/>
        <w:rPr>
          <w:sz w:val="20"/>
        </w:rPr>
      </w:pPr>
      <w:r>
        <w:rPr/>
        <w:t>mimoriadnych udalostiach, ak majú vplyv na hospodárenie účtovnej jednotky, napríklad o živelnej pohrome,</w:t>
      </w:r>
    </w:p>
    <w:p>
      <w:pPr>
        <w:pStyle w:val="ListParagraph"/>
        <w:numPr>
          <w:ilvl w:val="1"/>
          <w:numId w:val="9"/>
        </w:numPr>
        <w:tabs>
          <w:tab w:val="clear" w:pos="720"/>
          <w:tab w:val="left" w:pos="426" w:leader="none"/>
          <w:tab w:val="left" w:pos="9781" w:leader="none"/>
        </w:tabs>
        <w:spacing w:lineRule="exact" w:line="250"/>
        <w:ind w:left="426" w:hanging="284"/>
        <w:jc w:val="both"/>
        <w:rPr>
          <w:sz w:val="20"/>
        </w:rPr>
      </w:pPr>
      <w:r>
        <w:rPr/>
        <w:t>získaní alebo odobratí licencií alebo iných povolení významných pre činnosť účtovnej</w:t>
      </w:r>
      <w:r>
        <w:rPr>
          <w:spacing w:val="-23"/>
        </w:rPr>
        <w:t xml:space="preserve"> </w:t>
      </w:r>
      <w:r>
        <w:rPr/>
        <w:t>jednotky.</w:t>
      </w:r>
    </w:p>
    <w:p>
      <w:pPr>
        <w:pStyle w:val="Telotextu"/>
        <w:tabs>
          <w:tab w:val="clear" w:pos="720"/>
          <w:tab w:val="left" w:pos="9781" w:leader="none"/>
        </w:tabs>
        <w:spacing w:before="10" w:after="0"/>
        <w:jc w:val="both"/>
        <w:rPr>
          <w:sz w:val="21"/>
        </w:rPr>
      </w:pPr>
      <w:r>
        <w:rPr>
          <w:sz w:val="21"/>
        </w:rPr>
      </w:r>
    </w:p>
    <w:p>
      <w:pPr>
        <w:pStyle w:val="Nadpis1"/>
        <w:numPr>
          <w:ilvl w:val="0"/>
          <w:numId w:val="9"/>
        </w:numPr>
        <w:tabs>
          <w:tab w:val="clear" w:pos="720"/>
          <w:tab w:val="left" w:pos="9781" w:leader="none"/>
        </w:tabs>
        <w:ind w:left="284" w:hanging="288"/>
        <w:jc w:val="both"/>
        <w:rPr>
          <w:b w:val="false"/>
          <w:b w:val="false"/>
        </w:rPr>
      </w:pPr>
      <w:r>
        <w:rPr>
          <w:sz w:val="24"/>
        </w:rPr>
        <w:t xml:space="preserve">V časti o prehľade zmien vlastného imania </w:t>
      </w:r>
      <w:r>
        <w:rPr>
          <w:b w:val="false"/>
        </w:rPr>
        <w:t>sa uvádza stav vlastného imania na začiatku bežného účtovného obdobia, zvýšenie alebo zníženie počas bežného účtovného obdobia a stav na konci bežného účtovného obdobia a dôvody zmien v členení na</w:t>
      </w:r>
    </w:p>
    <w:p>
      <w:pPr>
        <w:pStyle w:val="Telotextu"/>
        <w:tabs>
          <w:tab w:val="clear" w:pos="720"/>
          <w:tab w:val="left" w:pos="9781" w:leader="none"/>
        </w:tabs>
        <w:spacing w:before="1" w:after="0"/>
        <w:jc w:val="both"/>
        <w:rPr>
          <w:sz w:val="20"/>
        </w:rPr>
      </w:pPr>
      <w:r>
        <w:rPr>
          <w:sz w:val="20"/>
        </w:rPr>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základné imanie zapísané do obchodného</w:t>
      </w:r>
      <w:r>
        <w:rPr>
          <w:spacing w:val="-4"/>
        </w:rPr>
        <w:t xml:space="preserve"> </w:t>
      </w:r>
      <w:r>
        <w:rPr/>
        <w:t>registra,</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základné imanie nezapísané do obchodného</w:t>
      </w:r>
      <w:r>
        <w:rPr>
          <w:spacing w:val="-4"/>
        </w:rPr>
        <w:t xml:space="preserve"> </w:t>
      </w:r>
      <w:r>
        <w:rPr/>
        <w:t>registra,</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emisné</w:t>
      </w:r>
      <w:r>
        <w:rPr>
          <w:spacing w:val="-1"/>
        </w:rPr>
        <w:t xml:space="preserve"> </w:t>
      </w:r>
      <w:r>
        <w:rPr/>
        <w:t>ážio,</w:t>
      </w:r>
    </w:p>
    <w:p>
      <w:pPr>
        <w:pStyle w:val="Nadpis1"/>
        <w:numPr>
          <w:ilvl w:val="1"/>
          <w:numId w:val="9"/>
        </w:numPr>
        <w:tabs>
          <w:tab w:val="clear" w:pos="720"/>
          <w:tab w:val="left" w:pos="426" w:leader="none"/>
          <w:tab w:val="left" w:pos="9781" w:leader="none"/>
        </w:tabs>
        <w:spacing w:lineRule="exact" w:line="252"/>
        <w:ind w:left="426" w:hanging="286"/>
        <w:jc w:val="both"/>
        <w:rPr>
          <w:sz w:val="20"/>
        </w:rPr>
      </w:pPr>
      <w:r>
        <w:rPr/>
        <w:t>zákonné rezervné</w:t>
      </w:r>
      <w:r>
        <w:rPr>
          <w:spacing w:val="-1"/>
        </w:rPr>
        <w:t xml:space="preserve"> </w:t>
      </w:r>
      <w:r>
        <w:rPr/>
        <w:t>fondy,</w:t>
      </w:r>
    </w:p>
    <w:p>
      <w:pPr>
        <w:pStyle w:val="ListParagraph"/>
        <w:numPr>
          <w:ilvl w:val="1"/>
          <w:numId w:val="9"/>
        </w:numPr>
        <w:tabs>
          <w:tab w:val="clear" w:pos="720"/>
          <w:tab w:val="left" w:pos="426" w:leader="none"/>
          <w:tab w:val="left" w:pos="9781" w:leader="none"/>
        </w:tabs>
        <w:spacing w:before="2" w:after="0"/>
        <w:ind w:left="426" w:hanging="286"/>
        <w:jc w:val="both"/>
        <w:rPr>
          <w:sz w:val="20"/>
        </w:rPr>
      </w:pPr>
      <w:r>
        <w:rPr/>
        <w:t>ostatné kapitálové</w:t>
      </w:r>
      <w:r>
        <w:rPr>
          <w:spacing w:val="-3"/>
        </w:rPr>
        <w:t xml:space="preserve"> </w:t>
      </w:r>
      <w:r>
        <w:rPr/>
        <w:t>fondy,</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oceňovacie rozdiely nezahrnuté do výsledku</w:t>
      </w:r>
      <w:r>
        <w:rPr>
          <w:spacing w:val="-5"/>
        </w:rPr>
        <w:t xml:space="preserve"> </w:t>
      </w:r>
      <w:r>
        <w:rPr/>
        <w:t>hospodárenia,</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b/>
        </w:rPr>
        <w:t xml:space="preserve">ostatné fondy </w:t>
      </w:r>
      <w:r>
        <w:rPr/>
        <w:t>tvorené zo</w:t>
      </w:r>
      <w:r>
        <w:rPr>
          <w:spacing w:val="-7"/>
        </w:rPr>
        <w:t xml:space="preserve"> </w:t>
      </w:r>
      <w:r>
        <w:rPr/>
        <w:t>zisku,</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nerozdelený zisk minulých</w:t>
      </w:r>
      <w:r>
        <w:rPr>
          <w:spacing w:val="-6"/>
        </w:rPr>
        <w:t xml:space="preserve"> </w:t>
      </w:r>
      <w:r>
        <w:rPr/>
        <w:t>rokov,</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neuhradená strata minulých</w:t>
      </w:r>
      <w:r>
        <w:rPr>
          <w:spacing w:val="-1"/>
        </w:rPr>
        <w:t xml:space="preserve"> </w:t>
      </w:r>
      <w:r>
        <w:rPr/>
        <w:t>rokov,</w:t>
      </w:r>
    </w:p>
    <w:p>
      <w:pPr>
        <w:pStyle w:val="ListParagraph"/>
        <w:numPr>
          <w:ilvl w:val="1"/>
          <w:numId w:val="9"/>
        </w:numPr>
        <w:tabs>
          <w:tab w:val="clear" w:pos="720"/>
          <w:tab w:val="left" w:pos="426" w:leader="none"/>
          <w:tab w:val="left" w:pos="9781" w:leader="none"/>
        </w:tabs>
        <w:spacing w:lineRule="exact" w:line="252" w:before="2" w:after="0"/>
        <w:ind w:left="426" w:hanging="286"/>
        <w:jc w:val="both"/>
        <w:rPr>
          <w:sz w:val="20"/>
        </w:rPr>
      </w:pPr>
      <w:r>
        <w:rPr/>
        <w:t>účtovný zisk alebo účtovná</w:t>
      </w:r>
      <w:r>
        <w:rPr>
          <w:spacing w:val="-6"/>
        </w:rPr>
        <w:t xml:space="preserve"> </w:t>
      </w:r>
      <w:r>
        <w:rPr/>
        <w:t>strata,</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vyplatené</w:t>
      </w:r>
      <w:r>
        <w:rPr>
          <w:spacing w:val="-1"/>
        </w:rPr>
        <w:t xml:space="preserve"> </w:t>
      </w:r>
      <w:r>
        <w:rPr/>
        <w:t>dividendy,</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ďalšie zmeny vlastného</w:t>
      </w:r>
      <w:r>
        <w:rPr>
          <w:spacing w:val="-5"/>
        </w:rPr>
        <w:t xml:space="preserve"> </w:t>
      </w:r>
      <w:r>
        <w:rPr/>
        <w:t>imania,</w:t>
      </w:r>
    </w:p>
    <w:p>
      <w:pPr>
        <w:pStyle w:val="ListParagraph"/>
        <w:numPr>
          <w:ilvl w:val="1"/>
          <w:numId w:val="9"/>
        </w:numPr>
        <w:tabs>
          <w:tab w:val="clear" w:pos="720"/>
          <w:tab w:val="left" w:pos="426" w:leader="none"/>
          <w:tab w:val="left" w:pos="9781" w:leader="none"/>
        </w:tabs>
        <w:spacing w:lineRule="exact" w:line="252"/>
        <w:ind w:left="426" w:hanging="286"/>
        <w:jc w:val="both"/>
        <w:rPr>
          <w:sz w:val="20"/>
        </w:rPr>
      </w:pPr>
      <w:r>
        <w:rPr/>
        <w:t>zmeny účtované na účte 491 – Vlastné imanie fyzickej osoby –</w:t>
      </w:r>
      <w:r>
        <w:rPr>
          <w:spacing w:val="-5"/>
        </w:rPr>
        <w:t xml:space="preserve"> </w:t>
      </w:r>
      <w:r>
        <w:rPr/>
        <w:t>podnikateľa.</w:t>
      </w:r>
    </w:p>
    <w:p>
      <w:pPr>
        <w:pStyle w:val="Telotextu"/>
        <w:tabs>
          <w:tab w:val="clear" w:pos="720"/>
          <w:tab w:val="left" w:pos="9781" w:leader="none"/>
        </w:tabs>
        <w:spacing w:before="10" w:after="0"/>
        <w:jc w:val="both"/>
        <w:rPr>
          <w:sz w:val="21"/>
        </w:rPr>
      </w:pPr>
      <w:r>
        <w:rPr>
          <w:sz w:val="21"/>
        </w:rPr>
      </w:r>
    </w:p>
    <w:p>
      <w:pPr>
        <w:pStyle w:val="Nadpis1"/>
        <w:numPr>
          <w:ilvl w:val="0"/>
          <w:numId w:val="12"/>
        </w:numPr>
        <w:tabs>
          <w:tab w:val="clear" w:pos="720"/>
          <w:tab w:val="left" w:pos="9781" w:leader="none"/>
        </w:tabs>
        <w:ind w:left="284" w:hanging="288"/>
        <w:jc w:val="both"/>
        <w:rPr>
          <w:sz w:val="24"/>
          <w:szCs w:val="24"/>
        </w:rPr>
      </w:pPr>
      <w:r>
        <w:rPr>
          <w:sz w:val="24"/>
          <w:szCs w:val="24"/>
        </w:rPr>
        <w:t>V časti o prehľade peňažných tokov sa uvádzajú informácie o</w:t>
      </w:r>
    </w:p>
    <w:p>
      <w:pPr>
        <w:pStyle w:val="Telotextu"/>
        <w:tabs>
          <w:tab w:val="clear" w:pos="720"/>
          <w:tab w:val="left" w:pos="9781" w:leader="none"/>
        </w:tabs>
        <w:spacing w:before="1" w:after="0"/>
        <w:jc w:val="both"/>
        <w:rPr>
          <w:b/>
          <w:b/>
        </w:rPr>
      </w:pPr>
      <w:r>
        <w:rPr>
          <w:b/>
        </w:rPr>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peňažných tokoch, ktorými sú príjmy a výdavky peňažných prostriedkov a prírastky a úbytky peňažných ekvivalentov,</w:t>
      </w:r>
      <w:r>
        <w:rPr>
          <w:spacing w:val="-4"/>
        </w:rPr>
        <w:t xml:space="preserve"> </w:t>
      </w:r>
      <w:r>
        <w:rPr/>
        <w:t>pričom</w:t>
      </w:r>
    </w:p>
    <w:p>
      <w:pPr>
        <w:pStyle w:val="ListParagraph"/>
        <w:numPr>
          <w:ilvl w:val="2"/>
          <w:numId w:val="7"/>
        </w:numPr>
        <w:tabs>
          <w:tab w:val="clear" w:pos="720"/>
          <w:tab w:val="left" w:pos="851" w:leader="none"/>
          <w:tab w:val="left" w:pos="9781" w:leader="none"/>
        </w:tabs>
        <w:ind w:left="851" w:right="569" w:hanging="358"/>
        <w:jc w:val="both"/>
        <w:rPr>
          <w:sz w:val="20"/>
        </w:rPr>
      </w:pPr>
      <w:r>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w:t>
      </w:r>
      <w:r>
        <w:rPr>
          <w:spacing w:val="-3"/>
        </w:rPr>
        <w:t xml:space="preserve"> </w:t>
      </w:r>
      <w:r>
        <w:rPr/>
        <w:t>účtami,</w:t>
      </w:r>
    </w:p>
    <w:p>
      <w:pPr>
        <w:pStyle w:val="ListParagraph"/>
        <w:numPr>
          <w:ilvl w:val="2"/>
          <w:numId w:val="7"/>
        </w:numPr>
        <w:tabs>
          <w:tab w:val="clear" w:pos="720"/>
          <w:tab w:val="left" w:pos="851" w:leader="none"/>
          <w:tab w:val="left" w:pos="9781" w:leader="none"/>
        </w:tabs>
        <w:ind w:left="851" w:right="572" w:hanging="358"/>
        <w:jc w:val="both"/>
        <w:rPr>
          <w:sz w:val="20"/>
        </w:rPr>
      </w:pPr>
      <w:r>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w:t>
      </w:r>
      <w:r>
        <w:rPr>
          <w:spacing w:val="-7"/>
        </w:rPr>
        <w:t xml:space="preserve"> </w:t>
      </w:r>
      <w:r>
        <w:rPr/>
        <w:t>závierka,</w:t>
      </w:r>
    </w:p>
    <w:p>
      <w:pPr>
        <w:pStyle w:val="Normal"/>
        <w:tabs>
          <w:tab w:val="clear" w:pos="720"/>
          <w:tab w:val="left" w:pos="851" w:leader="none"/>
          <w:tab w:val="left" w:pos="9781" w:leader="none"/>
        </w:tabs>
        <w:spacing w:before="120" w:after="0"/>
        <w:ind w:left="493" w:right="573" w:hanging="0"/>
        <w:jc w:val="both"/>
        <w:rPr>
          <w:color w:val="00B050"/>
        </w:rPr>
      </w:pPr>
      <w:r>
        <w:rPr>
          <w:b/>
          <w:color w:val="00B050"/>
        </w:rPr>
        <w:t xml:space="preserve">RSP malo </w:t>
      </w:r>
      <w:r>
        <w:rPr>
          <w:color w:val="00B050"/>
        </w:rPr>
        <w:t xml:space="preserve">v období, za ktoré je zostavená účtovná závierka, nasledujúce </w:t>
      </w:r>
      <w:r>
        <w:rPr>
          <w:b/>
          <w:color w:val="00B050"/>
        </w:rPr>
        <w:t>príjmy v členení podľa zdrojov</w:t>
      </w:r>
      <w:r>
        <w:rPr>
          <w:color w:val="00B050"/>
        </w:rPr>
        <w:t>:</w:t>
      </w:r>
    </w:p>
    <w:p>
      <w:pPr>
        <w:pStyle w:val="Normal"/>
        <w:tabs>
          <w:tab w:val="clear" w:pos="720"/>
          <w:tab w:val="left" w:pos="851" w:leader="none"/>
          <w:tab w:val="left" w:pos="9781" w:leader="none"/>
        </w:tabs>
        <w:ind w:left="493" w:right="572" w:hanging="0"/>
        <w:jc w:val="both"/>
        <w:rPr>
          <w:color w:val="FF0000"/>
        </w:rPr>
      </w:pPr>
      <w:r>
        <w:rPr>
          <w:color w:val="FF0000"/>
        </w:rPr>
        <w:t>.............................................</w:t>
      </w:r>
    </w:p>
    <w:p>
      <w:pPr>
        <w:pStyle w:val="ListParagraph"/>
        <w:numPr>
          <w:ilvl w:val="1"/>
          <w:numId w:val="7"/>
        </w:numPr>
        <w:tabs>
          <w:tab w:val="clear" w:pos="720"/>
          <w:tab w:val="left" w:pos="426" w:leader="none"/>
          <w:tab w:val="left" w:pos="9781" w:leader="none"/>
        </w:tabs>
        <w:spacing w:before="120" w:after="0"/>
        <w:ind w:left="426" w:right="573" w:hanging="284"/>
        <w:jc w:val="both"/>
        <w:rPr>
          <w:sz w:val="20"/>
        </w:rPr>
      </w:pPr>
      <w:r>
        <w:rPr/>
        <w:t>peňažných tokoch v členení na</w:t>
      </w:r>
    </w:p>
    <w:p>
      <w:pPr>
        <w:pStyle w:val="ListParagraph"/>
        <w:numPr>
          <w:ilvl w:val="2"/>
          <w:numId w:val="7"/>
        </w:numPr>
        <w:tabs>
          <w:tab w:val="clear" w:pos="720"/>
          <w:tab w:val="left" w:pos="851" w:leader="none"/>
          <w:tab w:val="left" w:pos="9781" w:leader="none"/>
        </w:tabs>
        <w:ind w:left="851" w:right="571" w:hanging="358"/>
        <w:jc w:val="both"/>
        <w:rPr>
          <w:sz w:val="20"/>
        </w:rPr>
      </w:pPr>
      <w:r>
        <w:rPr/>
        <w:t>peňažné toky z prevádzkovej činnosti, ktorou je činnosť, ktorá súvisí s predmetom podnikania účtovnej jednotky a ostatné činnosti, ktoré súvisia s hospodárskou činnosťou účtovnej jednotky, okrem investičnej činnosti a finančnej</w:t>
      </w:r>
      <w:r>
        <w:rPr>
          <w:spacing w:val="-5"/>
        </w:rPr>
        <w:t xml:space="preserve"> </w:t>
      </w:r>
      <w:r>
        <w:rPr/>
        <w:t>činnosti,</w:t>
      </w:r>
    </w:p>
    <w:p>
      <w:pPr>
        <w:pStyle w:val="ListParagraph"/>
        <w:numPr>
          <w:ilvl w:val="2"/>
          <w:numId w:val="7"/>
        </w:numPr>
        <w:tabs>
          <w:tab w:val="clear" w:pos="720"/>
          <w:tab w:val="left" w:pos="851" w:leader="none"/>
          <w:tab w:val="left" w:pos="9781" w:leader="none"/>
        </w:tabs>
        <w:ind w:left="851" w:right="572" w:hanging="358"/>
        <w:jc w:val="both"/>
        <w:rPr>
          <w:sz w:val="20"/>
        </w:rPr>
      </w:pPr>
      <w:r>
        <w:rPr/>
        <w:t>peňažné toky z investičnej činnosti, ktorou je obstaranie a vyradenie dlhodobého nehmotného majetku, dlhodobého hmotného majetku a tej časti dlhodobého finančného majetku, ktorý nie je súčasťou peňažných</w:t>
      </w:r>
      <w:r>
        <w:rPr>
          <w:spacing w:val="-12"/>
        </w:rPr>
        <w:t xml:space="preserve"> </w:t>
      </w:r>
      <w:r>
        <w:rPr/>
        <w:t>ekvivalentov,</w:t>
      </w:r>
    </w:p>
    <w:p>
      <w:pPr>
        <w:pStyle w:val="ListParagraph"/>
        <w:numPr>
          <w:ilvl w:val="2"/>
          <w:numId w:val="7"/>
        </w:numPr>
        <w:tabs>
          <w:tab w:val="clear" w:pos="720"/>
          <w:tab w:val="left" w:pos="851" w:leader="none"/>
          <w:tab w:val="left" w:pos="9781" w:leader="none"/>
        </w:tabs>
        <w:ind w:left="851" w:right="571" w:hanging="358"/>
        <w:jc w:val="both"/>
        <w:rPr>
          <w:sz w:val="20"/>
        </w:rPr>
      </w:pPr>
      <w:r>
        <w:rPr/>
        <w:t>peňažné toky z finančnej činnosti, ktorou je činnosť, ktorej dôsledkom sú zmeny v hodnote a štruktúre vlastného imania a zmeny dlhodobých záväzkov a krátkodobých záväzkov, ktoré nesúvisia s prevádzkovou činnosťou a investičnou</w:t>
      </w:r>
      <w:r>
        <w:rPr>
          <w:spacing w:val="-8"/>
        </w:rPr>
        <w:t xml:space="preserve"> </w:t>
      </w:r>
      <w:r>
        <w:rPr/>
        <w:t>činnosťou,</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štruktúre peňažných prostriedkov a peňažných ekvivalentov a dôvody prípadného nesúladu medzi sumami prehľadu peňažných tokov a príslušnými položkami vykázanými v súvahe,</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použitých zásadách prijatých na určenie obsahovej náplne a štruktúry peňažných prostriedkov a peňažných ekvivalentov v bežnom účtovnom období,</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o zmenách  použitých  zásad  na  určenie  obsahovej  náplne  a štruktúry   peňažných  prostriedkov  a peňažných ekvivalentov oproti bezprostredne predchádzajúcemu účtovnému obdobiu,</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peňažných  tokoch  z prevádzkovej   činnosti,   ktorými   sú   najmä   peňažné   toky,   ktoré   súvisia s predmetom podnikania účtovnej jednotky a spôsobujú vznik zisku alebo straty, napríklad</w:t>
      </w:r>
    </w:p>
    <w:p>
      <w:pPr>
        <w:pStyle w:val="ListParagraph"/>
        <w:numPr>
          <w:ilvl w:val="2"/>
          <w:numId w:val="7"/>
        </w:numPr>
        <w:tabs>
          <w:tab w:val="clear" w:pos="720"/>
          <w:tab w:val="left" w:pos="851" w:leader="none"/>
          <w:tab w:val="left" w:pos="9781" w:leader="none"/>
        </w:tabs>
        <w:spacing w:lineRule="exact" w:line="252"/>
        <w:ind w:left="851" w:hanging="358"/>
        <w:jc w:val="both"/>
        <w:rPr>
          <w:sz w:val="20"/>
        </w:rPr>
      </w:pPr>
      <w:r>
        <w:rPr/>
        <w:t>príjmy z predaja tovaru, výrobkov a služieb, vrátane prijatých</w:t>
      </w:r>
      <w:r>
        <w:rPr>
          <w:spacing w:val="-16"/>
        </w:rPr>
        <w:t xml:space="preserve"> </w:t>
      </w:r>
      <w:r>
        <w:rPr/>
        <w:t>preddavkov,</w:t>
      </w:r>
    </w:p>
    <w:p>
      <w:pPr>
        <w:pStyle w:val="ListParagraph"/>
        <w:numPr>
          <w:ilvl w:val="2"/>
          <w:numId w:val="7"/>
        </w:numPr>
        <w:tabs>
          <w:tab w:val="clear" w:pos="720"/>
          <w:tab w:val="left" w:pos="851" w:leader="none"/>
          <w:tab w:val="left" w:pos="9781" w:leader="none"/>
        </w:tabs>
        <w:spacing w:before="2" w:after="0"/>
        <w:ind w:left="851" w:right="571" w:hanging="358"/>
        <w:jc w:val="both"/>
        <w:rPr>
          <w:sz w:val="20"/>
        </w:rPr>
      </w:pPr>
      <w:r>
        <w:rPr/>
        <w:t>príjmy z poplatkov za priemyselné práva a autorské práva, z provízií a ďalšie príjmy vzťahujúce sa k výnosom z bežnej</w:t>
      </w:r>
      <w:r>
        <w:rPr>
          <w:spacing w:val="-7"/>
        </w:rPr>
        <w:t xml:space="preserve"> </w:t>
      </w:r>
      <w:r>
        <w:rPr/>
        <w:t>činnosti,</w:t>
      </w:r>
    </w:p>
    <w:p>
      <w:pPr>
        <w:pStyle w:val="ListParagraph"/>
        <w:numPr>
          <w:ilvl w:val="2"/>
          <w:numId w:val="7"/>
        </w:numPr>
        <w:tabs>
          <w:tab w:val="clear" w:pos="720"/>
          <w:tab w:val="left" w:pos="851" w:leader="none"/>
          <w:tab w:val="left" w:pos="9781" w:leader="none"/>
        </w:tabs>
        <w:ind w:left="851" w:right="580" w:hanging="358"/>
        <w:jc w:val="both"/>
        <w:rPr>
          <w:sz w:val="20"/>
        </w:rPr>
      </w:pPr>
      <w:r>
        <w:rPr/>
        <w:t>výdavky na úhrady za dodávky materiálu, tovaru a externých služieb, vrátane zaplatených preddavkov,</w:t>
      </w:r>
    </w:p>
    <w:p>
      <w:pPr>
        <w:pStyle w:val="ListParagraph"/>
        <w:numPr>
          <w:ilvl w:val="2"/>
          <w:numId w:val="7"/>
        </w:numPr>
        <w:tabs>
          <w:tab w:val="clear" w:pos="720"/>
          <w:tab w:val="left" w:pos="851" w:leader="none"/>
          <w:tab w:val="left" w:pos="9781" w:leader="none"/>
        </w:tabs>
        <w:ind w:left="851" w:right="569" w:hanging="358"/>
        <w:jc w:val="both"/>
        <w:rPr>
          <w:sz w:val="20"/>
        </w:rPr>
      </w:pPr>
      <w:r>
        <w:rPr/>
        <w:t>výdavky na zamestnancov, napríklad mzdy a odmeny a výdavky platené v mene zamestnancov, napríklad na zdravotné poistenie, nemocenské poistenie, dôchodkové poistenie, poistenie v nezamestnanosti a preddavky na daň z príjmov, odvádzané za zamestnancov,</w:t>
      </w:r>
    </w:p>
    <w:p>
      <w:pPr>
        <w:pStyle w:val="ListParagraph"/>
        <w:numPr>
          <w:ilvl w:val="2"/>
          <w:numId w:val="7"/>
        </w:numPr>
        <w:tabs>
          <w:tab w:val="clear" w:pos="720"/>
          <w:tab w:val="left" w:pos="851" w:leader="none"/>
          <w:tab w:val="left" w:pos="9781" w:leader="none"/>
        </w:tabs>
        <w:ind w:left="851" w:right="571" w:hanging="358"/>
        <w:jc w:val="both"/>
        <w:rPr>
          <w:sz w:val="20"/>
        </w:rPr>
      </w:pPr>
      <w:r>
        <w:rPr/>
        <w:t>výdavky na daň z príjmov účtovnej jednotky po odpočítaní príjmov z vrátenia preplatku dane z príjmov, s výnimkou takýchto výdavkov za investičnú činnosť a finančnú</w:t>
      </w:r>
      <w:r>
        <w:rPr>
          <w:spacing w:val="-20"/>
        </w:rPr>
        <w:t xml:space="preserve"> </w:t>
      </w:r>
      <w:r>
        <w:rPr/>
        <w:t>činnosť,</w:t>
      </w:r>
    </w:p>
    <w:p>
      <w:pPr>
        <w:pStyle w:val="ListParagraph"/>
        <w:numPr>
          <w:ilvl w:val="2"/>
          <w:numId w:val="7"/>
        </w:numPr>
        <w:tabs>
          <w:tab w:val="clear" w:pos="720"/>
          <w:tab w:val="left" w:pos="851" w:leader="none"/>
          <w:tab w:val="left" w:pos="9781" w:leader="none"/>
        </w:tabs>
        <w:ind w:left="851" w:right="580" w:hanging="358"/>
        <w:jc w:val="both"/>
        <w:rPr>
          <w:sz w:val="20"/>
        </w:rPr>
      </w:pPr>
      <w:r>
        <w:rPr/>
        <w:t>príjmy a výdavky zo zmlúv, ktorých predmetom je uplatnenie práva kúpy alebo predaja, ktoré je určené na predaj alebo na</w:t>
      </w:r>
      <w:r>
        <w:rPr>
          <w:spacing w:val="-7"/>
        </w:rPr>
        <w:t xml:space="preserve"> </w:t>
      </w:r>
      <w:r>
        <w:rPr/>
        <w:t>obchodovanie,</w:t>
      </w:r>
    </w:p>
    <w:p>
      <w:pPr>
        <w:pStyle w:val="ListParagraph"/>
        <w:numPr>
          <w:ilvl w:val="2"/>
          <w:numId w:val="7"/>
        </w:numPr>
        <w:tabs>
          <w:tab w:val="clear" w:pos="720"/>
          <w:tab w:val="left" w:pos="851" w:leader="none"/>
          <w:tab w:val="left" w:pos="9781" w:leader="none"/>
        </w:tabs>
        <w:ind w:left="851" w:right="573" w:hanging="358"/>
        <w:jc w:val="both"/>
        <w:rPr>
          <w:sz w:val="20"/>
        </w:rPr>
      </w:pPr>
      <w:r>
        <w:rPr/>
        <w:t>príjmy a výdavky z nákupu a predaja cenných papierov určených na predaj alebo na obchodovanie,</w:t>
      </w:r>
    </w:p>
    <w:p>
      <w:pPr>
        <w:pStyle w:val="ListParagraph"/>
        <w:numPr>
          <w:ilvl w:val="2"/>
          <w:numId w:val="7"/>
        </w:numPr>
        <w:tabs>
          <w:tab w:val="clear" w:pos="720"/>
          <w:tab w:val="left" w:pos="851" w:leader="none"/>
          <w:tab w:val="left" w:pos="9781" w:leader="none"/>
        </w:tabs>
        <w:ind w:left="851" w:right="569" w:hanging="358"/>
        <w:jc w:val="both"/>
        <w:rPr>
          <w:sz w:val="20"/>
        </w:rPr>
      </w:pPr>
      <w:r>
        <w:rPr/>
        <w:t>príjmy z pôžičiek a úverov, ktoré poskytla účtovnej jednotke banka alebo pobočka zahraničnej banky, ak sa vzťahujú na činnosť súvisiacu s jej predmetom</w:t>
      </w:r>
      <w:r>
        <w:rPr>
          <w:spacing w:val="-26"/>
        </w:rPr>
        <w:t xml:space="preserve"> </w:t>
      </w:r>
      <w:r>
        <w:rPr/>
        <w:t>podnikania,</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použitej metóde vykazovania peňažných tokov z prevádzkovej činnosti, ktorou môže byť priama metóda alebo nepriama metóda, pričom</w:t>
      </w:r>
    </w:p>
    <w:p>
      <w:pPr>
        <w:pStyle w:val="ListParagraph"/>
        <w:numPr>
          <w:ilvl w:val="2"/>
          <w:numId w:val="7"/>
        </w:numPr>
        <w:tabs>
          <w:tab w:val="clear" w:pos="720"/>
          <w:tab w:val="left" w:pos="851" w:leader="none"/>
          <w:tab w:val="left" w:pos="9781" w:leader="none"/>
        </w:tabs>
        <w:spacing w:before="76" w:after="0"/>
        <w:ind w:left="873" w:right="572" w:hanging="380"/>
        <w:jc w:val="both"/>
        <w:rPr>
          <w:sz w:val="20"/>
        </w:rPr>
      </w:pPr>
      <w:r>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w:t>
      </w:r>
      <w:r>
        <w:rPr>
          <w:spacing w:val="-11"/>
        </w:rPr>
        <w:t xml:space="preserve"> </w:t>
      </w:r>
      <w:r>
        <w:rPr/>
        <w:t>činnosti,</w:t>
      </w:r>
    </w:p>
    <w:p>
      <w:pPr>
        <w:pStyle w:val="ListParagraph"/>
        <w:numPr>
          <w:ilvl w:val="2"/>
          <w:numId w:val="7"/>
        </w:numPr>
        <w:tabs>
          <w:tab w:val="clear" w:pos="720"/>
          <w:tab w:val="left" w:pos="851" w:leader="none"/>
          <w:tab w:val="left" w:pos="9781" w:leader="none"/>
        </w:tabs>
        <w:ind w:left="873" w:right="570" w:hanging="380"/>
        <w:jc w:val="both"/>
        <w:rPr>
          <w:sz w:val="20"/>
        </w:rPr>
      </w:pPr>
      <w:r>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w:t>
      </w:r>
      <w:r>
        <w:rPr>
          <w:spacing w:val="-5"/>
        </w:rPr>
        <w:t xml:space="preserve"> </w:t>
      </w:r>
      <w:r>
        <w:rPr/>
        <w:t>činnosti,</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peňažných tokoch z investičnej činnosti, ktorými sú napríklad</w:t>
      </w:r>
    </w:p>
    <w:p>
      <w:pPr>
        <w:pStyle w:val="ListParagraph"/>
        <w:numPr>
          <w:ilvl w:val="2"/>
          <w:numId w:val="7"/>
        </w:numPr>
        <w:tabs>
          <w:tab w:val="clear" w:pos="720"/>
          <w:tab w:val="left" w:pos="851" w:leader="none"/>
          <w:tab w:val="left" w:pos="1896" w:leader="none"/>
          <w:tab w:val="left" w:pos="9781" w:leader="none"/>
        </w:tabs>
        <w:spacing w:lineRule="exact" w:line="252"/>
        <w:ind w:left="873" w:hanging="380"/>
        <w:jc w:val="both"/>
        <w:rPr>
          <w:sz w:val="20"/>
        </w:rPr>
      </w:pPr>
      <w:r>
        <w:rPr/>
        <w:t>výdavky na obstaranie dlhodobého nehmotného majetku a dlhodobého hmotného</w:t>
      </w:r>
      <w:r>
        <w:rPr>
          <w:spacing w:val="-15"/>
        </w:rPr>
        <w:t xml:space="preserve"> </w:t>
      </w:r>
      <w:r>
        <w:rPr/>
        <w:t>majetku,</w:t>
      </w:r>
    </w:p>
    <w:p>
      <w:pPr>
        <w:pStyle w:val="ListParagraph"/>
        <w:numPr>
          <w:ilvl w:val="2"/>
          <w:numId w:val="7"/>
        </w:numPr>
        <w:tabs>
          <w:tab w:val="clear" w:pos="720"/>
          <w:tab w:val="left" w:pos="851" w:leader="none"/>
          <w:tab w:val="left" w:pos="1896" w:leader="none"/>
          <w:tab w:val="left" w:pos="9781" w:leader="none"/>
        </w:tabs>
        <w:spacing w:lineRule="exact" w:line="252"/>
        <w:ind w:left="873" w:hanging="380"/>
        <w:jc w:val="both"/>
        <w:rPr>
          <w:sz w:val="20"/>
        </w:rPr>
      </w:pPr>
      <w:r>
        <w:rPr/>
        <w:t>príjmy z predaja dlhodobého nehmotného majetku a dlhodobého hmotného</w:t>
      </w:r>
      <w:r>
        <w:rPr>
          <w:spacing w:val="-14"/>
        </w:rPr>
        <w:t xml:space="preserve"> </w:t>
      </w:r>
      <w:r>
        <w:rPr/>
        <w:t>majetku,</w:t>
      </w:r>
    </w:p>
    <w:p>
      <w:pPr>
        <w:pStyle w:val="ListParagraph"/>
        <w:numPr>
          <w:ilvl w:val="2"/>
          <w:numId w:val="7"/>
        </w:numPr>
        <w:tabs>
          <w:tab w:val="clear" w:pos="720"/>
          <w:tab w:val="left" w:pos="851" w:leader="none"/>
          <w:tab w:val="left" w:pos="1896" w:leader="none"/>
          <w:tab w:val="left" w:pos="9781" w:leader="none"/>
        </w:tabs>
        <w:ind w:left="873" w:right="574" w:hanging="380"/>
        <w:jc w:val="both"/>
        <w:rPr>
          <w:sz w:val="20"/>
        </w:rPr>
      </w:pPr>
      <w:r>
        <w:rPr/>
        <w:t>výdavky na obstaranie dlhodobých cenných papierov a podielov v iných účtovných jednotkách, s výnimkou cenných papierov, ktoré sa považujú za peňažné ekvivalenty a cenných papierov, ktoré sú určené na predaj alebo na</w:t>
      </w:r>
      <w:r>
        <w:rPr>
          <w:spacing w:val="-13"/>
        </w:rPr>
        <w:t xml:space="preserve"> </w:t>
      </w:r>
      <w:r>
        <w:rPr/>
        <w:t>obchodovanie,</w:t>
      </w:r>
    </w:p>
    <w:p>
      <w:pPr>
        <w:pStyle w:val="ListParagraph"/>
        <w:numPr>
          <w:ilvl w:val="2"/>
          <w:numId w:val="7"/>
        </w:numPr>
        <w:tabs>
          <w:tab w:val="clear" w:pos="720"/>
          <w:tab w:val="left" w:pos="851" w:leader="none"/>
          <w:tab w:val="left" w:pos="1896" w:leader="none"/>
          <w:tab w:val="left" w:pos="9781" w:leader="none"/>
        </w:tabs>
        <w:spacing w:before="1" w:after="0"/>
        <w:ind w:left="873" w:right="574" w:hanging="380"/>
        <w:jc w:val="both"/>
        <w:rPr>
          <w:sz w:val="20"/>
        </w:rPr>
      </w:pPr>
      <w:r>
        <w:rPr/>
        <w:t>príjmy z predaja dlhodobých cenných papierov a podielov v iných účtovných jednotkách,    s výnimkou cenných papierov, ktoré sa považujú za peňažné ekvivalenty a cenných papierov, ktoré sú určené na predaj alebo na</w:t>
      </w:r>
      <w:r>
        <w:rPr>
          <w:spacing w:val="-7"/>
        </w:rPr>
        <w:t xml:space="preserve"> </w:t>
      </w:r>
      <w:r>
        <w:rPr/>
        <w:t>obchodovanie,</w:t>
      </w:r>
    </w:p>
    <w:p>
      <w:pPr>
        <w:pStyle w:val="ListParagraph"/>
        <w:numPr>
          <w:ilvl w:val="2"/>
          <w:numId w:val="7"/>
        </w:numPr>
        <w:tabs>
          <w:tab w:val="clear" w:pos="720"/>
          <w:tab w:val="left" w:pos="851" w:leader="none"/>
          <w:tab w:val="left" w:pos="1896" w:leader="none"/>
          <w:tab w:val="left" w:pos="9781" w:leader="none"/>
        </w:tabs>
        <w:spacing w:lineRule="exact" w:line="252"/>
        <w:ind w:left="873" w:hanging="380"/>
        <w:jc w:val="both"/>
        <w:rPr>
          <w:sz w:val="20"/>
        </w:rPr>
      </w:pPr>
      <w:r>
        <w:rPr/>
        <w:t>výdavky na pôžičky poskytnuté tretím</w:t>
      </w:r>
      <w:r>
        <w:rPr>
          <w:spacing w:val="-5"/>
        </w:rPr>
        <w:t xml:space="preserve"> </w:t>
      </w:r>
      <w:r>
        <w:rPr/>
        <w:t>osobám,</w:t>
      </w:r>
    </w:p>
    <w:p>
      <w:pPr>
        <w:pStyle w:val="ListParagraph"/>
        <w:numPr>
          <w:ilvl w:val="2"/>
          <w:numId w:val="7"/>
        </w:numPr>
        <w:tabs>
          <w:tab w:val="clear" w:pos="720"/>
          <w:tab w:val="left" w:pos="851" w:leader="none"/>
          <w:tab w:val="left" w:pos="1896" w:leader="none"/>
          <w:tab w:val="left" w:pos="9781" w:leader="none"/>
        </w:tabs>
        <w:spacing w:lineRule="exact" w:line="252" w:before="2" w:after="0"/>
        <w:ind w:left="873" w:hanging="380"/>
        <w:jc w:val="both"/>
        <w:rPr>
          <w:sz w:val="20"/>
        </w:rPr>
      </w:pPr>
      <w:r>
        <w:rPr/>
        <w:t>príjmy zo splácania pôžičiek od tretích</w:t>
      </w:r>
      <w:r>
        <w:rPr>
          <w:spacing w:val="-12"/>
        </w:rPr>
        <w:t xml:space="preserve"> </w:t>
      </w:r>
      <w:r>
        <w:rPr/>
        <w:t>osôb,</w:t>
      </w:r>
    </w:p>
    <w:p>
      <w:pPr>
        <w:pStyle w:val="ListParagraph"/>
        <w:numPr>
          <w:ilvl w:val="2"/>
          <w:numId w:val="7"/>
        </w:numPr>
        <w:tabs>
          <w:tab w:val="clear" w:pos="720"/>
          <w:tab w:val="left" w:pos="851" w:leader="none"/>
          <w:tab w:val="left" w:pos="1896" w:leader="none"/>
          <w:tab w:val="left" w:pos="9781" w:leader="none"/>
        </w:tabs>
        <w:ind w:left="873" w:right="577" w:hanging="380"/>
        <w:jc w:val="both"/>
        <w:rPr>
          <w:sz w:val="20"/>
        </w:rPr>
      </w:pPr>
      <w:r>
        <w:rPr/>
        <w:t>príjmy z prenájmu súboru hnuteľného majetku a nehnuteľného majetku používaného a odpisovaného</w:t>
      </w:r>
      <w:r>
        <w:rPr>
          <w:spacing w:val="-1"/>
        </w:rPr>
        <w:t xml:space="preserve"> </w:t>
      </w:r>
      <w:r>
        <w:rPr/>
        <w:t>nájomcom,</w:t>
      </w:r>
    </w:p>
    <w:p>
      <w:pPr>
        <w:pStyle w:val="ListParagraph"/>
        <w:numPr>
          <w:ilvl w:val="2"/>
          <w:numId w:val="7"/>
        </w:numPr>
        <w:tabs>
          <w:tab w:val="clear" w:pos="720"/>
          <w:tab w:val="left" w:pos="851" w:leader="none"/>
          <w:tab w:val="left" w:pos="1896" w:leader="none"/>
          <w:tab w:val="left" w:pos="9781" w:leader="none"/>
        </w:tabs>
        <w:ind w:left="873" w:right="579" w:hanging="380"/>
        <w:jc w:val="both"/>
        <w:rPr>
          <w:sz w:val="20"/>
        </w:rPr>
      </w:pPr>
      <w:r>
        <w:rPr/>
        <w:t>výdavky súvisiace s derivátmi, s výnimkou, ak sú určené na predaj alebo na obchodovanie, alebo ak sa tieto výdavky považujú za peňažné toky z finančnej</w:t>
      </w:r>
      <w:r>
        <w:rPr>
          <w:spacing w:val="-14"/>
        </w:rPr>
        <w:t xml:space="preserve"> </w:t>
      </w:r>
      <w:r>
        <w:rPr/>
        <w:t>činnosti,</w:t>
      </w:r>
    </w:p>
    <w:p>
      <w:pPr>
        <w:pStyle w:val="ListParagraph"/>
        <w:numPr>
          <w:ilvl w:val="2"/>
          <w:numId w:val="7"/>
        </w:numPr>
        <w:tabs>
          <w:tab w:val="clear" w:pos="720"/>
          <w:tab w:val="left" w:pos="851" w:leader="none"/>
          <w:tab w:val="left" w:pos="1896" w:leader="none"/>
          <w:tab w:val="left" w:pos="9781" w:leader="none"/>
        </w:tabs>
        <w:spacing w:before="1" w:after="0"/>
        <w:ind w:left="873" w:right="576" w:hanging="380"/>
        <w:jc w:val="both"/>
        <w:rPr>
          <w:sz w:val="20"/>
        </w:rPr>
      </w:pPr>
      <w:r>
        <w:rPr/>
        <w:t>príjmy súvisiace s derivátmi s výnimkou, ak sú určené na predaj alebo na obchodovanie, alebo ak sa tieto výdavky považujú za peňažné toky z finančnej</w:t>
      </w:r>
      <w:r>
        <w:rPr>
          <w:spacing w:val="-15"/>
        </w:rPr>
        <w:t xml:space="preserve"> </w:t>
      </w:r>
      <w:r>
        <w:rPr/>
        <w:t>činnosti,</w:t>
      </w:r>
    </w:p>
    <w:p>
      <w:pPr>
        <w:pStyle w:val="ListParagraph"/>
        <w:numPr>
          <w:ilvl w:val="2"/>
          <w:numId w:val="7"/>
        </w:numPr>
        <w:tabs>
          <w:tab w:val="clear" w:pos="720"/>
          <w:tab w:val="left" w:pos="851" w:leader="none"/>
          <w:tab w:val="left" w:pos="1896" w:leader="none"/>
          <w:tab w:val="left" w:pos="9781" w:leader="none"/>
        </w:tabs>
        <w:ind w:left="873" w:right="573" w:hanging="380"/>
        <w:jc w:val="both"/>
        <w:rPr>
          <w:sz w:val="20"/>
        </w:rPr>
      </w:pPr>
      <w:r>
        <w:rPr/>
        <w:t>príjmy a výdavky súvisiace s derivátmi, ak sa nimi zabezpečuje majetok alebo záväzky účtovnej jednotky, pričom sa vykazujú  rovnakým spôsobom  ako  peňažný  tok  súvisiaci   s rizikom, ktoré sa</w:t>
      </w:r>
      <w:r>
        <w:rPr>
          <w:spacing w:val="44"/>
        </w:rPr>
        <w:t xml:space="preserve"> </w:t>
      </w:r>
      <w:r>
        <w:rPr/>
        <w:t>zabezpečuje,</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peňažných tokoch z finančnej činnosti, ktorými sú napríklad</w:t>
      </w:r>
    </w:p>
    <w:p>
      <w:pPr>
        <w:pStyle w:val="ListParagraph"/>
        <w:numPr>
          <w:ilvl w:val="2"/>
          <w:numId w:val="7"/>
        </w:numPr>
        <w:tabs>
          <w:tab w:val="clear" w:pos="720"/>
          <w:tab w:val="left" w:pos="851" w:leader="none"/>
          <w:tab w:val="left" w:pos="1896" w:leader="none"/>
          <w:tab w:val="left" w:pos="9781" w:leader="none"/>
        </w:tabs>
        <w:ind w:left="873" w:right="573" w:hanging="380"/>
        <w:jc w:val="both"/>
        <w:rPr>
          <w:sz w:val="20"/>
        </w:rPr>
      </w:pPr>
      <w:r>
        <w:rPr/>
        <w:t>príjmy z emisie akcií, príjmy z upísaných obchodných podielov a príjmy z iného zvýšenia vlastného</w:t>
      </w:r>
      <w:r>
        <w:rPr>
          <w:spacing w:val="-3"/>
        </w:rPr>
        <w:t xml:space="preserve"> </w:t>
      </w:r>
      <w:r>
        <w:rPr/>
        <w:t>imania,</w:t>
      </w:r>
    </w:p>
    <w:p>
      <w:pPr>
        <w:pStyle w:val="ListParagraph"/>
        <w:numPr>
          <w:ilvl w:val="2"/>
          <w:numId w:val="7"/>
        </w:numPr>
        <w:tabs>
          <w:tab w:val="clear" w:pos="720"/>
          <w:tab w:val="left" w:pos="851" w:leader="none"/>
          <w:tab w:val="left" w:pos="1896" w:leader="none"/>
          <w:tab w:val="left" w:pos="9781" w:leader="none"/>
        </w:tabs>
        <w:ind w:left="873" w:right="574" w:hanging="380"/>
        <w:jc w:val="both"/>
        <w:rPr>
          <w:sz w:val="20"/>
        </w:rPr>
      </w:pPr>
      <w:r>
        <w:rPr/>
        <w:t>výdavky na obstaranie alebo spätné odkúpenie vlastných akcií alebo vlastných obchodných podielov a výdavky na iné zníženie vlastného</w:t>
      </w:r>
      <w:r>
        <w:rPr>
          <w:spacing w:val="-10"/>
        </w:rPr>
        <w:t xml:space="preserve"> </w:t>
      </w:r>
      <w:r>
        <w:rPr/>
        <w:t>imania,</w:t>
      </w:r>
    </w:p>
    <w:p>
      <w:pPr>
        <w:pStyle w:val="ListParagraph"/>
        <w:numPr>
          <w:ilvl w:val="2"/>
          <w:numId w:val="7"/>
        </w:numPr>
        <w:tabs>
          <w:tab w:val="clear" w:pos="720"/>
          <w:tab w:val="left" w:pos="851" w:leader="none"/>
          <w:tab w:val="left" w:pos="1896" w:leader="none"/>
          <w:tab w:val="left" w:pos="9781" w:leader="none"/>
        </w:tabs>
        <w:spacing w:lineRule="exact" w:line="251"/>
        <w:ind w:left="873" w:hanging="380"/>
        <w:jc w:val="both"/>
        <w:rPr>
          <w:sz w:val="20"/>
        </w:rPr>
      </w:pPr>
      <w:r>
        <w:rPr/>
        <w:t>príjmy z emisie dlhových cenných papierov, úverov a</w:t>
      </w:r>
      <w:r>
        <w:rPr>
          <w:spacing w:val="42"/>
        </w:rPr>
        <w:t xml:space="preserve"> </w:t>
      </w:r>
      <w:r>
        <w:rPr/>
        <w:t>pôžičiek,</w:t>
      </w:r>
    </w:p>
    <w:p>
      <w:pPr>
        <w:pStyle w:val="ListParagraph"/>
        <w:numPr>
          <w:ilvl w:val="2"/>
          <w:numId w:val="7"/>
        </w:numPr>
        <w:tabs>
          <w:tab w:val="clear" w:pos="720"/>
          <w:tab w:val="left" w:pos="851" w:leader="none"/>
          <w:tab w:val="left" w:pos="1896" w:leader="none"/>
          <w:tab w:val="left" w:pos="9781" w:leader="none"/>
        </w:tabs>
        <w:spacing w:lineRule="exact" w:line="252"/>
        <w:ind w:left="873" w:hanging="380"/>
        <w:jc w:val="both"/>
        <w:rPr>
          <w:sz w:val="20"/>
        </w:rPr>
      </w:pPr>
      <w:r>
        <w:rPr/>
        <w:t>výdavky na úhradu záväzkov z cenných papierov, na splácanie úverov a</w:t>
      </w:r>
      <w:r>
        <w:rPr>
          <w:spacing w:val="-18"/>
        </w:rPr>
        <w:t xml:space="preserve"> </w:t>
      </w:r>
      <w:r>
        <w:rPr/>
        <w:t>pôžičiek,</w:t>
      </w:r>
    </w:p>
    <w:p>
      <w:pPr>
        <w:pStyle w:val="ListParagraph"/>
        <w:numPr>
          <w:ilvl w:val="2"/>
          <w:numId w:val="7"/>
        </w:numPr>
        <w:tabs>
          <w:tab w:val="clear" w:pos="720"/>
          <w:tab w:val="left" w:pos="851" w:leader="none"/>
          <w:tab w:val="left" w:pos="1896" w:leader="none"/>
          <w:tab w:val="left" w:pos="9781" w:leader="none"/>
        </w:tabs>
        <w:spacing w:before="1" w:after="0"/>
        <w:ind w:left="873" w:right="574" w:hanging="380"/>
        <w:jc w:val="both"/>
        <w:rPr>
          <w:sz w:val="20"/>
        </w:rPr>
      </w:pPr>
      <w:r>
        <w:rPr/>
        <w:t>výdavky na úhradu záväzkov z používania majetku, ktorý je predmetom zmluvy o kúpe prenajatej</w:t>
      </w:r>
      <w:r>
        <w:rPr>
          <w:spacing w:val="-1"/>
        </w:rPr>
        <w:t xml:space="preserve"> </w:t>
      </w:r>
      <w:r>
        <w:rPr/>
        <w:t>veci,</w:t>
      </w:r>
    </w:p>
    <w:p>
      <w:pPr>
        <w:pStyle w:val="ListParagraph"/>
        <w:numPr>
          <w:ilvl w:val="2"/>
          <w:numId w:val="7"/>
        </w:numPr>
        <w:tabs>
          <w:tab w:val="clear" w:pos="720"/>
          <w:tab w:val="left" w:pos="851" w:leader="none"/>
          <w:tab w:val="left" w:pos="1896" w:leader="none"/>
          <w:tab w:val="left" w:pos="9781" w:leader="none"/>
        </w:tabs>
        <w:ind w:left="873" w:right="578" w:hanging="380"/>
        <w:jc w:val="both"/>
        <w:rPr>
          <w:sz w:val="20"/>
        </w:rPr>
      </w:pPr>
      <w:r>
        <w:rPr/>
        <w:t>výdavky za nájom súboru hnuteľného majetku a nehnuteľného majetku používaného a odpisovaného</w:t>
      </w:r>
      <w:r>
        <w:rPr>
          <w:spacing w:val="-1"/>
        </w:rPr>
        <w:t xml:space="preserve"> </w:t>
      </w:r>
      <w:r>
        <w:rPr/>
        <w:t>nájomcom,</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čistých peňažných tokoch z prevádzkovej činnosti, investičnej činnosti a finančnej činnosti, pričom ako čisté peňažné toky sa môžu uvádzať</w:t>
      </w:r>
    </w:p>
    <w:p>
      <w:pPr>
        <w:pStyle w:val="ListParagraph"/>
        <w:numPr>
          <w:ilvl w:val="2"/>
          <w:numId w:val="7"/>
        </w:numPr>
        <w:tabs>
          <w:tab w:val="clear" w:pos="720"/>
          <w:tab w:val="left" w:pos="851" w:leader="none"/>
          <w:tab w:val="left" w:pos="1896" w:leader="none"/>
          <w:tab w:val="left" w:pos="9781" w:leader="none"/>
        </w:tabs>
        <w:ind w:left="873" w:right="572" w:hanging="380"/>
        <w:jc w:val="both"/>
        <w:rPr>
          <w:sz w:val="20"/>
        </w:rPr>
      </w:pPr>
      <w:r>
        <w:rPr/>
        <w:t>príjmy a výdavky uskutočnené v mene tretích osôb, ak sa peňažné toky vzťahujú na činnosť tretích osôb, napríklad príjmy a výdavky uskutočnené na bežných bankových účtoch, nájomné vyberané v mene majiteľov nehnuteľností a zaplatené týmto</w:t>
      </w:r>
      <w:r>
        <w:rPr>
          <w:spacing w:val="13"/>
        </w:rPr>
        <w:t xml:space="preserve"> </w:t>
      </w:r>
      <w:r>
        <w:rPr/>
        <w:t>majiteľom,</w:t>
      </w:r>
    </w:p>
    <w:p>
      <w:pPr>
        <w:pStyle w:val="ListParagraph"/>
        <w:numPr>
          <w:ilvl w:val="2"/>
          <w:numId w:val="7"/>
        </w:numPr>
        <w:tabs>
          <w:tab w:val="clear" w:pos="720"/>
          <w:tab w:val="left" w:pos="851" w:leader="none"/>
          <w:tab w:val="left" w:pos="1896" w:leader="none"/>
          <w:tab w:val="left" w:pos="9781" w:leader="none"/>
        </w:tabs>
        <w:ind w:left="873" w:right="578" w:hanging="380"/>
        <w:jc w:val="both"/>
        <w:rPr>
          <w:sz w:val="20"/>
        </w:rPr>
      </w:pPr>
      <w:r>
        <w:rPr/>
        <w:t>príjmy a výdavky na nákup a na predaj cenných papierov, na krátkodobé pôžičky, na preddavky alebo splátky prostredníctvom kreditných kariet, ktorých dohodnutá doba splatnosti je najviac tri</w:t>
      </w:r>
      <w:r>
        <w:rPr>
          <w:spacing w:val="-4"/>
        </w:rPr>
        <w:t xml:space="preserve"> </w:t>
      </w:r>
      <w:r>
        <w:rPr/>
        <w:t>mesiace,</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peňažných tokoch v príslušných cudzích menách, pričom sa</w:t>
      </w:r>
    </w:p>
    <w:p>
      <w:pPr>
        <w:pStyle w:val="ListParagraph"/>
        <w:numPr>
          <w:ilvl w:val="2"/>
          <w:numId w:val="7"/>
        </w:numPr>
        <w:tabs>
          <w:tab w:val="clear" w:pos="720"/>
          <w:tab w:val="left" w:pos="851" w:leader="none"/>
          <w:tab w:val="left" w:pos="9781" w:leader="none"/>
        </w:tabs>
        <w:ind w:left="851" w:right="572" w:hanging="339"/>
        <w:jc w:val="both"/>
        <w:rPr>
          <w:sz w:val="20"/>
        </w:rPr>
      </w:pPr>
      <w:r>
        <w:rPr/>
        <w:t>peňažné toky vyplývajúce z účtovných prípadov v cudzej mene vykazujú v eurách prepočítané referenčným výmenným kurzom určeným a vyhláseným Európskou centrálnou bankou alebo Národnou bankou Slovenska</w:t>
      </w:r>
      <w:r>
        <w:rPr>
          <w:position w:val="6"/>
          <w:sz w:val="14"/>
        </w:rPr>
        <w:t xml:space="preserve">1d) </w:t>
      </w:r>
      <w:r>
        <w:rPr/>
        <w:t>ku dňu, ku ktorému sa zostavuje účtovná závierka,</w:t>
      </w:r>
    </w:p>
    <w:p>
      <w:pPr>
        <w:pStyle w:val="ListParagraph"/>
        <w:numPr>
          <w:ilvl w:val="2"/>
          <w:numId w:val="7"/>
        </w:numPr>
        <w:tabs>
          <w:tab w:val="clear" w:pos="720"/>
          <w:tab w:val="left" w:pos="851" w:leader="none"/>
          <w:tab w:val="left" w:pos="9781" w:leader="none"/>
        </w:tabs>
        <w:ind w:left="851" w:right="575" w:hanging="339"/>
        <w:jc w:val="both"/>
        <w:rPr>
          <w:sz w:val="20"/>
        </w:rPr>
      </w:pPr>
      <w:r>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w:t>
      </w:r>
      <w:r>
        <w:rPr>
          <w:spacing w:val="-11"/>
        </w:rPr>
        <w:t xml:space="preserve"> </w:t>
      </w:r>
      <w:r>
        <w:rPr/>
        <w:t>tokmi,</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peňažných tokoch pri úrokoch, dividendách a iných podieloch na zisku, pričom</w:t>
      </w:r>
    </w:p>
    <w:p>
      <w:pPr>
        <w:pStyle w:val="ListParagraph"/>
        <w:numPr>
          <w:ilvl w:val="2"/>
          <w:numId w:val="7"/>
        </w:numPr>
        <w:tabs>
          <w:tab w:val="clear" w:pos="720"/>
          <w:tab w:val="left" w:pos="851" w:leader="none"/>
          <w:tab w:val="left" w:pos="9781" w:leader="none"/>
        </w:tabs>
        <w:spacing w:lineRule="auto" w:line="240"/>
        <w:ind w:left="851" w:right="579" w:hanging="339"/>
        <w:jc w:val="both"/>
        <w:rPr>
          <w:sz w:val="20"/>
        </w:rPr>
      </w:pPr>
      <w:r>
        <w:rPr/>
        <w:t>prijaté a zaplatené úroky, dividendy a iné podiely na zisku, ak sa zahŕňajú do výsledku hospodárenia z bežnej činnosti, uvádzajú sa ako peňažné toky z prevádzkovej</w:t>
      </w:r>
      <w:r>
        <w:rPr>
          <w:spacing w:val="-33"/>
        </w:rPr>
        <w:t xml:space="preserve"> </w:t>
      </w:r>
      <w:r>
        <w:rPr/>
        <w:t>činnosti,</w:t>
      </w:r>
    </w:p>
    <w:p>
      <w:pPr>
        <w:pStyle w:val="ListParagraph"/>
        <w:numPr>
          <w:ilvl w:val="2"/>
          <w:numId w:val="7"/>
        </w:numPr>
        <w:tabs>
          <w:tab w:val="clear" w:pos="720"/>
          <w:tab w:val="left" w:pos="851" w:leader="none"/>
          <w:tab w:val="left" w:pos="9781" w:leader="none"/>
        </w:tabs>
        <w:ind w:left="851" w:right="574" w:hanging="339"/>
        <w:jc w:val="both"/>
        <w:rPr>
          <w:sz w:val="20"/>
        </w:rPr>
      </w:pPr>
      <w:r>
        <w:rPr/>
        <w:t>prijaté úroky, prijaté dividendy a iné podiely na zisku, ak vyjadrujú spôsob návratnosti investícií, uvádzajú sa ako peňažné toky z investičnej</w:t>
      </w:r>
      <w:r>
        <w:rPr>
          <w:spacing w:val="-9"/>
        </w:rPr>
        <w:t xml:space="preserve"> </w:t>
      </w:r>
      <w:r>
        <w:rPr/>
        <w:t>činnosti,</w:t>
      </w:r>
    </w:p>
    <w:p>
      <w:pPr>
        <w:pStyle w:val="ListParagraph"/>
        <w:numPr>
          <w:ilvl w:val="2"/>
          <w:numId w:val="7"/>
        </w:numPr>
        <w:tabs>
          <w:tab w:val="clear" w:pos="720"/>
          <w:tab w:val="left" w:pos="851" w:leader="none"/>
          <w:tab w:val="left" w:pos="9781" w:leader="none"/>
        </w:tabs>
        <w:ind w:left="851" w:right="573" w:hanging="339"/>
        <w:jc w:val="both"/>
        <w:rPr>
          <w:sz w:val="20"/>
        </w:rPr>
      </w:pPr>
      <w:r>
        <w:rPr/>
        <w:t>zaplatené úroky, zaplatené dividendy a iné podiely na zisku, ak vyjadrujú výdavky na získanie finančných zdrojov, uvádzajú sa ako peňažné toky z finančnej</w:t>
      </w:r>
      <w:r>
        <w:rPr>
          <w:spacing w:val="-14"/>
        </w:rPr>
        <w:t xml:space="preserve"> </w:t>
      </w:r>
      <w:r>
        <w:rPr/>
        <w:t>činnosti,</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peňažných tokoch dane z príjmov účtovnej jednotky, ktoré sa uvádzajú ako samostatná položka, podľa charakteru z prevádzkovej činnosti, finančnej činnosti alebo investičnej činnosti,</w:t>
      </w:r>
    </w:p>
    <w:p>
      <w:pPr>
        <w:pStyle w:val="ListParagraph"/>
        <w:numPr>
          <w:ilvl w:val="1"/>
          <w:numId w:val="7"/>
        </w:numPr>
        <w:tabs>
          <w:tab w:val="clear" w:pos="720"/>
          <w:tab w:val="left" w:pos="426" w:leader="none"/>
          <w:tab w:val="left" w:pos="9781" w:leader="none"/>
        </w:tabs>
        <w:spacing w:before="1" w:after="0"/>
        <w:ind w:left="426" w:right="570" w:hanging="284"/>
        <w:jc w:val="both"/>
        <w:rPr>
          <w:sz w:val="20"/>
        </w:rPr>
      </w:pPr>
      <w:r>
        <w:rPr/>
        <w:t>skutočnostiach, ktoré nemajú priamy vplyv na peňažné toky, ale</w:t>
      </w:r>
    </w:p>
    <w:p>
      <w:pPr>
        <w:pStyle w:val="ListParagraph"/>
        <w:numPr>
          <w:ilvl w:val="2"/>
          <w:numId w:val="7"/>
        </w:numPr>
        <w:tabs>
          <w:tab w:val="clear" w:pos="720"/>
          <w:tab w:val="left" w:pos="851" w:leader="none"/>
          <w:tab w:val="left" w:pos="1936" w:leader="none"/>
          <w:tab w:val="left" w:pos="1937" w:leader="none"/>
          <w:tab w:val="left" w:pos="9781" w:leader="none"/>
        </w:tabs>
        <w:ind w:left="851" w:right="574" w:hanging="358"/>
        <w:jc w:val="both"/>
        <w:rPr>
          <w:sz w:val="20"/>
        </w:rPr>
      </w:pPr>
      <w:r>
        <w:rPr/>
        <w:t>ovplyvňujú v bežnom účtovnom období štruktúru majetku, záväzkov a vlastného imania účtovnej jednotky a vznikajú z investičnej činnosti a finančnej</w:t>
      </w:r>
      <w:r>
        <w:rPr>
          <w:spacing w:val="-13"/>
        </w:rPr>
        <w:t xml:space="preserve"> </w:t>
      </w:r>
      <w:r>
        <w:rPr/>
        <w:t>činnosti,</w:t>
      </w:r>
    </w:p>
    <w:p>
      <w:pPr>
        <w:pStyle w:val="ListParagraph"/>
        <w:numPr>
          <w:ilvl w:val="2"/>
          <w:numId w:val="7"/>
        </w:numPr>
        <w:tabs>
          <w:tab w:val="clear" w:pos="720"/>
          <w:tab w:val="left" w:pos="851" w:leader="none"/>
          <w:tab w:val="left" w:pos="1936" w:leader="none"/>
          <w:tab w:val="left" w:pos="1937" w:leader="none"/>
          <w:tab w:val="left" w:pos="9781" w:leader="none"/>
        </w:tabs>
        <w:ind w:left="851" w:right="573" w:hanging="358"/>
        <w:jc w:val="both"/>
        <w:rPr>
          <w:sz w:val="20"/>
        </w:rPr>
      </w:pPr>
      <w:r>
        <w:rPr/>
        <w:t>vplývajú na výsledok hospodárenia z bežnej činnosti; uvádzajú sa len, ak sa použije nepriama metóda vykazovania peňažných tokov z prevádzkovej</w:t>
      </w:r>
      <w:r>
        <w:rPr>
          <w:spacing w:val="-12"/>
        </w:rPr>
        <w:t xml:space="preserve"> </w:t>
      </w:r>
      <w:r>
        <w:rPr/>
        <w:t>činnosti.</w:t>
      </w:r>
    </w:p>
    <w:p>
      <w:pPr>
        <w:pStyle w:val="Telotextu"/>
        <w:tabs>
          <w:tab w:val="clear" w:pos="720"/>
          <w:tab w:val="left" w:pos="9781" w:leader="none"/>
        </w:tabs>
        <w:spacing w:before="8" w:after="0"/>
        <w:ind w:left="438" w:hanging="0"/>
        <w:jc w:val="both"/>
        <w:rPr>
          <w:sz w:val="17"/>
        </w:rPr>
      </w:pPr>
      <w:r>
        <w:rPr>
          <w:sz w:val="17"/>
        </w:rPr>
        <mc:AlternateContent>
          <mc:Choice Requires="wps">
            <w:drawing>
              <wp:anchor behindDoc="1" distT="0" distB="0" distL="0" distR="0" simplePos="0" locked="0" layoutInCell="0" allowOverlap="1" relativeHeight="54">
                <wp:simplePos x="0" y="0"/>
                <wp:positionH relativeFrom="page">
                  <wp:posOffset>901065</wp:posOffset>
                </wp:positionH>
                <wp:positionV relativeFrom="paragraph">
                  <wp:posOffset>153670</wp:posOffset>
                </wp:positionV>
                <wp:extent cx="1830705" cy="9525"/>
                <wp:effectExtent l="0" t="0" r="0" b="0"/>
                <wp:wrapTopAndBottom/>
                <wp:docPr id="4" name="Obrázok3"/>
                <a:graphic xmlns:a="http://schemas.openxmlformats.org/drawingml/2006/main">
                  <a:graphicData uri="http://schemas.microsoft.com/office/word/2010/wordprocessingShape">
                    <wps:wsp>
                      <wps:cNvSpPr/>
                      <wps:spPr>
                        <a:xfrm>
                          <a:off x="0" y="0"/>
                          <a:ext cx="1830240" cy="9000"/>
                        </a:xfrm>
                        <a:prstGeom prst="rect">
                          <a:avLst/>
                        </a:prstGeom>
                        <a:solidFill>
                          <a:srgbClr val="000000"/>
                        </a:solidFill>
                        <a:ln w="0">
                          <a:noFill/>
                        </a:ln>
                      </wps:spPr>
                      <wps:style>
                        <a:lnRef idx="0"/>
                        <a:fillRef idx="0"/>
                        <a:effectRef idx="0"/>
                        <a:fontRef idx="minor"/>
                      </wps:style>
                      <wps:bodyPr/>
                    </wps:wsp>
                  </a:graphicData>
                </a:graphic>
              </wp:anchor>
            </w:drawing>
          </mc:Choice>
          <mc:Fallback>
            <w:pict>
              <v:rect id="shape_0" ID="Obrázok3" path="m0,0l-2147483645,0l-2147483645,-2147483646l0,-2147483646xe" fillcolor="black" stroked="f" style="position:absolute;margin-left:70.95pt;margin-top:12.1pt;width:144.05pt;height:0.65pt;mso-wrap-style:none;v-text-anchor:middle;mso-position-horizontal-relative:page">
                <v:fill o:detectmouseclick="t" type="solid" color2="white"/>
                <v:stroke color="#3465a4" joinstyle="round" endcap="flat"/>
                <w10:wrap type="topAndBottom"/>
              </v:rect>
            </w:pict>
          </mc:Fallback>
        </mc:AlternateContent>
      </w:r>
    </w:p>
    <w:p>
      <w:pPr>
        <w:pStyle w:val="ListParagraph"/>
        <w:tabs>
          <w:tab w:val="clear" w:pos="720"/>
          <w:tab w:val="left" w:pos="9781" w:leader="none"/>
        </w:tabs>
        <w:spacing w:before="76" w:after="0"/>
        <w:ind w:left="438" w:right="851" w:hanging="0"/>
        <w:jc w:val="both"/>
        <w:rPr>
          <w:sz w:val="20"/>
        </w:rPr>
      </w:pPr>
      <w:r>
        <w:rPr>
          <w:position w:val="5"/>
          <w:sz w:val="13"/>
        </w:rPr>
        <w:t xml:space="preserve">1d) </w:t>
      </w:r>
      <w:r>
        <w:rPr>
          <w:sz w:val="20"/>
        </w:rPr>
        <w:t>Čl. 12 ods. 12.1 Protokolu o Štatúte Európskeho systému centrálnych bánk a Európskej centrálnej banky (Ú. v. EÚ C 321E, 29.12.2006) § 28 ods. 2 zákona Národnej rady Slovenskej republiky č. 566/1992 Zb. o Národnej banke Slovenska v znení zákona č. 659/2007 Z. z.</w:t>
      </w:r>
    </w:p>
    <w:p>
      <w:pPr>
        <w:pStyle w:val="Normal"/>
        <w:tabs>
          <w:tab w:val="clear" w:pos="720"/>
          <w:tab w:val="left" w:pos="9781" w:leader="none"/>
        </w:tabs>
        <w:jc w:val="both"/>
        <w:rPr>
          <w:sz w:val="20"/>
        </w:rPr>
      </w:pPr>
      <w:r>
        <w:rPr>
          <w:sz w:val="20"/>
        </w:rPr>
      </w:r>
    </w:p>
    <w:p>
      <w:pPr>
        <w:pStyle w:val="Normal"/>
        <w:tabs>
          <w:tab w:val="clear" w:pos="720"/>
          <w:tab w:val="left" w:pos="9781" w:leader="none"/>
        </w:tabs>
        <w:jc w:val="both"/>
        <w:rPr>
          <w:sz w:val="20"/>
        </w:rPr>
      </w:pPr>
      <w:r>
        <w:rPr>
          <w:sz w:val="20"/>
        </w:rPr>
      </w:r>
    </w:p>
    <w:p>
      <w:pPr>
        <w:pStyle w:val="Nadpis1"/>
        <w:numPr>
          <w:ilvl w:val="0"/>
          <w:numId w:val="7"/>
        </w:numPr>
        <w:tabs>
          <w:tab w:val="clear" w:pos="720"/>
          <w:tab w:val="left" w:pos="284" w:leader="none"/>
          <w:tab w:val="left" w:pos="9781" w:leader="none"/>
        </w:tabs>
        <w:ind w:left="284" w:right="576" w:hanging="300"/>
        <w:jc w:val="both"/>
        <w:rPr>
          <w:sz w:val="24"/>
        </w:rPr>
      </w:pPr>
      <w:r>
        <w:rPr>
          <w:sz w:val="24"/>
        </w:rPr>
        <w:t>V  prehľade  peňažných   tokov   sa   pri   použití   priamej   metódy   vykazovania   peňažných   tokov  z prevádzkovej činnosti môžu uvádzať jeho položky v takomto usporiadaní a s týmto</w:t>
      </w:r>
      <w:r>
        <w:rPr>
          <w:spacing w:val="-18"/>
          <w:sz w:val="24"/>
        </w:rPr>
        <w:t xml:space="preserve"> </w:t>
      </w:r>
      <w:r>
        <w:rPr>
          <w:sz w:val="24"/>
        </w:rPr>
        <w:t>označením:</w:t>
      </w:r>
    </w:p>
    <w:p>
      <w:pPr>
        <w:pStyle w:val="Telotextu"/>
        <w:tabs>
          <w:tab w:val="clear" w:pos="720"/>
          <w:tab w:val="left" w:pos="9781" w:leader="none"/>
        </w:tabs>
        <w:spacing w:before="10" w:after="0"/>
        <w:jc w:val="both"/>
        <w:rPr>
          <w:b/>
          <w:b/>
          <w:sz w:val="21"/>
        </w:rPr>
      </w:pPr>
      <w:r>
        <w:rPr>
          <w:b/>
          <w:sz w:val="21"/>
        </w:rPr>
      </w:r>
    </w:p>
    <w:p>
      <w:pPr>
        <w:pStyle w:val="Normal"/>
        <w:tabs>
          <w:tab w:val="clear" w:pos="720"/>
          <w:tab w:val="left" w:pos="2262" w:leader="none"/>
          <w:tab w:val="left" w:pos="9781" w:leader="none"/>
        </w:tabs>
        <w:ind w:left="498" w:hanging="0"/>
        <w:jc w:val="both"/>
        <w:rPr>
          <w:b/>
          <w:b/>
        </w:rPr>
      </w:pPr>
      <w:r>
        <w:rPr>
          <w:b/>
        </w:rPr>
        <w:t>Označenie</w:t>
        <w:tab/>
        <w:t>Obsah</w:t>
      </w:r>
    </w:p>
    <w:p>
      <w:pPr>
        <w:pStyle w:val="Nadpis1"/>
        <w:tabs>
          <w:tab w:val="clear" w:pos="720"/>
          <w:tab w:val="left" w:pos="2313" w:leader="none"/>
          <w:tab w:val="left" w:pos="9781" w:leader="none"/>
        </w:tabs>
        <w:spacing w:before="2" w:after="21"/>
        <w:ind w:left="498" w:hanging="0"/>
        <w:jc w:val="both"/>
        <w:rPr>
          <w:sz w:val="20"/>
        </w:rPr>
      </w:pPr>
      <w:r>
        <w:rPr/>
        <w:t>položky</w:t>
        <w:tab/>
        <w:t>položky</w:t>
      </w:r>
    </w:p>
    <w:p>
      <w:pPr>
        <w:pStyle w:val="Telotextu"/>
        <w:tabs>
          <w:tab w:val="clear" w:pos="720"/>
          <w:tab w:val="left" w:pos="9781" w:leader="none"/>
        </w:tabs>
        <w:spacing w:lineRule="exact" w:line="28"/>
        <w:ind w:left="110" w:hanging="0"/>
        <w:jc w:val="both"/>
        <w:rPr>
          <w:sz w:val="2"/>
        </w:rPr>
      </w:pPr>
      <w:r>
        <w:rPr/>
        <mc:AlternateContent>
          <mc:Choice Requires="wpg">
            <w:drawing>
              <wp:inline distT="0" distB="0" distL="0" distR="0">
                <wp:extent cx="5800090" cy="20320"/>
                <wp:effectExtent l="0" t="0" r="0" b="0"/>
                <wp:docPr id="5" name="Útvar4"/>
                <a:graphic xmlns:a="http://schemas.openxmlformats.org/drawingml/2006/main">
                  <a:graphicData uri="http://schemas.microsoft.com/office/word/2010/wordprocessingGroup">
                    <wpg:wgp>
                      <wpg:cNvGrpSpPr/>
                      <wpg:grpSpPr>
                        <a:xfrm>
                          <a:off x="0" y="0"/>
                          <a:ext cx="5799600" cy="19800"/>
                          <a:chOff x="0" y="-20160"/>
                          <a:chExt cx="5799600" cy="19800"/>
                        </a:xfrm>
                      </wpg:grpSpPr>
                      <wps:wsp>
                        <wps:cNvSpPr/>
                        <wps:spPr>
                          <a:xfrm>
                            <a:off x="0" y="0"/>
                            <a:ext cx="5799600" cy="19800"/>
                          </a:xfrm>
                          <a:prstGeom prst="rect">
                            <a:avLst/>
                          </a:prstGeom>
                          <a:solidFill>
                            <a:srgbClr val="000000"/>
                          </a:solidFill>
                          <a:ln w="0">
                            <a:noFill/>
                          </a:ln>
                        </wps:spPr>
                        <wps:style>
                          <a:lnRef idx="0"/>
                          <a:fillRef idx="0"/>
                          <a:effectRef idx="0"/>
                          <a:fontRef idx="minor"/>
                        </wps:style>
                        <wps:bodyPr/>
                      </wps:wsp>
                    </wpg:wgp>
                  </a:graphicData>
                </a:graphic>
              </wp:inline>
            </w:drawing>
          </mc:Choice>
          <mc:Fallback>
            <w:pict>
              <v:group id="shape_0" alt="Útvar4" style="position:absolute;margin-left:0pt;margin-top:-1.6pt;width:456.65pt;height:1.55pt" coordorigin="0,-32" coordsize="9133,31">
                <v:rect id="shape_0" path="m0,0l-2147483645,0l-2147483645,-2147483646l0,-2147483646xe" fillcolor="black" stroked="f" style="position:absolute;left:0;top:-32;width:9132;height:30;mso-wrap-style:none;v-text-anchor:middle;mso-position-vertical:top">
                  <v:fill o:detectmouseclick="t" type="solid" color2="white"/>
                  <v:stroke color="#3465a4" joinstyle="round" endcap="flat"/>
                  <w10:wrap type="square"/>
                </v:rect>
              </v:group>
            </w:pict>
          </mc:Fallback>
        </mc:AlternateContent>
      </w:r>
    </w:p>
    <w:p>
      <w:pPr>
        <w:pStyle w:val="Telotextu"/>
        <w:tabs>
          <w:tab w:val="clear" w:pos="720"/>
          <w:tab w:val="left" w:pos="9781" w:leader="none"/>
        </w:tabs>
        <w:spacing w:before="3" w:after="0"/>
        <w:jc w:val="both"/>
        <w:rPr>
          <w:b/>
          <w:b/>
          <w:sz w:val="13"/>
        </w:rPr>
      </w:pPr>
      <w:r>
        <w:rPr>
          <w:b/>
          <w:sz w:val="13"/>
        </w:rPr>
      </w:r>
    </w:p>
    <w:p>
      <w:pPr>
        <w:pStyle w:val="Normal"/>
        <w:tabs>
          <w:tab w:val="clear" w:pos="720"/>
          <w:tab w:val="left" w:pos="4387" w:leader="none"/>
          <w:tab w:val="left" w:pos="9781" w:leader="none"/>
        </w:tabs>
        <w:spacing w:lineRule="exact" w:line="252" w:before="101" w:after="0"/>
        <w:ind w:left="498" w:hanging="0"/>
        <w:jc w:val="both"/>
        <w:rPr>
          <w:b/>
          <w:b/>
        </w:rPr>
      </w:pPr>
      <w:r>
        <w:rPr>
          <w:rFonts w:ascii="Times New Roman" w:hAnsi="Times New Roman"/>
          <w:spacing w:val="-56"/>
          <w:u w:val="single"/>
        </w:rPr>
        <w:t xml:space="preserve"> </w:t>
      </w:r>
      <w:r>
        <w:rPr>
          <w:b/>
          <w:u w:val="single"/>
        </w:rPr>
        <w:t>Peňažné toky z prevádzkovej</w:t>
      </w:r>
      <w:r>
        <w:rPr>
          <w:b/>
          <w:spacing w:val="-19"/>
          <w:u w:val="single"/>
        </w:rPr>
        <w:t xml:space="preserve"> </w:t>
      </w:r>
      <w:r>
        <w:rPr>
          <w:b/>
          <w:u w:val="single"/>
        </w:rPr>
        <w:t>činnosti</w:t>
        <w:tab/>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1.</w:t>
        <w:tab/>
        <w:t>Príjmy z predaja tovaru</w:t>
      </w:r>
      <w:r>
        <w:rPr>
          <w:spacing w:val="-8"/>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2.</w:t>
        <w:tab/>
        <w:t>Výdavky na nákup tovaru</w:t>
      </w:r>
      <w:r>
        <w:rPr>
          <w:spacing w:val="-2"/>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3.</w:t>
        <w:tab/>
        <w:t>Príjmy z predaja vlastných výrobkov</w:t>
      </w:r>
      <w:r>
        <w:rPr>
          <w:spacing w:val="-2"/>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4.</w:t>
        <w:tab/>
        <w:t>Príjmy z predaja služieb</w:t>
      </w:r>
      <w:r>
        <w:rPr>
          <w:spacing w:val="-1"/>
        </w:rPr>
        <w:t xml:space="preserve"> </w:t>
      </w:r>
      <w:r>
        <w:rPr/>
        <w:t>(+)</w:t>
      </w:r>
    </w:p>
    <w:p>
      <w:pPr>
        <w:pStyle w:val="Telotextu"/>
        <w:tabs>
          <w:tab w:val="clear" w:pos="720"/>
          <w:tab w:val="left" w:pos="2262" w:leader="none"/>
          <w:tab w:val="left" w:pos="9781" w:leader="none"/>
        </w:tabs>
        <w:spacing w:lineRule="exact" w:line="252" w:before="2" w:after="0"/>
        <w:ind w:left="846" w:hanging="0"/>
        <w:jc w:val="both"/>
        <w:rPr>
          <w:sz w:val="20"/>
        </w:rPr>
      </w:pPr>
      <w:r>
        <w:rPr/>
        <w:t>A.</w:t>
      </w:r>
      <w:r>
        <w:rPr>
          <w:spacing w:val="-1"/>
        </w:rPr>
        <w:t xml:space="preserve"> </w:t>
      </w:r>
      <w:r>
        <w:rPr/>
        <w:t>5.</w:t>
        <w:tab/>
        <w:t>Výdavky na obstaranie materiálu, energie a ostatných neskladovateľných dodávok</w:t>
      </w:r>
      <w:r>
        <w:rPr>
          <w:spacing w:val="-20"/>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6.</w:t>
        <w:tab/>
        <w:t>Výdavky na služby</w:t>
      </w:r>
      <w:r>
        <w:rPr>
          <w:spacing w:val="-2"/>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7.</w:t>
        <w:tab/>
        <w:t>Výdavky na osobné náklady</w:t>
      </w:r>
      <w:r>
        <w:rPr>
          <w:spacing w:val="-2"/>
        </w:rPr>
        <w:t xml:space="preserve"> </w:t>
      </w:r>
      <w:r>
        <w:rPr/>
        <w:t>(-)</w:t>
      </w:r>
    </w:p>
    <w:p>
      <w:pPr>
        <w:pStyle w:val="Telotextu"/>
        <w:tabs>
          <w:tab w:val="clear" w:pos="720"/>
          <w:tab w:val="left" w:pos="2262" w:leader="none"/>
          <w:tab w:val="left" w:pos="9781" w:leader="none"/>
        </w:tabs>
        <w:ind w:left="2262" w:right="572" w:hanging="1416"/>
        <w:jc w:val="both"/>
        <w:rPr>
          <w:sz w:val="20"/>
        </w:rPr>
      </w:pPr>
      <w:r>
        <w:rPr/>
        <w:t>A.</w:t>
      </w:r>
      <w:r>
        <w:rPr>
          <w:spacing w:val="-1"/>
        </w:rPr>
        <w:t xml:space="preserve"> </w:t>
      </w:r>
      <w:r>
        <w:rPr/>
        <w:t>8.</w:t>
        <w:tab/>
        <w:t>Výdavky na dane a poplatky, s výnimkou výdavkov na daň z príjmov účtovnej jednotky (-)</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9.</w:t>
        <w:tab/>
        <w:t>Príjmy z predaja cenných papierov určených na predaj alebo na obchodovanie</w:t>
      </w:r>
      <w:r>
        <w:rPr>
          <w:spacing w:val="-20"/>
        </w:rPr>
        <w:t xml:space="preserve"> </w:t>
      </w:r>
      <w:r>
        <w:rPr/>
        <w:t>(+)</w:t>
      </w:r>
    </w:p>
    <w:p>
      <w:pPr>
        <w:pStyle w:val="Telotextu"/>
        <w:tabs>
          <w:tab w:val="clear" w:pos="720"/>
          <w:tab w:val="left" w:pos="2262" w:leader="none"/>
          <w:tab w:val="left" w:pos="9781" w:leader="none"/>
        </w:tabs>
        <w:spacing w:lineRule="exact" w:line="252" w:before="2" w:after="0"/>
        <w:ind w:left="846" w:hanging="0"/>
        <w:jc w:val="both"/>
        <w:rPr>
          <w:sz w:val="20"/>
        </w:rPr>
      </w:pPr>
      <w:r>
        <w:rPr/>
        <w:t>A.</w:t>
      </w:r>
      <w:r>
        <w:rPr>
          <w:spacing w:val="-1"/>
        </w:rPr>
        <w:t xml:space="preserve"> </w:t>
      </w:r>
      <w:r>
        <w:rPr/>
        <w:t>10.</w:t>
        <w:tab/>
        <w:t>Výdavky na nákup cenných papierov určených na predaj alebo na obchodovanie</w:t>
      </w:r>
      <w:r>
        <w:rPr>
          <w:spacing w:val="-18"/>
        </w:rPr>
        <w:t xml:space="preserve"> </w:t>
      </w:r>
      <w:r>
        <w:rPr/>
        <w:t>(-)</w:t>
      </w:r>
    </w:p>
    <w:p>
      <w:pPr>
        <w:pStyle w:val="Telotextu"/>
        <w:tabs>
          <w:tab w:val="clear" w:pos="720"/>
          <w:tab w:val="left" w:pos="2262" w:leader="none"/>
          <w:tab w:val="left" w:pos="9781" w:leader="none"/>
        </w:tabs>
        <w:ind w:left="2262" w:right="621" w:hanging="1416"/>
        <w:jc w:val="both"/>
        <w:rPr>
          <w:sz w:val="20"/>
        </w:rPr>
      </w:pPr>
      <w:r>
        <w:rPr/>
        <w:t>A.</w:t>
      </w:r>
      <w:r>
        <w:rPr>
          <w:spacing w:val="-1"/>
        </w:rPr>
        <w:t xml:space="preserve"> </w:t>
      </w:r>
      <w:r>
        <w:rPr/>
        <w:t>11.</w:t>
        <w:tab/>
        <w:t>Príjmy z uzatvorených zmlúv, ktorých predmetom je právo určené na predaj alebo na obchodovanie (+)</w:t>
      </w:r>
    </w:p>
    <w:p>
      <w:pPr>
        <w:pStyle w:val="Telotextu"/>
        <w:tabs>
          <w:tab w:val="clear" w:pos="720"/>
          <w:tab w:val="left" w:pos="2262" w:leader="none"/>
          <w:tab w:val="left" w:pos="9781" w:leader="none"/>
        </w:tabs>
        <w:ind w:left="2262" w:right="621" w:hanging="1416"/>
        <w:jc w:val="both"/>
        <w:rPr>
          <w:sz w:val="20"/>
        </w:rPr>
      </w:pPr>
      <w:r>
        <w:rPr/>
        <w:t>A.</w:t>
      </w:r>
      <w:r>
        <w:rPr>
          <w:spacing w:val="-1"/>
        </w:rPr>
        <w:t xml:space="preserve"> </w:t>
      </w:r>
      <w:r>
        <w:rPr/>
        <w:t>12.</w:t>
        <w:tab/>
        <w:t>Výdavky z uzatvorených zmlúv, ktorých predmetom je právo určené na predaj alebo  na obchodovanie</w:t>
      </w:r>
      <w:r>
        <w:rPr>
          <w:spacing w:val="-1"/>
        </w:rPr>
        <w:t xml:space="preserve"> </w:t>
      </w:r>
      <w:r>
        <w:rPr/>
        <w:t>(-)</w:t>
      </w:r>
    </w:p>
    <w:p>
      <w:pPr>
        <w:pStyle w:val="Telotextu"/>
        <w:tabs>
          <w:tab w:val="clear" w:pos="720"/>
          <w:tab w:val="left" w:pos="2262" w:leader="none"/>
          <w:tab w:val="left" w:pos="9781" w:leader="none"/>
        </w:tabs>
        <w:ind w:left="2262" w:right="621" w:hanging="1416"/>
        <w:jc w:val="both"/>
        <w:rPr>
          <w:sz w:val="20"/>
        </w:rPr>
      </w:pPr>
      <w:r>
        <w:rPr/>
        <w:t>A. 13.</w:t>
        <w:tab/>
        <w:t>Príjmy z úverov, ktoré účtovnej jednotke poskytla banka alebo pobočka zahraničnej banky, ak boli úvery poskytnuté na zabezpečenie hlavného predmetu činnosti</w:t>
      </w:r>
      <w:r>
        <w:rPr>
          <w:spacing w:val="-24"/>
        </w:rPr>
        <w:t xml:space="preserve"> </w:t>
      </w:r>
      <w:r>
        <w:rPr/>
        <w:t>(+)</w:t>
      </w:r>
    </w:p>
    <w:p>
      <w:pPr>
        <w:pStyle w:val="Telotextu"/>
        <w:tabs>
          <w:tab w:val="clear" w:pos="720"/>
          <w:tab w:val="left" w:pos="2262" w:leader="none"/>
          <w:tab w:val="left" w:pos="9781" w:leader="none"/>
        </w:tabs>
        <w:spacing w:before="76" w:after="0"/>
        <w:ind w:left="2262" w:right="574" w:hanging="1416"/>
        <w:jc w:val="both"/>
        <w:rPr>
          <w:sz w:val="20"/>
        </w:rPr>
      </w:pPr>
      <w:r>
        <w:rPr/>
        <w:t>A.</w:t>
      </w:r>
      <w:r>
        <w:rPr>
          <w:spacing w:val="-1"/>
        </w:rPr>
        <w:t xml:space="preserve"> </w:t>
      </w:r>
      <w:r>
        <w:rPr/>
        <w:t>14.</w:t>
        <w:tab/>
        <w:t>Výdavky na splácanie úverov, ktoré účtovnej jednotke poskytla banka alebo pobočka zahraničnej banky, ak boli úvery poskytnuté na zabezpečenie hlavného predmetu činnosti</w:t>
      </w:r>
      <w:r>
        <w:rPr>
          <w:spacing w:val="-1"/>
        </w:rPr>
        <w:t xml:space="preserve"> </w:t>
      </w:r>
      <w:r>
        <w:rPr/>
        <w:t>(-)</w:t>
      </w:r>
    </w:p>
    <w:p>
      <w:pPr>
        <w:pStyle w:val="Telotextu"/>
        <w:tabs>
          <w:tab w:val="clear" w:pos="720"/>
          <w:tab w:val="left" w:pos="2262" w:leader="none"/>
          <w:tab w:val="left" w:pos="9781" w:leader="none"/>
        </w:tabs>
        <w:ind w:left="2262" w:right="576" w:hanging="1416"/>
        <w:jc w:val="both"/>
        <w:rPr>
          <w:sz w:val="20"/>
        </w:rPr>
      </w:pPr>
      <w:r>
        <w:rPr/>
        <w:t>A.</w:t>
      </w:r>
      <w:r>
        <w:rPr>
          <w:spacing w:val="-1"/>
        </w:rPr>
        <w:t xml:space="preserve"> </w:t>
      </w:r>
      <w:r>
        <w:rPr/>
        <w:t>15.</w:t>
        <w:tab/>
        <w:t>Ostatné príjmy z prevádzkových činností, s výnimkou tých, ktoré sa uvádzajú osobitne v iných častiach prehľadu peňažných tokov</w:t>
      </w:r>
      <w:r>
        <w:rPr>
          <w:spacing w:val="-5"/>
        </w:rPr>
        <w:t xml:space="preserve"> </w:t>
      </w:r>
      <w:r>
        <w:rPr/>
        <w:t>(+)</w:t>
      </w:r>
    </w:p>
    <w:p>
      <w:pPr>
        <w:pStyle w:val="Telotextu"/>
        <w:tabs>
          <w:tab w:val="clear" w:pos="720"/>
          <w:tab w:val="left" w:pos="2262" w:leader="none"/>
          <w:tab w:val="left" w:pos="9781" w:leader="none"/>
        </w:tabs>
        <w:ind w:left="2262" w:right="575" w:hanging="1416"/>
        <w:jc w:val="both"/>
        <w:rPr>
          <w:sz w:val="20"/>
        </w:rPr>
      </w:pPr>
      <w:r>
        <w:rPr/>
        <w:t>A.</w:t>
      </w:r>
      <w:r>
        <w:rPr>
          <w:spacing w:val="-1"/>
        </w:rPr>
        <w:t xml:space="preserve"> </w:t>
      </w:r>
      <w:r>
        <w:rPr/>
        <w:t>16.</w:t>
        <w:tab/>
        <w:t>Ostatné výdavky na prevádzkové činnosti, s výnimkou tých, ktoré sa uvádzajú  osobitne v iných častiach prehľadu peňažných tokov</w:t>
      </w:r>
      <w:r>
        <w:rPr>
          <w:spacing w:val="-8"/>
        </w:rPr>
        <w:t xml:space="preserve"> </w:t>
      </w:r>
      <w:r>
        <w:rPr/>
        <w:t>(-)</w:t>
      </w:r>
    </w:p>
    <w:p>
      <w:pPr>
        <w:pStyle w:val="Normal"/>
        <w:tabs>
          <w:tab w:val="clear" w:pos="720"/>
          <w:tab w:val="left" w:pos="2265" w:leader="none"/>
          <w:tab w:val="left" w:pos="9781" w:leader="none"/>
        </w:tabs>
        <w:ind w:left="2265" w:right="570" w:hanging="1419"/>
        <w:jc w:val="both"/>
        <w:rPr>
          <w:b/>
          <w:b/>
          <w:i/>
          <w:i/>
        </w:rPr>
      </w:pPr>
      <w:r>
        <w:rPr>
          <w:b/>
          <w:i/>
        </w:rPr>
        <w:t>.</w:t>
        <w:tab/>
        <w:t>Peňažné toky z prevádzkovej činnosti, s výnimkou príjmov a výdavkov, ktoré sa uvádzajú osobitne v iných častiach prehľadu peňažných tokov (+/-), (súčet A.1. až</w:t>
      </w:r>
      <w:r>
        <w:rPr>
          <w:b/>
          <w:i/>
          <w:spacing w:val="-1"/>
        </w:rPr>
        <w:t xml:space="preserve"> </w:t>
      </w:r>
      <w:r>
        <w:rPr>
          <w:b/>
          <w:i/>
        </w:rPr>
        <w:t>A.16.)</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17.</w:t>
        <w:tab/>
        <w:t>Prijaté úroky, s výnimkou tých, ktoré sa začleňujú do investičných činností</w:t>
      </w:r>
      <w:r>
        <w:rPr>
          <w:spacing w:val="-18"/>
        </w:rPr>
        <w:t xml:space="preserve"> </w:t>
      </w:r>
      <w:r>
        <w:rPr/>
        <w:t>(+)</w:t>
      </w:r>
    </w:p>
    <w:p>
      <w:pPr>
        <w:pStyle w:val="Telotextu"/>
        <w:tabs>
          <w:tab w:val="clear" w:pos="720"/>
          <w:tab w:val="left" w:pos="2262" w:leader="none"/>
          <w:tab w:val="left" w:pos="9781" w:leader="none"/>
        </w:tabs>
        <w:ind w:left="2262" w:right="851" w:hanging="1416"/>
        <w:jc w:val="both"/>
        <w:rPr>
          <w:sz w:val="20"/>
        </w:rPr>
      </w:pPr>
      <w:r>
        <w:rPr/>
        <w:t>A.</w:t>
      </w:r>
      <w:r>
        <w:rPr>
          <w:spacing w:val="-1"/>
        </w:rPr>
        <w:t xml:space="preserve"> </w:t>
      </w:r>
      <w:r>
        <w:rPr/>
        <w:t>18.</w:t>
        <w:tab/>
        <w:t>Výdavky na zaplatené úroky, s výnimkou tých, ktoré sa začleňujú do finančných činností</w:t>
      </w:r>
      <w:r>
        <w:rPr>
          <w:spacing w:val="-1"/>
        </w:rPr>
        <w:t xml:space="preserve"> </w:t>
      </w:r>
      <w:r>
        <w:rPr/>
        <w:t>(-)</w:t>
      </w:r>
    </w:p>
    <w:p>
      <w:pPr>
        <w:pStyle w:val="Telotextu"/>
        <w:tabs>
          <w:tab w:val="clear" w:pos="720"/>
          <w:tab w:val="left" w:pos="2262" w:leader="none"/>
          <w:tab w:val="left" w:pos="9781" w:leader="none"/>
        </w:tabs>
        <w:ind w:left="2262" w:right="851" w:hanging="1416"/>
        <w:jc w:val="both"/>
        <w:rPr>
          <w:sz w:val="20"/>
        </w:rPr>
      </w:pPr>
      <w:r>
        <w:rPr/>
        <w:t>A.</w:t>
      </w:r>
      <w:r>
        <w:rPr>
          <w:spacing w:val="-1"/>
        </w:rPr>
        <w:t xml:space="preserve"> </w:t>
      </w:r>
      <w:r>
        <w:rPr/>
        <w:t>19.</w:t>
        <w:tab/>
        <w:t>Príjmy z dividend a iných podielov na zisku, s výnimkou tých, ktoré sa začleňujú do investičných činností</w:t>
      </w:r>
      <w:r>
        <w:rPr>
          <w:spacing w:val="-7"/>
        </w:rPr>
        <w:t xml:space="preserve"> </w:t>
      </w:r>
      <w:r>
        <w:rPr/>
        <w:t>(+)</w:t>
      </w:r>
    </w:p>
    <w:p>
      <w:pPr>
        <w:pStyle w:val="Telotextu"/>
        <w:tabs>
          <w:tab w:val="clear" w:pos="720"/>
          <w:tab w:val="left" w:pos="2262" w:leader="none"/>
          <w:tab w:val="left" w:pos="9781" w:leader="none"/>
        </w:tabs>
        <w:spacing w:before="1" w:after="0"/>
        <w:ind w:left="2262" w:right="851" w:hanging="1416"/>
        <w:jc w:val="both"/>
        <w:rPr>
          <w:sz w:val="20"/>
        </w:rPr>
      </w:pPr>
      <w:r>
        <w:rPr/>
        <w:t>A.</w:t>
      </w:r>
      <w:r>
        <w:rPr>
          <w:spacing w:val="-1"/>
        </w:rPr>
        <w:t xml:space="preserve"> </w:t>
      </w:r>
      <w:r>
        <w:rPr/>
        <w:t>20.</w:t>
        <w:tab/>
        <w:t>Výdavky na vyplatené dividendy a iné podiely na zisku, s výnimkou tých, ktoré sa začleňujú do finančných činností</w:t>
      </w:r>
      <w:r>
        <w:rPr>
          <w:spacing w:val="-7"/>
        </w:rPr>
        <w:t xml:space="preserve"> </w:t>
      </w:r>
      <w:r>
        <w:rPr/>
        <w:t>(-)</w:t>
      </w:r>
    </w:p>
    <w:p>
      <w:pPr>
        <w:pStyle w:val="Normal"/>
        <w:tabs>
          <w:tab w:val="clear" w:pos="720"/>
          <w:tab w:val="left" w:pos="9781" w:leader="none"/>
        </w:tabs>
        <w:spacing w:lineRule="exact" w:line="251"/>
        <w:ind w:left="2262" w:hanging="0"/>
        <w:jc w:val="both"/>
        <w:rPr>
          <w:b/>
          <w:b/>
          <w:i/>
          <w:i/>
        </w:rPr>
      </w:pPr>
      <w:r>
        <w:rPr>
          <w:b/>
          <w:i/>
        </w:rPr>
        <w:t>Peňažné toky z prevádzkovej činnosti (+/-), (súčet A.1. až A.20.)</w:t>
      </w:r>
    </w:p>
    <w:p>
      <w:pPr>
        <w:pStyle w:val="Telotextu"/>
        <w:tabs>
          <w:tab w:val="clear" w:pos="720"/>
          <w:tab w:val="left" w:pos="2265" w:leader="none"/>
          <w:tab w:val="left" w:pos="9781" w:leader="none"/>
        </w:tabs>
        <w:ind w:left="2265" w:right="621" w:hanging="1419"/>
        <w:jc w:val="both"/>
        <w:rPr>
          <w:sz w:val="20"/>
        </w:rPr>
      </w:pPr>
      <w:r>
        <w:rPr/>
        <w:t>A. 21.</w:t>
        <w:tab/>
        <w:t>Výdavky na daň z príjmov účtovnej jednotky, s výnimkou tých, ktoré sa začleňujú do investičných činností alebo do finančných činností</w:t>
      </w:r>
      <w:r>
        <w:rPr>
          <w:spacing w:val="-10"/>
        </w:rPr>
        <w:t xml:space="preserve"> </w:t>
      </w:r>
      <w:r>
        <w:rPr/>
        <w:t>(-/+)</w:t>
      </w:r>
    </w:p>
    <w:p>
      <w:pPr>
        <w:pStyle w:val="Normal"/>
        <w:tabs>
          <w:tab w:val="clear" w:pos="720"/>
          <w:tab w:val="left" w:pos="2262" w:leader="none"/>
          <w:tab w:val="left" w:pos="9781" w:leader="none"/>
        </w:tabs>
        <w:spacing w:before="1" w:after="0"/>
        <w:ind w:left="2262" w:right="621" w:hanging="1416"/>
        <w:jc w:val="both"/>
        <w:rPr>
          <w:sz w:val="20"/>
        </w:rPr>
      </w:pPr>
      <w:r>
        <w:rPr/>
        <w:t>A.</w:t>
      </w:r>
      <w:r>
        <w:rPr>
          <w:spacing w:val="-1"/>
        </w:rPr>
        <w:t xml:space="preserve"> </w:t>
      </w:r>
      <w:r>
        <w:rPr/>
        <w:t>22.</w:t>
        <w:tab/>
        <w:t xml:space="preserve">Príjmy </w:t>
      </w:r>
      <w:r>
        <w:rPr>
          <w:b/>
        </w:rPr>
        <w:t xml:space="preserve">výnimočného rozsahu alebo výskytu </w:t>
      </w:r>
      <w:r>
        <w:rPr/>
        <w:t>vzťahujúce sa na prevádzkovú činnosť (+)</w:t>
      </w:r>
    </w:p>
    <w:p>
      <w:pPr>
        <w:pStyle w:val="Normal"/>
        <w:tabs>
          <w:tab w:val="clear" w:pos="720"/>
          <w:tab w:val="left" w:pos="2262" w:leader="none"/>
          <w:tab w:val="left" w:pos="9781" w:leader="none"/>
        </w:tabs>
        <w:ind w:left="2262" w:right="851" w:hanging="1416"/>
        <w:jc w:val="both"/>
        <w:rPr>
          <w:sz w:val="20"/>
        </w:rPr>
      </w:pPr>
      <w:r>
        <w:rPr/>
        <w:t>A.</w:t>
      </w:r>
      <w:r>
        <w:rPr>
          <w:spacing w:val="-1"/>
        </w:rPr>
        <w:t xml:space="preserve"> </w:t>
      </w:r>
      <w:r>
        <w:rPr/>
        <w:t>23.</w:t>
        <w:tab/>
        <w:t xml:space="preserve">Výdavky </w:t>
      </w:r>
      <w:r>
        <w:rPr>
          <w:b/>
        </w:rPr>
        <w:t xml:space="preserve">výnimočného rozsahu alebo výskytu </w:t>
      </w:r>
      <w:r>
        <w:rPr/>
        <w:t>vzťahujúce sa na prevádzkovú činnosť</w:t>
      </w:r>
      <w:r>
        <w:rPr>
          <w:spacing w:val="-1"/>
        </w:rPr>
        <w:t xml:space="preserve"> </w:t>
      </w:r>
      <w:r>
        <w:rPr/>
        <w:t>(-)</w:t>
      </w:r>
    </w:p>
    <w:p>
      <w:pPr>
        <w:pStyle w:val="ListParagraph"/>
        <w:numPr>
          <w:ilvl w:val="0"/>
          <w:numId w:val="6"/>
        </w:numPr>
        <w:tabs>
          <w:tab w:val="clear" w:pos="720"/>
          <w:tab w:val="left" w:pos="2233" w:leader="none"/>
          <w:tab w:val="left" w:pos="2234" w:leader="none"/>
          <w:tab w:val="left" w:pos="9781" w:leader="none"/>
        </w:tabs>
        <w:jc w:val="both"/>
        <w:rPr>
          <w:b/>
          <w:b/>
          <w:i/>
          <w:i/>
        </w:rPr>
      </w:pPr>
      <w:r>
        <w:rPr>
          <w:b/>
          <w:i/>
        </w:rPr>
        <w:t>Čisté peňažné toky z prevádzkovej činnosti (súčet A.1. až</w:t>
      </w:r>
      <w:r>
        <w:rPr>
          <w:b/>
          <w:i/>
          <w:spacing w:val="-14"/>
        </w:rPr>
        <w:t xml:space="preserve"> </w:t>
      </w:r>
      <w:r>
        <w:rPr>
          <w:b/>
          <w:i/>
        </w:rPr>
        <w:t>A.23.)</w:t>
      </w:r>
    </w:p>
    <w:p>
      <w:pPr>
        <w:pStyle w:val="Telotextu"/>
        <w:tabs>
          <w:tab w:val="clear" w:pos="720"/>
          <w:tab w:val="left" w:pos="9781" w:leader="none"/>
        </w:tabs>
        <w:jc w:val="both"/>
        <w:rPr>
          <w:b/>
          <w:b/>
          <w:i/>
          <w:i/>
        </w:rPr>
      </w:pPr>
      <w:r>
        <w:rPr>
          <w:b/>
          <w:i/>
        </w:rPr>
      </w:r>
    </w:p>
    <w:p>
      <w:pPr>
        <w:pStyle w:val="Nadpis1"/>
        <w:tabs>
          <w:tab w:val="clear" w:pos="720"/>
          <w:tab w:val="left" w:pos="2262" w:leader="none"/>
          <w:tab w:val="left" w:pos="9781" w:leader="none"/>
        </w:tabs>
        <w:ind w:left="498" w:hanging="0"/>
        <w:jc w:val="both"/>
        <w:rPr>
          <w:sz w:val="20"/>
        </w:rPr>
      </w:pPr>
      <w:r>
        <w:rPr/>
        <w:t>Označenie</w:t>
        <w:tab/>
        <w:t>Obsah</w:t>
      </w:r>
    </w:p>
    <w:p>
      <w:pPr>
        <w:pStyle w:val="Normal"/>
        <w:tabs>
          <w:tab w:val="clear" w:pos="720"/>
          <w:tab w:val="left" w:pos="2313" w:leader="none"/>
          <w:tab w:val="left" w:pos="9781" w:leader="none"/>
        </w:tabs>
        <w:spacing w:before="2" w:after="21"/>
        <w:ind w:left="498" w:hanging="0"/>
        <w:jc w:val="both"/>
        <w:rPr>
          <w:b/>
          <w:b/>
        </w:rPr>
      </w:pPr>
      <w:r>
        <w:rPr>
          <w:b/>
        </w:rPr>
        <w:t>položky</w:t>
        <w:tab/>
        <w:t>položky</w:t>
      </w:r>
    </w:p>
    <w:p>
      <w:pPr>
        <w:pStyle w:val="Telotextu"/>
        <w:tabs>
          <w:tab w:val="clear" w:pos="720"/>
          <w:tab w:val="left" w:pos="9781" w:leader="none"/>
        </w:tabs>
        <w:spacing w:lineRule="exact" w:line="28"/>
        <w:ind w:left="110" w:hanging="0"/>
        <w:jc w:val="both"/>
        <w:rPr>
          <w:sz w:val="2"/>
        </w:rPr>
      </w:pPr>
      <w:r>
        <w:rPr/>
        <mc:AlternateContent>
          <mc:Choice Requires="wpg">
            <w:drawing>
              <wp:inline distT="0" distB="0" distL="0" distR="0">
                <wp:extent cx="5800090" cy="20320"/>
                <wp:effectExtent l="0" t="0" r="0" b="0"/>
                <wp:docPr id="6" name="Útvar5"/>
                <a:graphic xmlns:a="http://schemas.openxmlformats.org/drawingml/2006/main">
                  <a:graphicData uri="http://schemas.microsoft.com/office/word/2010/wordprocessingGroup">
                    <wpg:wgp>
                      <wpg:cNvGrpSpPr/>
                      <wpg:grpSpPr>
                        <a:xfrm>
                          <a:off x="0" y="0"/>
                          <a:ext cx="5799600" cy="19800"/>
                          <a:chOff x="0" y="-20160"/>
                          <a:chExt cx="5799600" cy="19800"/>
                        </a:xfrm>
                      </wpg:grpSpPr>
                      <wps:wsp>
                        <wps:cNvSpPr/>
                        <wps:spPr>
                          <a:xfrm>
                            <a:off x="0" y="0"/>
                            <a:ext cx="5799600" cy="19800"/>
                          </a:xfrm>
                          <a:prstGeom prst="rect">
                            <a:avLst/>
                          </a:prstGeom>
                          <a:solidFill>
                            <a:srgbClr val="000000"/>
                          </a:solidFill>
                          <a:ln w="0">
                            <a:noFill/>
                          </a:ln>
                        </wps:spPr>
                        <wps:style>
                          <a:lnRef idx="0"/>
                          <a:fillRef idx="0"/>
                          <a:effectRef idx="0"/>
                          <a:fontRef idx="minor"/>
                        </wps:style>
                        <wps:bodyPr/>
                      </wps:wsp>
                    </wpg:wgp>
                  </a:graphicData>
                </a:graphic>
              </wp:inline>
            </w:drawing>
          </mc:Choice>
          <mc:Fallback>
            <w:pict>
              <v:group id="shape_0" alt="Útvar5" style="position:absolute;margin-left:0pt;margin-top:-1.6pt;width:456.65pt;height:1.55pt" coordorigin="0,-32" coordsize="9133,31">
                <v:rect id="shape_0" path="m0,0l-2147483645,0l-2147483645,-2147483646l0,-2147483646xe" fillcolor="black" stroked="f" style="position:absolute;left:0;top:-32;width:9132;height:30;mso-wrap-style:none;v-text-anchor:middle;mso-position-vertical:top">
                  <v:fill o:detectmouseclick="t" type="solid" color2="white"/>
                  <v:stroke color="#3465a4" joinstyle="round" endcap="flat"/>
                  <w10:wrap type="square"/>
                </v:rect>
              </v:group>
            </w:pict>
          </mc:Fallback>
        </mc:AlternateContent>
      </w:r>
    </w:p>
    <w:p>
      <w:pPr>
        <w:pStyle w:val="Telotextu"/>
        <w:tabs>
          <w:tab w:val="clear" w:pos="720"/>
          <w:tab w:val="left" w:pos="9781" w:leader="none"/>
        </w:tabs>
        <w:spacing w:before="1" w:after="0"/>
        <w:jc w:val="both"/>
        <w:rPr>
          <w:b/>
          <w:b/>
          <w:sz w:val="13"/>
        </w:rPr>
      </w:pPr>
      <w:r>
        <w:rPr>
          <w:b/>
          <w:sz w:val="13"/>
        </w:rPr>
      </w:r>
    </w:p>
    <w:p>
      <w:pPr>
        <w:pStyle w:val="Normal"/>
        <w:tabs>
          <w:tab w:val="clear" w:pos="720"/>
          <w:tab w:val="left" w:pos="9781" w:leader="none"/>
        </w:tabs>
        <w:spacing w:lineRule="exact" w:line="252" w:before="100" w:after="0"/>
        <w:ind w:left="498" w:hanging="0"/>
        <w:jc w:val="both"/>
        <w:rPr>
          <w:b/>
          <w:b/>
        </w:rPr>
      </w:pPr>
      <w:r>
        <w:rPr>
          <w:rFonts w:ascii="Times New Roman" w:hAnsi="Times New Roman"/>
          <w:spacing w:val="-56"/>
          <w:u w:val="single"/>
        </w:rPr>
        <w:t xml:space="preserve"> </w:t>
      </w:r>
      <w:r>
        <w:rPr>
          <w:b/>
          <w:u w:val="single"/>
        </w:rPr>
        <w:t>Peňažné toky z investičnej činnosti</w:t>
      </w:r>
    </w:p>
    <w:p>
      <w:pPr>
        <w:pStyle w:val="ListParagraph"/>
        <w:numPr>
          <w:ilvl w:val="0"/>
          <w:numId w:val="6"/>
        </w:numPr>
        <w:tabs>
          <w:tab w:val="clear" w:pos="720"/>
          <w:tab w:val="left" w:pos="1068" w:leader="none"/>
          <w:tab w:val="left" w:pos="2262" w:leader="none"/>
          <w:tab w:val="left" w:pos="9781" w:leader="none"/>
        </w:tabs>
        <w:spacing w:lineRule="exact" w:line="252"/>
        <w:ind w:left="1067" w:hanging="222"/>
        <w:jc w:val="both"/>
        <w:rPr>
          <w:i/>
          <w:i/>
        </w:rPr>
      </w:pPr>
      <w:r>
        <w:rPr/>
        <w:t>1.</w:t>
        <w:tab/>
        <w:t>Výdavky na obstaranie dlhodobého nehmotného majetku</w:t>
      </w:r>
      <w:r>
        <w:rPr>
          <w:spacing w:val="-8"/>
        </w:rPr>
        <w:t xml:space="preserve"> </w:t>
      </w:r>
      <w:r>
        <w:rPr/>
        <w:t>(-)</w:t>
      </w:r>
      <w:r>
        <w:rPr>
          <w:i/>
          <w:position w:val="6"/>
          <w:sz w:val="14"/>
        </w:rPr>
        <w:t>1</w:t>
      </w:r>
    </w:p>
    <w:p>
      <w:pPr>
        <w:pStyle w:val="Telotextu"/>
        <w:tabs>
          <w:tab w:val="clear" w:pos="720"/>
          <w:tab w:val="left" w:pos="2262" w:leader="none"/>
          <w:tab w:val="left" w:pos="9781" w:leader="none"/>
        </w:tabs>
        <w:spacing w:lineRule="exact" w:line="252"/>
        <w:ind w:left="846" w:hanging="0"/>
        <w:jc w:val="both"/>
        <w:rPr>
          <w:i/>
          <w:i/>
          <w:sz w:val="14"/>
        </w:rPr>
      </w:pPr>
      <w:r>
        <w:rPr/>
        <w:t>B.</w:t>
      </w:r>
      <w:r>
        <w:rPr>
          <w:spacing w:val="-1"/>
        </w:rPr>
        <w:t xml:space="preserve"> </w:t>
      </w:r>
      <w:r>
        <w:rPr/>
        <w:t>2.</w:t>
        <w:tab/>
        <w:t>Výdavky na obstaranie dlhodobého hmotného majetku</w:t>
      </w:r>
      <w:r>
        <w:rPr>
          <w:spacing w:val="-10"/>
        </w:rPr>
        <w:t xml:space="preserve"> </w:t>
      </w:r>
      <w:r>
        <w:rPr/>
        <w:t>(-)</w:t>
      </w:r>
      <w:r>
        <w:rPr>
          <w:i/>
          <w:position w:val="6"/>
          <w:sz w:val="14"/>
        </w:rPr>
        <w:t>1</w:t>
      </w:r>
    </w:p>
    <w:p>
      <w:pPr>
        <w:pStyle w:val="Telotextu"/>
        <w:tabs>
          <w:tab w:val="clear" w:pos="720"/>
          <w:tab w:val="left" w:pos="2262" w:leader="none"/>
          <w:tab w:val="left" w:pos="9781" w:leader="none"/>
        </w:tabs>
        <w:spacing w:before="2" w:after="0"/>
        <w:ind w:left="2262" w:right="572" w:hanging="1416"/>
        <w:jc w:val="both"/>
        <w:rPr>
          <w:i/>
          <w:i/>
          <w:sz w:val="14"/>
        </w:rPr>
      </w:pPr>
      <w:r>
        <w:rPr/>
        <w:t>B.</w:t>
      </w:r>
      <w:r>
        <w:rPr>
          <w:spacing w:val="-1"/>
        </w:rPr>
        <w:t xml:space="preserve"> </w:t>
      </w:r>
      <w:r>
        <w:rPr/>
        <w:t>3.</w:t>
        <w:tab/>
        <w:t>Výdavky na obstaranie dlhodobých cenných papierov a podielov v iných účtovných jednotkách, s výnimkou cenných papierov, ktoré sa považujú za peňažné ekvivalenty  a cenných papierov určených na predaj alebo na obchodovanie</w:t>
      </w:r>
      <w:r>
        <w:rPr>
          <w:spacing w:val="37"/>
        </w:rPr>
        <w:t xml:space="preserve"> </w:t>
      </w:r>
      <w:r>
        <w:rPr/>
        <w:t>(-)</w:t>
      </w:r>
      <w:r>
        <w:rPr>
          <w:i/>
          <w:position w:val="6"/>
          <w:sz w:val="14"/>
        </w:rPr>
        <w:t>1</w:t>
      </w:r>
    </w:p>
    <w:p>
      <w:pPr>
        <w:pStyle w:val="Telotextu"/>
        <w:tabs>
          <w:tab w:val="clear" w:pos="720"/>
          <w:tab w:val="left" w:pos="2262" w:leader="none"/>
          <w:tab w:val="left" w:pos="9781" w:leader="none"/>
        </w:tabs>
        <w:spacing w:lineRule="exact" w:line="251"/>
        <w:ind w:left="846" w:hanging="0"/>
        <w:jc w:val="both"/>
        <w:rPr>
          <w:sz w:val="20"/>
        </w:rPr>
      </w:pPr>
      <w:r>
        <w:rPr/>
        <w:t>B.</w:t>
      </w:r>
      <w:r>
        <w:rPr>
          <w:spacing w:val="-1"/>
        </w:rPr>
        <w:t xml:space="preserve"> </w:t>
      </w:r>
      <w:r>
        <w:rPr/>
        <w:t>4.</w:t>
        <w:tab/>
        <w:t>Príjmy z predaja dlhodobého nehmotného majetku</w:t>
      </w:r>
      <w:r>
        <w:rPr>
          <w:spacing w:val="-2"/>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B.</w:t>
      </w:r>
      <w:r>
        <w:rPr>
          <w:spacing w:val="-1"/>
        </w:rPr>
        <w:t xml:space="preserve"> </w:t>
      </w:r>
      <w:r>
        <w:rPr/>
        <w:t>5.</w:t>
        <w:tab/>
        <w:t>Príjmy z predaja dlhodobého hmotného majetku</w:t>
      </w:r>
      <w:r>
        <w:rPr>
          <w:spacing w:val="-4"/>
        </w:rPr>
        <w:t xml:space="preserve"> </w:t>
      </w:r>
      <w:r>
        <w:rPr/>
        <w:t>(+)</w:t>
      </w:r>
    </w:p>
    <w:p>
      <w:pPr>
        <w:pStyle w:val="Telotextu"/>
        <w:tabs>
          <w:tab w:val="clear" w:pos="720"/>
          <w:tab w:val="left" w:pos="2262" w:leader="none"/>
          <w:tab w:val="left" w:pos="9781" w:leader="none"/>
        </w:tabs>
        <w:ind w:left="2262" w:right="573" w:hanging="1416"/>
        <w:jc w:val="both"/>
        <w:rPr>
          <w:sz w:val="20"/>
        </w:rPr>
      </w:pPr>
      <w:r>
        <w:rPr/>
        <w:t>B.</w:t>
      </w:r>
      <w:r>
        <w:rPr>
          <w:spacing w:val="-1"/>
        </w:rPr>
        <w:t xml:space="preserve"> </w:t>
      </w:r>
      <w:r>
        <w:rPr/>
        <w:t>6.</w:t>
        <w:tab/>
        <w:t>Príjmy z predaja dlhodobých cenných papierov a podielov v iných účtovných jednotkách, s výnimkou cenných papierov, ktoré sa považujú za peňažné ekvivalenty a cenných papierov určených na predaj alebo na obchodovanie</w:t>
      </w:r>
      <w:r>
        <w:rPr>
          <w:spacing w:val="38"/>
        </w:rPr>
        <w:t xml:space="preserve"> </w:t>
      </w:r>
      <w:r>
        <w:rPr/>
        <w:t>(+)</w:t>
      </w:r>
    </w:p>
    <w:p>
      <w:pPr>
        <w:pStyle w:val="Telotextu"/>
        <w:tabs>
          <w:tab w:val="clear" w:pos="720"/>
          <w:tab w:val="left" w:pos="2262" w:leader="none"/>
          <w:tab w:val="left" w:pos="9781" w:leader="none"/>
        </w:tabs>
        <w:spacing w:before="1" w:after="0"/>
        <w:ind w:left="2262" w:right="573" w:hanging="1416"/>
        <w:jc w:val="both"/>
        <w:rPr>
          <w:sz w:val="20"/>
        </w:rPr>
      </w:pPr>
      <w:r>
        <w:rPr/>
        <w:t>B.</w:t>
      </w:r>
      <w:r>
        <w:rPr>
          <w:spacing w:val="-1"/>
        </w:rPr>
        <w:t xml:space="preserve"> </w:t>
      </w:r>
      <w:r>
        <w:rPr/>
        <w:t>7.</w:t>
        <w:tab/>
        <w:t>Výdavky na dlhodobé pôžičky poskytnuté účtovnou jednotkou inej účtovnej jednotke, ktorá je súčasťou konsolidovaného celku</w:t>
      </w:r>
      <w:r>
        <w:rPr>
          <w:spacing w:val="-7"/>
        </w:rPr>
        <w:t xml:space="preserve"> </w:t>
      </w:r>
      <w:r>
        <w:rPr/>
        <w:t>(-)</w:t>
      </w:r>
    </w:p>
    <w:p>
      <w:pPr>
        <w:pStyle w:val="Telotextu"/>
        <w:tabs>
          <w:tab w:val="clear" w:pos="720"/>
          <w:tab w:val="left" w:pos="2265" w:leader="none"/>
          <w:tab w:val="left" w:pos="9781" w:leader="none"/>
        </w:tabs>
        <w:ind w:left="2265" w:right="579" w:hanging="1419"/>
        <w:jc w:val="both"/>
        <w:rPr>
          <w:sz w:val="20"/>
        </w:rPr>
      </w:pPr>
      <w:r>
        <w:rPr/>
        <w:t>B.</w:t>
      </w:r>
      <w:r>
        <w:rPr>
          <w:spacing w:val="-1"/>
        </w:rPr>
        <w:t xml:space="preserve"> </w:t>
      </w:r>
      <w:r>
        <w:rPr/>
        <w:t>8.</w:t>
        <w:tab/>
        <w:t>Príjmy zo splácania dlhodobých pôžičiek poskytnutých účtovnou jednotkou inej účtovnej jednotke, ktorá je súčasťou konsolidovaného celku</w:t>
      </w:r>
      <w:r>
        <w:rPr>
          <w:spacing w:val="-8"/>
        </w:rPr>
        <w:t xml:space="preserve"> </w:t>
      </w:r>
      <w:r>
        <w:rPr/>
        <w:t>(+)</w:t>
      </w:r>
    </w:p>
    <w:p>
      <w:pPr>
        <w:pStyle w:val="Telotextu"/>
        <w:tabs>
          <w:tab w:val="clear" w:pos="720"/>
          <w:tab w:val="left" w:pos="2265" w:leader="none"/>
          <w:tab w:val="left" w:pos="9781" w:leader="none"/>
        </w:tabs>
        <w:spacing w:before="1" w:after="0"/>
        <w:ind w:left="2265" w:right="572" w:hanging="1419"/>
        <w:jc w:val="both"/>
        <w:rPr>
          <w:sz w:val="20"/>
        </w:rPr>
      </w:pPr>
      <w:r>
        <w:rPr/>
        <w:t>B.</w:t>
      </w:r>
      <w:r>
        <w:rPr>
          <w:spacing w:val="-1"/>
        </w:rPr>
        <w:t xml:space="preserve"> </w:t>
      </w:r>
      <w:r>
        <w:rPr/>
        <w:t>9.</w:t>
        <w:tab/>
        <w:t>Výdavky  na  dlhodobé   pôžičky   poskytnuté   účtovnou  jednotkou  tretím   osobám,  s výnimkou dlhodobých pôžičiek poskytnutých účtovnej jednotke, ktorá je súčasťou konsolidovaného celku</w:t>
      </w:r>
      <w:r>
        <w:rPr>
          <w:spacing w:val="-1"/>
        </w:rPr>
        <w:t xml:space="preserve"> </w:t>
      </w:r>
      <w:r>
        <w:rPr/>
        <w:t>(-)</w:t>
      </w:r>
    </w:p>
    <w:p>
      <w:pPr>
        <w:pStyle w:val="Telotextu"/>
        <w:tabs>
          <w:tab w:val="clear" w:pos="720"/>
          <w:tab w:val="left" w:pos="2265" w:leader="none"/>
          <w:tab w:val="left" w:pos="9781" w:leader="none"/>
        </w:tabs>
        <w:ind w:left="2265" w:right="572" w:hanging="1419"/>
        <w:jc w:val="both"/>
        <w:rPr>
          <w:sz w:val="20"/>
        </w:rPr>
      </w:pPr>
      <w:r>
        <w:rPr/>
        <w:t>B.</w:t>
      </w:r>
      <w:r>
        <w:rPr>
          <w:spacing w:val="-1"/>
        </w:rPr>
        <w:t xml:space="preserve"> </w:t>
      </w:r>
      <w:r>
        <w:rPr/>
        <w:t>10.</w:t>
        <w:tab/>
        <w:t>Príjmy  zo  splácania  pôžičiek  poskytnutých  účtovnou  jednotkou  tretím   osobám,    s výnimkou pôžičiek poskytnutých účtovnej jednotke, ktorá je súčasťou konsolidovaného celku</w:t>
      </w:r>
      <w:r>
        <w:rPr>
          <w:spacing w:val="1"/>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B. 11.</w:t>
        <w:tab/>
        <w:t>Prijaté úroky, s výnimkou tých, ktoré sa začleňujú do prevádzkových činností</w:t>
      </w:r>
      <w:r>
        <w:rPr>
          <w:spacing w:val="-18"/>
        </w:rPr>
        <w:t xml:space="preserve"> </w:t>
      </w:r>
      <w:r>
        <w:rPr/>
        <w:t>(+)</w:t>
      </w:r>
    </w:p>
    <w:p>
      <w:pPr>
        <w:pStyle w:val="Telotextu"/>
        <w:tabs>
          <w:tab w:val="clear" w:pos="720"/>
          <w:tab w:val="left" w:pos="2262" w:leader="none"/>
          <w:tab w:val="left" w:pos="9781" w:leader="none"/>
        </w:tabs>
        <w:ind w:left="2262" w:right="575" w:hanging="1416"/>
        <w:jc w:val="both"/>
        <w:rPr>
          <w:sz w:val="20"/>
        </w:rPr>
      </w:pPr>
      <w:r>
        <w:rPr/>
        <w:t>B. 12.</w:t>
        <w:tab/>
        <w:t>Príjmy z dividend a iných podielov na zisku, s výnimkou tých, ktoré sa začleňujú do prevádzkových činností</w:t>
      </w:r>
      <w:r>
        <w:rPr>
          <w:spacing w:val="-4"/>
        </w:rPr>
        <w:t xml:space="preserve"> </w:t>
      </w:r>
      <w:r>
        <w:rPr/>
        <w:t>(+)</w:t>
      </w:r>
    </w:p>
    <w:p>
      <w:pPr>
        <w:pStyle w:val="Telotextu"/>
        <w:tabs>
          <w:tab w:val="clear" w:pos="720"/>
          <w:tab w:val="left" w:pos="2262" w:leader="none"/>
          <w:tab w:val="left" w:pos="9781" w:leader="none"/>
        </w:tabs>
        <w:spacing w:before="76" w:after="0"/>
        <w:ind w:left="2262" w:right="571" w:hanging="1416"/>
        <w:jc w:val="both"/>
        <w:rPr>
          <w:sz w:val="20"/>
        </w:rPr>
      </w:pPr>
      <w:r>
        <w:rPr/>
        <w:t>B. 13.</w:t>
        <w:tab/>
        <w:t>Výdavky súvisiace s derivátmi s výnimkou, ak sú určené na predaj alebo na obchodovanie alebo, ak sa tieto výdavky považujú za peňažné toky z finančnej  činnosti</w:t>
      </w:r>
      <w:r>
        <w:rPr>
          <w:spacing w:val="-1"/>
        </w:rPr>
        <w:t xml:space="preserve"> </w:t>
      </w:r>
      <w:r>
        <w:rPr/>
        <w:t>(-)</w:t>
      </w:r>
    </w:p>
    <w:p>
      <w:pPr>
        <w:pStyle w:val="Telotextu"/>
        <w:tabs>
          <w:tab w:val="clear" w:pos="720"/>
          <w:tab w:val="left" w:pos="2265" w:leader="none"/>
          <w:tab w:val="left" w:pos="9781" w:leader="none"/>
        </w:tabs>
        <w:ind w:left="2265" w:right="571" w:hanging="1419"/>
        <w:jc w:val="both"/>
        <w:rPr>
          <w:sz w:val="20"/>
        </w:rPr>
      </w:pPr>
      <w:r>
        <w:rPr/>
        <w:t>B. 14.</w:t>
        <w:tab/>
        <w:t>Príjmy súvisiace s derivátmi s výnimkou, ak sú určené na predaj alebo na obchodovanie alebo, ak sa tieto výdavky považujú za peňažné toky z  finančnej činnosti</w:t>
      </w:r>
      <w:r>
        <w:rPr>
          <w:spacing w:val="-1"/>
        </w:rPr>
        <w:t xml:space="preserve"> </w:t>
      </w:r>
      <w:r>
        <w:rPr/>
        <w:t>(+)</w:t>
      </w:r>
    </w:p>
    <w:p>
      <w:pPr>
        <w:pStyle w:val="Telotextu"/>
        <w:tabs>
          <w:tab w:val="clear" w:pos="720"/>
          <w:tab w:val="left" w:pos="2262" w:leader="none"/>
          <w:tab w:val="left" w:pos="9781" w:leader="none"/>
        </w:tabs>
        <w:ind w:left="2262" w:right="572" w:hanging="1416"/>
        <w:jc w:val="both"/>
        <w:rPr>
          <w:sz w:val="20"/>
        </w:rPr>
      </w:pPr>
      <w:r>
        <w:rPr/>
        <w:t>B. 15.</w:t>
        <w:tab/>
        <w:t>Výdavky na daň z príjmov účtovnej jednotky, ak je ich možné začleniť do investičných činností</w:t>
      </w:r>
      <w:r>
        <w:rPr>
          <w:spacing w:val="-1"/>
        </w:rPr>
        <w:t xml:space="preserve"> </w:t>
      </w:r>
      <w:r>
        <w:rPr/>
        <w:t>(-)</w:t>
      </w:r>
    </w:p>
    <w:p>
      <w:pPr>
        <w:pStyle w:val="Normal"/>
        <w:tabs>
          <w:tab w:val="clear" w:pos="720"/>
          <w:tab w:val="left" w:pos="2262" w:leader="none"/>
          <w:tab w:val="left" w:pos="9781" w:leader="none"/>
        </w:tabs>
        <w:spacing w:lineRule="exact" w:line="251"/>
        <w:ind w:left="846" w:hanging="0"/>
        <w:jc w:val="both"/>
        <w:rPr>
          <w:sz w:val="20"/>
        </w:rPr>
      </w:pPr>
      <w:r>
        <w:rPr/>
        <w:t>B. 16.</w:t>
        <w:tab/>
        <w:t xml:space="preserve">Príjmy </w:t>
      </w:r>
      <w:r>
        <w:rPr>
          <w:b/>
        </w:rPr>
        <w:t xml:space="preserve">výnimočného rozsahu alebo výskytu </w:t>
      </w:r>
      <w:r>
        <w:rPr/>
        <w:t>vzťahujúce sa na investičnú činnosť</w:t>
      </w:r>
      <w:r>
        <w:rPr>
          <w:spacing w:val="-17"/>
        </w:rPr>
        <w:t xml:space="preserve"> </w:t>
      </w:r>
      <w:r>
        <w:rPr/>
        <w:t>(+)</w:t>
      </w:r>
    </w:p>
    <w:p>
      <w:pPr>
        <w:pStyle w:val="Normal"/>
        <w:tabs>
          <w:tab w:val="clear" w:pos="720"/>
          <w:tab w:val="left" w:pos="2262" w:leader="none"/>
          <w:tab w:val="left" w:pos="9781" w:leader="none"/>
        </w:tabs>
        <w:ind w:left="2262" w:right="571" w:hanging="1416"/>
        <w:jc w:val="both"/>
        <w:rPr>
          <w:sz w:val="20"/>
        </w:rPr>
      </w:pPr>
      <w:r>
        <w:rPr/>
        <w:t>B. 17.</w:t>
        <w:tab/>
        <w:t xml:space="preserve">Výdavky </w:t>
      </w:r>
      <w:r>
        <w:rPr>
          <w:b/>
        </w:rPr>
        <w:t xml:space="preserve">výnimočného rozsahu alebo výskytu </w:t>
      </w:r>
      <w:r>
        <w:rPr/>
        <w:t>vzťahujúce sa na investičnú činnosť (-)</w:t>
      </w:r>
    </w:p>
    <w:p>
      <w:pPr>
        <w:pStyle w:val="Telotextu"/>
        <w:tabs>
          <w:tab w:val="clear" w:pos="720"/>
          <w:tab w:val="left" w:pos="2262" w:leader="none"/>
          <w:tab w:val="left" w:pos="9781" w:leader="none"/>
        </w:tabs>
        <w:spacing w:before="1" w:after="0"/>
        <w:ind w:left="846" w:hanging="0"/>
        <w:jc w:val="both"/>
        <w:rPr>
          <w:sz w:val="20"/>
        </w:rPr>
      </w:pPr>
      <w:r>
        <w:rPr/>
        <w:t>B. 18.</w:t>
        <w:tab/>
        <w:t>Ostatné príjmy vzťahujúce sa na investičnú činnosť</w:t>
      </w:r>
      <w:r>
        <w:rPr>
          <w:spacing w:val="-9"/>
        </w:rPr>
        <w:t xml:space="preserve"> </w:t>
      </w:r>
      <w:r>
        <w:rPr/>
        <w:t>(+)</w:t>
      </w:r>
    </w:p>
    <w:p>
      <w:pPr>
        <w:pStyle w:val="Telotextu"/>
        <w:tabs>
          <w:tab w:val="clear" w:pos="720"/>
          <w:tab w:val="left" w:pos="2262" w:leader="none"/>
          <w:tab w:val="left" w:pos="9781" w:leader="none"/>
        </w:tabs>
        <w:ind w:left="846" w:hanging="0"/>
        <w:jc w:val="both"/>
        <w:rPr>
          <w:sz w:val="20"/>
        </w:rPr>
      </w:pPr>
      <w:r>
        <w:rPr/>
        <w:t>B. 19.</w:t>
        <w:tab/>
        <w:t>Ostatné výdavky vzťahujúce sa na investičnú činnosť</w:t>
      </w:r>
      <w:r>
        <w:rPr>
          <w:spacing w:val="-7"/>
        </w:rPr>
        <w:t xml:space="preserve"> </w:t>
      </w:r>
      <w:r>
        <w:rPr/>
        <w:t>(-)</w:t>
      </w:r>
    </w:p>
    <w:p>
      <w:pPr>
        <w:pStyle w:val="Normal"/>
        <w:tabs>
          <w:tab w:val="clear" w:pos="720"/>
          <w:tab w:val="left" w:pos="2262" w:leader="none"/>
          <w:tab w:val="left" w:pos="9781" w:leader="none"/>
        </w:tabs>
        <w:ind w:left="897" w:hanging="0"/>
        <w:jc w:val="both"/>
        <w:rPr>
          <w:b/>
          <w:b/>
          <w:i/>
          <w:i/>
        </w:rPr>
      </w:pPr>
      <w:r>
        <w:rPr>
          <w:b/>
          <w:i/>
        </w:rPr>
        <w:t>B.</w:t>
        <w:tab/>
        <w:t>Čisté peňažné toky z investičnej činnosti (súčet B. 1. až B.</w:t>
      </w:r>
      <w:r>
        <w:rPr>
          <w:b/>
          <w:i/>
          <w:spacing w:val="-12"/>
        </w:rPr>
        <w:t xml:space="preserve"> </w:t>
      </w:r>
      <w:r>
        <w:rPr>
          <w:b/>
          <w:i/>
        </w:rPr>
        <w:t>19.)</w:t>
      </w:r>
    </w:p>
    <w:p>
      <w:pPr>
        <w:pStyle w:val="Telotextu"/>
        <w:tabs>
          <w:tab w:val="clear" w:pos="720"/>
          <w:tab w:val="left" w:pos="9781" w:leader="none"/>
        </w:tabs>
        <w:spacing w:before="1" w:after="0"/>
        <w:jc w:val="both"/>
        <w:rPr>
          <w:b/>
          <w:b/>
          <w:i/>
          <w:i/>
        </w:rPr>
      </w:pPr>
      <w:r>
        <w:rPr>
          <w:b/>
          <w:i/>
        </w:rPr>
      </w:r>
    </w:p>
    <w:p>
      <w:pPr>
        <w:pStyle w:val="Nadpis1"/>
        <w:tabs>
          <w:tab w:val="clear" w:pos="720"/>
          <w:tab w:val="left" w:pos="2262" w:leader="none"/>
          <w:tab w:val="left" w:pos="9781" w:leader="none"/>
        </w:tabs>
        <w:ind w:left="846" w:hanging="0"/>
        <w:jc w:val="both"/>
        <w:rPr>
          <w:sz w:val="20"/>
        </w:rPr>
      </w:pPr>
      <w:r>
        <w:rPr/>
        <w:t>Označenie</w:t>
        <w:tab/>
        <w:t>Obsah</w:t>
      </w:r>
    </w:p>
    <w:p>
      <w:pPr>
        <w:pStyle w:val="Normal"/>
        <w:tabs>
          <w:tab w:val="clear" w:pos="720"/>
          <w:tab w:val="left" w:pos="2262" w:leader="none"/>
          <w:tab w:val="left" w:pos="9781" w:leader="none"/>
        </w:tabs>
        <w:spacing w:before="2" w:after="19"/>
        <w:ind w:left="846" w:hanging="0"/>
        <w:jc w:val="both"/>
        <w:rPr>
          <w:b/>
          <w:b/>
        </w:rPr>
      </w:pPr>
      <w:r>
        <w:rPr>
          <w:b/>
        </w:rPr>
        <w:t>položky</w:t>
        <w:tab/>
        <w:t>položky</w:t>
      </w:r>
    </w:p>
    <w:p>
      <w:pPr>
        <w:pStyle w:val="Telotextu"/>
        <w:tabs>
          <w:tab w:val="clear" w:pos="720"/>
          <w:tab w:val="left" w:pos="9781" w:leader="none"/>
        </w:tabs>
        <w:spacing w:lineRule="exact" w:line="28"/>
        <w:ind w:left="110" w:hanging="0"/>
        <w:jc w:val="both"/>
        <w:rPr>
          <w:sz w:val="2"/>
        </w:rPr>
      </w:pPr>
      <w:r>
        <w:rPr/>
        <mc:AlternateContent>
          <mc:Choice Requires="wpg">
            <w:drawing>
              <wp:inline distT="0" distB="0" distL="0" distR="0">
                <wp:extent cx="5800090" cy="20320"/>
                <wp:effectExtent l="0" t="0" r="0" b="0"/>
                <wp:docPr id="7" name="Útvar6"/>
                <a:graphic xmlns:a="http://schemas.openxmlformats.org/drawingml/2006/main">
                  <a:graphicData uri="http://schemas.microsoft.com/office/word/2010/wordprocessingGroup">
                    <wpg:wgp>
                      <wpg:cNvGrpSpPr/>
                      <wpg:grpSpPr>
                        <a:xfrm>
                          <a:off x="0" y="0"/>
                          <a:ext cx="5799600" cy="19800"/>
                          <a:chOff x="0" y="-20160"/>
                          <a:chExt cx="5799600" cy="19800"/>
                        </a:xfrm>
                      </wpg:grpSpPr>
                      <wps:wsp>
                        <wps:cNvSpPr/>
                        <wps:spPr>
                          <a:xfrm>
                            <a:off x="0" y="0"/>
                            <a:ext cx="5799600" cy="19800"/>
                          </a:xfrm>
                          <a:prstGeom prst="rect">
                            <a:avLst/>
                          </a:prstGeom>
                          <a:solidFill>
                            <a:srgbClr val="000000"/>
                          </a:solidFill>
                          <a:ln w="0">
                            <a:noFill/>
                          </a:ln>
                        </wps:spPr>
                        <wps:style>
                          <a:lnRef idx="0"/>
                          <a:fillRef idx="0"/>
                          <a:effectRef idx="0"/>
                          <a:fontRef idx="minor"/>
                        </wps:style>
                        <wps:bodyPr/>
                      </wps:wsp>
                    </wpg:wgp>
                  </a:graphicData>
                </a:graphic>
              </wp:inline>
            </w:drawing>
          </mc:Choice>
          <mc:Fallback>
            <w:pict>
              <v:group id="shape_0" alt="Útvar6" style="position:absolute;margin-left:0pt;margin-top:-1.6pt;width:456.65pt;height:1.55pt" coordorigin="0,-32" coordsize="9133,31">
                <v:rect id="shape_0" path="m0,0l-2147483645,0l-2147483645,-2147483646l0,-2147483646xe" fillcolor="black" stroked="f" style="position:absolute;left:0;top:-32;width:9132;height:30;mso-wrap-style:none;v-text-anchor:middle;mso-position-vertical:top">
                  <v:fill o:detectmouseclick="t" type="solid" color2="white"/>
                  <v:stroke color="#3465a4" joinstyle="round" endcap="flat"/>
                  <w10:wrap type="square"/>
                </v:rect>
              </v:group>
            </w:pict>
          </mc:Fallback>
        </mc:AlternateContent>
      </w:r>
    </w:p>
    <w:p>
      <w:pPr>
        <w:pStyle w:val="Telotextu"/>
        <w:tabs>
          <w:tab w:val="clear" w:pos="720"/>
          <w:tab w:val="left" w:pos="9781" w:leader="none"/>
        </w:tabs>
        <w:spacing w:before="1" w:after="0"/>
        <w:jc w:val="both"/>
        <w:rPr>
          <w:b/>
          <w:b/>
          <w:sz w:val="13"/>
        </w:rPr>
      </w:pPr>
      <w:r>
        <w:rPr>
          <w:b/>
          <w:sz w:val="13"/>
        </w:rPr>
      </w:r>
    </w:p>
    <w:p>
      <w:pPr>
        <w:pStyle w:val="Normal"/>
        <w:tabs>
          <w:tab w:val="clear" w:pos="720"/>
          <w:tab w:val="left" w:pos="9781" w:leader="none"/>
        </w:tabs>
        <w:spacing w:lineRule="exact" w:line="252" w:before="100" w:after="0"/>
        <w:ind w:left="846" w:hanging="0"/>
        <w:jc w:val="both"/>
        <w:rPr>
          <w:b/>
          <w:b/>
        </w:rPr>
      </w:pPr>
      <w:r>
        <w:rPr>
          <w:rFonts w:ascii="Times New Roman" w:hAnsi="Times New Roman"/>
          <w:spacing w:val="-56"/>
          <w:u w:val="single"/>
        </w:rPr>
        <w:t xml:space="preserve"> </w:t>
      </w:r>
      <w:r>
        <w:rPr>
          <w:b/>
          <w:u w:val="single"/>
        </w:rPr>
        <w:t>Peňažné toky z finančnej činnosti</w:t>
      </w:r>
    </w:p>
    <w:p>
      <w:pPr>
        <w:pStyle w:val="Normal"/>
        <w:tabs>
          <w:tab w:val="clear" w:pos="720"/>
          <w:tab w:val="left" w:pos="2262" w:leader="none"/>
          <w:tab w:val="left" w:pos="9781" w:leader="none"/>
        </w:tabs>
        <w:spacing w:lineRule="exact" w:line="252"/>
        <w:ind w:left="846" w:hanging="0"/>
        <w:jc w:val="both"/>
        <w:rPr>
          <w:i/>
          <w:i/>
        </w:rPr>
      </w:pPr>
      <w:r>
        <w:rPr>
          <w:i/>
        </w:rPr>
        <w:t>C.</w:t>
      </w:r>
      <w:r>
        <w:rPr>
          <w:i/>
          <w:spacing w:val="-1"/>
        </w:rPr>
        <w:t xml:space="preserve"> </w:t>
      </w:r>
      <w:r>
        <w:rPr>
          <w:i/>
        </w:rPr>
        <w:t>1.</w:t>
        <w:tab/>
        <w:t>Peňažné toky vznikajúce vo vlastnom imaní (súčet C. 1. 1. až C. 1.</w:t>
      </w:r>
      <w:r>
        <w:rPr>
          <w:i/>
          <w:spacing w:val="-17"/>
        </w:rPr>
        <w:t xml:space="preserve"> </w:t>
      </w:r>
      <w:r>
        <w:rPr>
          <w:i/>
        </w:rPr>
        <w:t>8.)</w:t>
      </w:r>
    </w:p>
    <w:p>
      <w:pPr>
        <w:pStyle w:val="Telotextu"/>
        <w:tabs>
          <w:tab w:val="clear" w:pos="720"/>
          <w:tab w:val="left" w:pos="2262" w:leader="none"/>
          <w:tab w:val="left" w:pos="9781" w:leader="none"/>
        </w:tabs>
        <w:spacing w:lineRule="exact" w:line="252"/>
        <w:ind w:left="846" w:hanging="0"/>
        <w:jc w:val="both"/>
        <w:rPr>
          <w:sz w:val="20"/>
        </w:rPr>
      </w:pPr>
      <w:r>
        <w:rPr/>
        <w:t>C.</w:t>
      </w:r>
      <w:r>
        <w:rPr>
          <w:spacing w:val="-1"/>
        </w:rPr>
        <w:t xml:space="preserve"> </w:t>
      </w:r>
      <w:r>
        <w:rPr/>
        <w:t>1. 1.</w:t>
        <w:tab/>
        <w:t>Príjmy z upísaných akcií a obchodných podielov</w:t>
      </w:r>
      <w:r>
        <w:rPr>
          <w:spacing w:val="-5"/>
        </w:rPr>
        <w:t xml:space="preserve"> </w:t>
      </w:r>
      <w:r>
        <w:rPr/>
        <w:t>(+)</w:t>
      </w:r>
    </w:p>
    <w:p>
      <w:pPr>
        <w:pStyle w:val="Telotextu"/>
        <w:tabs>
          <w:tab w:val="clear" w:pos="720"/>
          <w:tab w:val="left" w:pos="2262" w:leader="none"/>
          <w:tab w:val="left" w:pos="9781" w:leader="none"/>
        </w:tabs>
        <w:spacing w:before="2" w:after="0"/>
        <w:ind w:left="2262" w:right="577" w:hanging="1416"/>
        <w:jc w:val="both"/>
        <w:rPr>
          <w:sz w:val="20"/>
        </w:rPr>
      </w:pPr>
      <w:r>
        <w:rPr/>
        <w:t>C.</w:t>
      </w:r>
      <w:r>
        <w:rPr>
          <w:spacing w:val="-1"/>
        </w:rPr>
        <w:t xml:space="preserve"> </w:t>
      </w:r>
      <w:r>
        <w:rPr/>
        <w:t>1. 2.</w:t>
        <w:tab/>
        <w:t>Príjmy z ďalších vkladov do vlastného imania spoločníkmi alebo fyzickou osobou, ak je účtovnou jednotkou</w:t>
      </w:r>
      <w:r>
        <w:rPr>
          <w:spacing w:val="49"/>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C.</w:t>
      </w:r>
      <w:r>
        <w:rPr>
          <w:spacing w:val="-1"/>
        </w:rPr>
        <w:t xml:space="preserve"> </w:t>
      </w:r>
      <w:r>
        <w:rPr/>
        <w:t>1. 3.</w:t>
        <w:tab/>
        <w:t>Prijaté peňažné dary</w:t>
      </w:r>
      <w:r>
        <w:rPr>
          <w:spacing w:val="-10"/>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C.</w:t>
      </w:r>
      <w:r>
        <w:rPr>
          <w:spacing w:val="-1"/>
        </w:rPr>
        <w:t xml:space="preserve"> </w:t>
      </w:r>
      <w:r>
        <w:rPr/>
        <w:t>1. 4.</w:t>
        <w:tab/>
        <w:t>Príjmy z úhrady straty spoločníkmi</w:t>
      </w:r>
      <w:r>
        <w:rPr>
          <w:spacing w:val="-3"/>
        </w:rPr>
        <w:t xml:space="preserve"> </w:t>
      </w:r>
      <w:r>
        <w:rPr/>
        <w:t>(+)</w:t>
      </w:r>
    </w:p>
    <w:p>
      <w:pPr>
        <w:pStyle w:val="Telotextu"/>
        <w:tabs>
          <w:tab w:val="clear" w:pos="720"/>
          <w:tab w:val="left" w:pos="2262" w:leader="none"/>
          <w:tab w:val="left" w:pos="9781" w:leader="none"/>
        </w:tabs>
        <w:ind w:left="2262" w:right="851" w:hanging="1416"/>
        <w:jc w:val="both"/>
        <w:rPr>
          <w:sz w:val="20"/>
        </w:rPr>
      </w:pPr>
      <w:r>
        <w:rPr/>
        <w:t>C.</w:t>
      </w:r>
      <w:r>
        <w:rPr>
          <w:spacing w:val="-1"/>
        </w:rPr>
        <w:t xml:space="preserve"> </w:t>
      </w:r>
      <w:r>
        <w:rPr/>
        <w:t>1. 5.</w:t>
        <w:tab/>
        <w:t>Výdavky na obstaranie alebo spätné odkúpenie vlastných akcií a vlastných obchodných podielov</w:t>
      </w:r>
      <w:r>
        <w:rPr>
          <w:spacing w:val="-1"/>
        </w:rPr>
        <w:t xml:space="preserve"> </w:t>
      </w:r>
      <w:r>
        <w:rPr/>
        <w:t>(-)</w:t>
      </w:r>
    </w:p>
    <w:p>
      <w:pPr>
        <w:pStyle w:val="Telotextu"/>
        <w:tabs>
          <w:tab w:val="clear" w:pos="720"/>
          <w:tab w:val="left" w:pos="2262" w:leader="none"/>
          <w:tab w:val="left" w:pos="9781" w:leader="none"/>
        </w:tabs>
        <w:spacing w:lineRule="exact" w:line="252" w:before="1" w:after="0"/>
        <w:ind w:left="846" w:hanging="0"/>
        <w:jc w:val="both"/>
        <w:rPr>
          <w:sz w:val="20"/>
        </w:rPr>
      </w:pPr>
      <w:r>
        <w:rPr/>
        <w:t>C.</w:t>
      </w:r>
      <w:r>
        <w:rPr>
          <w:spacing w:val="-1"/>
        </w:rPr>
        <w:t xml:space="preserve"> </w:t>
      </w:r>
      <w:r>
        <w:rPr/>
        <w:t>1. 6.</w:t>
        <w:tab/>
        <w:t>Výdavky spojené so znížením fondov vytvorených účtovnou jednotkou</w:t>
      </w:r>
      <w:r>
        <w:rPr>
          <w:spacing w:val="-14"/>
        </w:rPr>
        <w:t xml:space="preserve"> </w:t>
      </w:r>
      <w:r>
        <w:rPr/>
        <w:t>(-)</w:t>
      </w:r>
    </w:p>
    <w:p>
      <w:pPr>
        <w:pStyle w:val="Telotextu"/>
        <w:tabs>
          <w:tab w:val="clear" w:pos="720"/>
          <w:tab w:val="left" w:pos="2262" w:leader="none"/>
          <w:tab w:val="left" w:pos="9781" w:leader="none"/>
        </w:tabs>
        <w:ind w:left="2262" w:right="572" w:hanging="1416"/>
        <w:jc w:val="both"/>
        <w:rPr>
          <w:sz w:val="20"/>
        </w:rPr>
      </w:pPr>
      <w:r>
        <w:rPr/>
        <w:t>C.</w:t>
      </w:r>
      <w:r>
        <w:rPr>
          <w:spacing w:val="-1"/>
        </w:rPr>
        <w:t xml:space="preserve"> </w:t>
      </w:r>
      <w:r>
        <w:rPr/>
        <w:t>1. 7.</w:t>
        <w:tab/>
        <w:t>Výdavky na vyplatenie podielu na vlastnom imaní spoločníkom alebo fyzickou osobou, ktorá je účtovnou jednotkou</w:t>
      </w:r>
      <w:r>
        <w:rPr>
          <w:spacing w:val="-9"/>
        </w:rPr>
        <w:t xml:space="preserve"> </w:t>
      </w:r>
      <w:r>
        <w:rPr/>
        <w:t>(-)</w:t>
      </w:r>
    </w:p>
    <w:p>
      <w:pPr>
        <w:pStyle w:val="Telotextu"/>
        <w:tabs>
          <w:tab w:val="clear" w:pos="720"/>
          <w:tab w:val="left" w:pos="2262" w:leader="none"/>
          <w:tab w:val="left" w:pos="9781" w:leader="none"/>
        </w:tabs>
        <w:spacing w:lineRule="exact" w:line="251"/>
        <w:ind w:left="846" w:hanging="0"/>
        <w:jc w:val="both"/>
        <w:rPr>
          <w:sz w:val="20"/>
        </w:rPr>
      </w:pPr>
      <w:r>
        <w:rPr/>
        <w:t>C.</w:t>
      </w:r>
      <w:r>
        <w:rPr>
          <w:spacing w:val="-1"/>
        </w:rPr>
        <w:t xml:space="preserve"> </w:t>
      </w:r>
      <w:r>
        <w:rPr/>
        <w:t>1. 8.</w:t>
        <w:tab/>
        <w:t>Výdavky z ďalších dôvodov, ktoré súvisia so znížením vlastného imania</w:t>
      </w:r>
      <w:r>
        <w:rPr>
          <w:spacing w:val="-11"/>
        </w:rPr>
        <w:t xml:space="preserve"> </w:t>
      </w:r>
      <w:r>
        <w:rPr/>
        <w:t>(-)</w:t>
      </w:r>
    </w:p>
    <w:p>
      <w:pPr>
        <w:pStyle w:val="Normal"/>
        <w:tabs>
          <w:tab w:val="clear" w:pos="720"/>
          <w:tab w:val="left" w:pos="2262" w:leader="none"/>
          <w:tab w:val="left" w:pos="9781" w:leader="none"/>
        </w:tabs>
        <w:ind w:left="2262" w:right="572" w:hanging="1419"/>
        <w:jc w:val="both"/>
        <w:rPr>
          <w:i/>
          <w:i/>
        </w:rPr>
      </w:pPr>
      <w:r>
        <w:rPr>
          <w:i/>
        </w:rPr>
        <w:t>C.</w:t>
      </w:r>
      <w:r>
        <w:rPr>
          <w:i/>
          <w:spacing w:val="-1"/>
        </w:rPr>
        <w:t xml:space="preserve"> </w:t>
      </w:r>
      <w:r>
        <w:rPr>
          <w:i/>
        </w:rPr>
        <w:t>2.</w:t>
        <w:tab/>
        <w:t>Peňažné toky vznikajúce z dlhodobých záväzkov a krátkodobých záväzkov z finančnej činnosti (súčet C. 2. 1. až C. 2.</w:t>
      </w:r>
      <w:r>
        <w:rPr>
          <w:i/>
          <w:spacing w:val="-3"/>
        </w:rPr>
        <w:t xml:space="preserve"> </w:t>
      </w:r>
      <w:r>
        <w:rPr>
          <w:i/>
        </w:rPr>
        <w:t>10.)</w:t>
      </w:r>
    </w:p>
    <w:p>
      <w:pPr>
        <w:pStyle w:val="Telotextu"/>
        <w:tabs>
          <w:tab w:val="clear" w:pos="720"/>
          <w:tab w:val="left" w:pos="2262" w:leader="none"/>
          <w:tab w:val="left" w:pos="9781" w:leader="none"/>
        </w:tabs>
        <w:spacing w:lineRule="exact" w:line="252" w:before="2" w:after="0"/>
        <w:ind w:left="844" w:hanging="0"/>
        <w:jc w:val="both"/>
        <w:rPr>
          <w:sz w:val="20"/>
        </w:rPr>
      </w:pPr>
      <w:r>
        <w:rPr/>
        <w:t>C.</w:t>
      </w:r>
      <w:r>
        <w:rPr>
          <w:spacing w:val="-1"/>
        </w:rPr>
        <w:t xml:space="preserve"> </w:t>
      </w:r>
      <w:r>
        <w:rPr/>
        <w:t>2. 1.</w:t>
        <w:tab/>
        <w:t>Príjmy z emisie dlhových cenných papierov</w:t>
      </w:r>
      <w:r>
        <w:rPr>
          <w:spacing w:val="-5"/>
        </w:rPr>
        <w:t xml:space="preserve"> </w:t>
      </w:r>
      <w:r>
        <w:rPr/>
        <w:t>(+)</w:t>
      </w:r>
    </w:p>
    <w:p>
      <w:pPr>
        <w:pStyle w:val="Telotextu"/>
        <w:tabs>
          <w:tab w:val="clear" w:pos="720"/>
          <w:tab w:val="left" w:pos="2262" w:leader="none"/>
          <w:tab w:val="left" w:pos="9781" w:leader="none"/>
        </w:tabs>
        <w:spacing w:lineRule="exact" w:line="252"/>
        <w:ind w:left="844" w:hanging="0"/>
        <w:jc w:val="both"/>
        <w:rPr>
          <w:sz w:val="20"/>
        </w:rPr>
      </w:pPr>
      <w:r>
        <w:rPr/>
        <w:t>C.</w:t>
      </w:r>
      <w:r>
        <w:rPr>
          <w:spacing w:val="-1"/>
        </w:rPr>
        <w:t xml:space="preserve"> </w:t>
      </w:r>
      <w:r>
        <w:rPr/>
        <w:t>2. 2.</w:t>
        <w:tab/>
        <w:t>Výdavky na úhradu záväzkov z dlhových cenných papierov</w:t>
      </w:r>
      <w:r>
        <w:rPr>
          <w:spacing w:val="-9"/>
        </w:rPr>
        <w:t xml:space="preserve"> </w:t>
      </w:r>
      <w:r>
        <w:rPr/>
        <w:t>(-)</w:t>
      </w:r>
    </w:p>
    <w:p>
      <w:pPr>
        <w:pStyle w:val="Telotextu"/>
        <w:tabs>
          <w:tab w:val="clear" w:pos="720"/>
          <w:tab w:val="left" w:pos="2262" w:leader="none"/>
          <w:tab w:val="left" w:pos="9781" w:leader="none"/>
        </w:tabs>
        <w:ind w:left="2262" w:right="574" w:hanging="1419"/>
        <w:jc w:val="both"/>
        <w:rPr>
          <w:sz w:val="20"/>
        </w:rPr>
      </w:pPr>
      <w:r>
        <w:rPr/>
        <w:t>C.</w:t>
      </w:r>
      <w:r>
        <w:rPr>
          <w:spacing w:val="-1"/>
        </w:rPr>
        <w:t xml:space="preserve"> </w:t>
      </w:r>
      <w:r>
        <w:rPr/>
        <w:t>2. 3.</w:t>
        <w:tab/>
        <w:t>Príjmy z úverov, ktoré účtovnej jednotke poskytla banka alebo pobočka zahraničnej banky, s výnimkou úverov, ktoré boli poskytnuté na zabezpečenie hlavného predmetu činnosti</w:t>
      </w:r>
      <w:r>
        <w:rPr>
          <w:spacing w:val="-1"/>
        </w:rPr>
        <w:t xml:space="preserve"> </w:t>
      </w:r>
      <w:r>
        <w:rPr/>
        <w:t>(+)</w:t>
      </w:r>
    </w:p>
    <w:p>
      <w:pPr>
        <w:pStyle w:val="Telotextu"/>
        <w:tabs>
          <w:tab w:val="clear" w:pos="720"/>
          <w:tab w:val="left" w:pos="2262" w:leader="none"/>
          <w:tab w:val="left" w:pos="9781" w:leader="none"/>
        </w:tabs>
        <w:spacing w:before="1" w:after="0"/>
        <w:ind w:left="2262" w:right="570" w:hanging="1419"/>
        <w:jc w:val="both"/>
        <w:rPr>
          <w:sz w:val="20"/>
        </w:rPr>
      </w:pPr>
      <w:r>
        <w:rPr/>
        <w:t>C.</w:t>
      </w:r>
      <w:r>
        <w:rPr>
          <w:spacing w:val="-1"/>
        </w:rPr>
        <w:t xml:space="preserve"> </w:t>
      </w:r>
      <w:r>
        <w:rPr/>
        <w:t>2. 4.</w:t>
        <w:tab/>
        <w:t>Výdavky na splácanie úverov, ktoré účtovnej jednotke poskytla banka alebo pobočka zahraničnej banky, s výnimkou úverov, ktoré boli poskytnuté na zabezpečenie hlavného predmetu činnosti</w:t>
      </w:r>
      <w:r>
        <w:rPr>
          <w:spacing w:val="-3"/>
        </w:rPr>
        <w:t xml:space="preserve"> </w:t>
      </w:r>
      <w:r>
        <w:rPr/>
        <w:t>(-)</w:t>
      </w:r>
    </w:p>
    <w:p>
      <w:pPr>
        <w:pStyle w:val="Telotextu"/>
        <w:tabs>
          <w:tab w:val="clear" w:pos="720"/>
          <w:tab w:val="left" w:pos="2262" w:leader="none"/>
          <w:tab w:val="left" w:pos="9781" w:leader="none"/>
        </w:tabs>
        <w:spacing w:lineRule="exact" w:line="251"/>
        <w:ind w:left="844" w:hanging="0"/>
        <w:jc w:val="both"/>
        <w:rPr>
          <w:sz w:val="20"/>
        </w:rPr>
      </w:pPr>
      <w:r>
        <w:rPr/>
        <w:t>C.</w:t>
      </w:r>
      <w:r>
        <w:rPr>
          <w:spacing w:val="-1"/>
        </w:rPr>
        <w:t xml:space="preserve"> </w:t>
      </w:r>
      <w:r>
        <w:rPr/>
        <w:t>2. 5.</w:t>
        <w:tab/>
        <w:t>Príjmy z prijatých pôžičiek</w:t>
      </w:r>
      <w:r>
        <w:rPr>
          <w:spacing w:val="-2"/>
        </w:rPr>
        <w:t xml:space="preserve"> </w:t>
      </w:r>
      <w:r>
        <w:rPr/>
        <w:t>(+)</w:t>
      </w:r>
    </w:p>
    <w:p>
      <w:pPr>
        <w:pStyle w:val="Telotextu"/>
        <w:tabs>
          <w:tab w:val="clear" w:pos="720"/>
          <w:tab w:val="left" w:pos="2262" w:leader="none"/>
          <w:tab w:val="left" w:pos="9781" w:leader="none"/>
        </w:tabs>
        <w:spacing w:lineRule="exact" w:line="252"/>
        <w:ind w:left="844" w:hanging="0"/>
        <w:jc w:val="both"/>
        <w:rPr>
          <w:sz w:val="20"/>
        </w:rPr>
      </w:pPr>
      <w:r>
        <w:rPr/>
        <w:t>C.</w:t>
      </w:r>
      <w:r>
        <w:rPr>
          <w:spacing w:val="-1"/>
        </w:rPr>
        <w:t xml:space="preserve"> </w:t>
      </w:r>
      <w:r>
        <w:rPr/>
        <w:t>2. 6.</w:t>
        <w:tab/>
        <w:t>Výdavky na splácanie pôžičiek</w:t>
      </w:r>
      <w:r>
        <w:rPr>
          <w:spacing w:val="-5"/>
        </w:rPr>
        <w:t xml:space="preserve"> </w:t>
      </w:r>
      <w:r>
        <w:rPr/>
        <w:t>(-)</w:t>
      </w:r>
    </w:p>
    <w:p>
      <w:pPr>
        <w:pStyle w:val="Telotextu"/>
        <w:tabs>
          <w:tab w:val="clear" w:pos="720"/>
          <w:tab w:val="left" w:pos="2262" w:leader="none"/>
          <w:tab w:val="left" w:pos="9781" w:leader="none"/>
        </w:tabs>
        <w:spacing w:before="2" w:after="0"/>
        <w:ind w:left="2262" w:right="577" w:hanging="1419"/>
        <w:jc w:val="both"/>
        <w:rPr>
          <w:sz w:val="20"/>
        </w:rPr>
      </w:pPr>
      <w:r>
        <w:rPr/>
        <w:t>C.</w:t>
      </w:r>
      <w:r>
        <w:rPr>
          <w:spacing w:val="-1"/>
        </w:rPr>
        <w:t xml:space="preserve"> </w:t>
      </w:r>
      <w:r>
        <w:rPr/>
        <w:t>2. 7.</w:t>
        <w:tab/>
        <w:t>Výdavky na úhradu záväzkov z používania majetku, ktorý je predmetom zmluvy o  kúpe prenajatej veci</w:t>
      </w:r>
      <w:r>
        <w:rPr>
          <w:spacing w:val="-1"/>
        </w:rPr>
        <w:t xml:space="preserve"> </w:t>
      </w:r>
      <w:r>
        <w:rPr/>
        <w:t>(-)</w:t>
      </w:r>
    </w:p>
    <w:p>
      <w:pPr>
        <w:pStyle w:val="Telotextu"/>
        <w:tabs>
          <w:tab w:val="clear" w:pos="720"/>
          <w:tab w:val="left" w:pos="2262" w:leader="none"/>
          <w:tab w:val="left" w:pos="9781" w:leader="none"/>
        </w:tabs>
        <w:ind w:left="2262" w:right="571" w:hanging="1419"/>
        <w:jc w:val="both"/>
        <w:rPr>
          <w:sz w:val="20"/>
        </w:rPr>
      </w:pPr>
      <w:r>
        <w:rPr/>
        <w:t>C.</w:t>
      </w:r>
      <w:r>
        <w:rPr>
          <w:spacing w:val="-1"/>
        </w:rPr>
        <w:t xml:space="preserve"> </w:t>
      </w:r>
      <w:r>
        <w:rPr/>
        <w:t>2. 8.</w:t>
        <w:tab/>
        <w:t>Príjmy  z ostatných  dlhodobých   záväzkov   a krátkodobých  záväzkov  vyplývajúcich z finančnej činnosti, s výnimkou tých, ktoré sa uvádzajú osobitne v inej časti prehľadu peňažných tokov</w:t>
      </w:r>
      <w:r>
        <w:rPr>
          <w:spacing w:val="-4"/>
        </w:rPr>
        <w:t xml:space="preserve"> </w:t>
      </w:r>
      <w:r>
        <w:rPr/>
        <w:t>(+)</w:t>
      </w:r>
    </w:p>
    <w:p>
      <w:pPr>
        <w:pStyle w:val="Telotextu"/>
        <w:tabs>
          <w:tab w:val="clear" w:pos="720"/>
          <w:tab w:val="left" w:pos="2262" w:leader="none"/>
          <w:tab w:val="left" w:pos="9781" w:leader="none"/>
        </w:tabs>
        <w:ind w:left="2262" w:right="570" w:hanging="1419"/>
        <w:jc w:val="both"/>
        <w:rPr>
          <w:sz w:val="20"/>
        </w:rPr>
      </w:pPr>
      <w:r>
        <w:rPr/>
        <w:t>C.</w:t>
      </w:r>
      <w:r>
        <w:rPr>
          <w:spacing w:val="-1"/>
        </w:rPr>
        <w:t xml:space="preserve"> </w:t>
      </w:r>
      <w:r>
        <w:rPr/>
        <w:t>2. 9.</w:t>
        <w:tab/>
        <w:t>Výdavky na splácanie ostatných dlhodobých záväzkov a krátkodobých záväzkov vyplývajúcich z finančnej činnosti, s výnimkou tých, ktoré sa uvádzajú osobitne v inej časti prehľadu peňažných tokov</w:t>
      </w:r>
      <w:r>
        <w:rPr>
          <w:spacing w:val="-3"/>
        </w:rPr>
        <w:t xml:space="preserve"> </w:t>
      </w:r>
      <w:r>
        <w:rPr/>
        <w:t>(-)</w:t>
      </w:r>
    </w:p>
    <w:p>
      <w:pPr>
        <w:pStyle w:val="Telotextu"/>
        <w:tabs>
          <w:tab w:val="clear" w:pos="720"/>
          <w:tab w:val="left" w:pos="2265" w:leader="none"/>
          <w:tab w:val="left" w:pos="9781" w:leader="none"/>
        </w:tabs>
        <w:ind w:left="2265" w:right="570" w:hanging="1421"/>
        <w:jc w:val="both"/>
        <w:rPr>
          <w:sz w:val="20"/>
        </w:rPr>
      </w:pPr>
      <w:r>
        <w:rPr/>
        <w:t>C.</w:t>
      </w:r>
      <w:r>
        <w:rPr>
          <w:spacing w:val="-1"/>
        </w:rPr>
        <w:t xml:space="preserve"> </w:t>
      </w:r>
      <w:r>
        <w:rPr/>
        <w:t>3.</w:t>
        <w:tab/>
        <w:t>Výdavky na zaplatené úroky, s výnimkou tých, ktoré sa začleňujú do prevádzkových činností</w:t>
      </w:r>
      <w:r>
        <w:rPr>
          <w:spacing w:val="-1"/>
        </w:rPr>
        <w:t xml:space="preserve"> </w:t>
      </w:r>
      <w:r>
        <w:rPr/>
        <w:t>(-)</w:t>
      </w:r>
    </w:p>
    <w:p>
      <w:pPr>
        <w:pStyle w:val="Telotextu"/>
        <w:tabs>
          <w:tab w:val="clear" w:pos="720"/>
          <w:tab w:val="left" w:pos="2262" w:leader="none"/>
          <w:tab w:val="left" w:pos="9781" w:leader="none"/>
        </w:tabs>
        <w:ind w:left="2262" w:right="572" w:hanging="1416"/>
        <w:jc w:val="both"/>
        <w:rPr>
          <w:sz w:val="20"/>
        </w:rPr>
      </w:pPr>
      <w:r>
        <w:rPr/>
        <w:t>C.</w:t>
      </w:r>
      <w:r>
        <w:rPr>
          <w:spacing w:val="-1"/>
        </w:rPr>
        <w:t xml:space="preserve"> </w:t>
      </w:r>
      <w:r>
        <w:rPr/>
        <w:t>4.</w:t>
        <w:tab/>
        <w:t>Výdavky na vyplatené dividendy a iné podiely na zisku, s výnimkou tých, ktoré sa začleňujú do prevádzkových činností</w:t>
      </w:r>
      <w:r>
        <w:rPr>
          <w:spacing w:val="-7"/>
        </w:rPr>
        <w:t xml:space="preserve"> </w:t>
      </w:r>
      <w:r>
        <w:rPr/>
        <w:t>(-)</w:t>
      </w:r>
    </w:p>
    <w:p>
      <w:pPr>
        <w:pStyle w:val="Telotextu"/>
        <w:tabs>
          <w:tab w:val="clear" w:pos="720"/>
          <w:tab w:val="left" w:pos="2262" w:leader="none"/>
          <w:tab w:val="left" w:pos="9781" w:leader="none"/>
        </w:tabs>
        <w:spacing w:before="76" w:after="0"/>
        <w:ind w:left="2262" w:right="851" w:hanging="1416"/>
        <w:jc w:val="both"/>
        <w:rPr>
          <w:sz w:val="20"/>
        </w:rPr>
      </w:pPr>
      <w:r>
        <w:rPr/>
        <w:t>C.</w:t>
      </w:r>
      <w:r>
        <w:rPr>
          <w:spacing w:val="-1"/>
        </w:rPr>
        <w:t xml:space="preserve"> </w:t>
      </w:r>
      <w:r>
        <w:rPr/>
        <w:t>5.</w:t>
        <w:tab/>
        <w:t>Výdavky súvisiace s derivátmi s výnimkou, ak sú určené na predaj alebo na obchodovanie, alebo ak sa považujú za peňažné toky z investičnej činnosti</w:t>
      </w:r>
      <w:r>
        <w:rPr>
          <w:spacing w:val="-21"/>
        </w:rPr>
        <w:t xml:space="preserve"> </w:t>
      </w:r>
      <w:r>
        <w:rPr/>
        <w:t>(-)</w:t>
      </w:r>
    </w:p>
    <w:p>
      <w:pPr>
        <w:pStyle w:val="Telotextu"/>
        <w:tabs>
          <w:tab w:val="clear" w:pos="720"/>
          <w:tab w:val="left" w:pos="2262" w:leader="none"/>
          <w:tab w:val="left" w:pos="9781" w:leader="none"/>
        </w:tabs>
        <w:ind w:left="2262" w:right="851" w:hanging="1416"/>
        <w:jc w:val="both"/>
        <w:rPr>
          <w:sz w:val="20"/>
        </w:rPr>
      </w:pPr>
      <w:r>
        <w:rPr/>
        <w:t>C.</w:t>
      </w:r>
      <w:r>
        <w:rPr>
          <w:spacing w:val="-1"/>
        </w:rPr>
        <w:t xml:space="preserve"> </w:t>
      </w:r>
      <w:r>
        <w:rPr/>
        <w:t>6.</w:t>
        <w:tab/>
        <w:t>Príjmy súvisiace s derivátmi, s výnimkou, ak sú určené na predaj alebo na obchodovanie, alebo ak sa považujú za peňažné toky z investičnej činnosti</w:t>
      </w:r>
      <w:r>
        <w:rPr>
          <w:spacing w:val="-18"/>
        </w:rPr>
        <w:t xml:space="preserve"> </w:t>
      </w:r>
      <w:r>
        <w:rPr/>
        <w:t>(+)</w:t>
      </w:r>
    </w:p>
    <w:p>
      <w:pPr>
        <w:pStyle w:val="Telotextu"/>
        <w:tabs>
          <w:tab w:val="clear" w:pos="720"/>
          <w:tab w:val="left" w:pos="2262" w:leader="none"/>
          <w:tab w:val="left" w:pos="9781" w:leader="none"/>
        </w:tabs>
        <w:ind w:left="2262" w:right="851" w:hanging="1416"/>
        <w:jc w:val="both"/>
        <w:rPr>
          <w:sz w:val="20"/>
        </w:rPr>
      </w:pPr>
      <w:r>
        <w:rPr/>
        <w:t>C.</w:t>
      </w:r>
      <w:r>
        <w:rPr>
          <w:spacing w:val="-1"/>
        </w:rPr>
        <w:t xml:space="preserve"> </w:t>
      </w:r>
      <w:r>
        <w:rPr/>
        <w:t>7.</w:t>
        <w:tab/>
        <w:t>Výdavky na daň z príjmov účtovnej jednotky, ak ich možno začleniť do finančných činností</w:t>
      </w:r>
      <w:r>
        <w:rPr>
          <w:spacing w:val="-1"/>
        </w:rPr>
        <w:t xml:space="preserve"> </w:t>
      </w:r>
      <w:r>
        <w:rPr/>
        <w:t>(-)</w:t>
      </w:r>
    </w:p>
    <w:p>
      <w:pPr>
        <w:pStyle w:val="Normal"/>
        <w:tabs>
          <w:tab w:val="clear" w:pos="720"/>
          <w:tab w:val="left" w:pos="2265" w:leader="none"/>
          <w:tab w:val="left" w:pos="9781" w:leader="none"/>
        </w:tabs>
        <w:spacing w:lineRule="exact" w:line="251"/>
        <w:ind w:left="846" w:hanging="0"/>
        <w:jc w:val="both"/>
        <w:rPr>
          <w:sz w:val="20"/>
        </w:rPr>
      </w:pPr>
      <w:r>
        <w:rPr/>
        <w:t>C.</w:t>
      </w:r>
      <w:r>
        <w:rPr>
          <w:spacing w:val="-1"/>
        </w:rPr>
        <w:t xml:space="preserve"> </w:t>
      </w:r>
      <w:r>
        <w:rPr/>
        <w:t>8.</w:t>
        <w:tab/>
        <w:t xml:space="preserve">Príjmy </w:t>
      </w:r>
      <w:r>
        <w:rPr>
          <w:b/>
        </w:rPr>
        <w:t xml:space="preserve">výnimočného rozsahu alebo výskytu </w:t>
      </w:r>
      <w:r>
        <w:rPr/>
        <w:t>vzťahujúce sa na finančnú činnosť</w:t>
      </w:r>
      <w:r>
        <w:rPr>
          <w:spacing w:val="-13"/>
        </w:rPr>
        <w:t xml:space="preserve"> </w:t>
      </w:r>
      <w:r>
        <w:rPr/>
        <w:t>(+)</w:t>
      </w:r>
    </w:p>
    <w:p>
      <w:pPr>
        <w:pStyle w:val="Normal"/>
        <w:tabs>
          <w:tab w:val="clear" w:pos="720"/>
          <w:tab w:val="left" w:pos="2272" w:leader="none"/>
          <w:tab w:val="left" w:pos="9781" w:leader="none"/>
        </w:tabs>
        <w:spacing w:lineRule="exact" w:line="252"/>
        <w:ind w:left="846" w:hanging="0"/>
        <w:jc w:val="both"/>
        <w:rPr>
          <w:sz w:val="20"/>
        </w:rPr>
      </w:pPr>
      <w:r>
        <w:rPr/>
        <w:t>C.</w:t>
      </w:r>
      <w:r>
        <w:rPr>
          <w:spacing w:val="-1"/>
        </w:rPr>
        <w:t xml:space="preserve"> </w:t>
      </w:r>
      <w:r>
        <w:rPr/>
        <w:t>9.</w:t>
        <w:tab/>
        <w:t xml:space="preserve">Výdavky </w:t>
      </w:r>
      <w:r>
        <w:rPr>
          <w:b/>
        </w:rPr>
        <w:t xml:space="preserve">výnimočného rozsahu alebo výskytu </w:t>
      </w:r>
      <w:r>
        <w:rPr/>
        <w:t>vzťahujúce sa na finančnú činnosť</w:t>
      </w:r>
      <w:r>
        <w:rPr>
          <w:spacing w:val="-15"/>
        </w:rPr>
        <w:t xml:space="preserve"> </w:t>
      </w:r>
      <w:r>
        <w:rPr/>
        <w:t>(-)</w:t>
      </w:r>
    </w:p>
    <w:p>
      <w:pPr>
        <w:pStyle w:val="ListParagraph"/>
        <w:numPr>
          <w:ilvl w:val="0"/>
          <w:numId w:val="5"/>
        </w:numPr>
        <w:tabs>
          <w:tab w:val="clear" w:pos="720"/>
          <w:tab w:val="left" w:pos="2262" w:leader="none"/>
          <w:tab w:val="left" w:pos="2263" w:leader="none"/>
          <w:tab w:val="left" w:pos="9781" w:leader="none"/>
        </w:tabs>
        <w:spacing w:lineRule="exact" w:line="252"/>
        <w:ind w:left="2262" w:hanging="1417"/>
        <w:jc w:val="both"/>
        <w:rPr>
          <w:b/>
          <w:b/>
          <w:i/>
          <w:i/>
        </w:rPr>
      </w:pPr>
      <w:r>
        <w:rPr>
          <w:b/>
          <w:i/>
        </w:rPr>
        <w:t>Čisté peňažné toky z finančnej činnosti (súčet C. 1. až C.</w:t>
      </w:r>
      <w:r>
        <w:rPr>
          <w:b/>
          <w:i/>
          <w:spacing w:val="-13"/>
        </w:rPr>
        <w:t xml:space="preserve"> </w:t>
      </w:r>
      <w:r>
        <w:rPr>
          <w:b/>
          <w:i/>
        </w:rPr>
        <w:t>9.)</w:t>
      </w:r>
    </w:p>
    <w:p>
      <w:pPr>
        <w:pStyle w:val="Nadpis1"/>
        <w:numPr>
          <w:ilvl w:val="0"/>
          <w:numId w:val="5"/>
        </w:numPr>
        <w:tabs>
          <w:tab w:val="clear" w:pos="720"/>
          <w:tab w:val="left" w:pos="2262" w:leader="none"/>
          <w:tab w:val="left" w:pos="2263" w:leader="none"/>
          <w:tab w:val="left" w:pos="9781" w:leader="none"/>
        </w:tabs>
        <w:ind w:left="2262" w:right="1978" w:hanging="1416"/>
        <w:jc w:val="both"/>
        <w:rPr>
          <w:i/>
          <w:i/>
        </w:rPr>
      </w:pPr>
      <w:r>
        <w:rPr/>
        <w:t xml:space="preserve">Čisté zvýšenie alebo čisté zníženie peňažných prostriedkov (+/-) (súčet A </w:t>
      </w:r>
      <w:r>
        <w:rPr>
          <w:i/>
        </w:rPr>
        <w:t>+ B +</w:t>
      </w:r>
      <w:r>
        <w:rPr>
          <w:i/>
          <w:spacing w:val="-3"/>
        </w:rPr>
        <w:t xml:space="preserve"> </w:t>
      </w:r>
      <w:r>
        <w:rPr>
          <w:i/>
        </w:rPr>
        <w:t>C)</w:t>
      </w:r>
    </w:p>
    <w:p>
      <w:pPr>
        <w:pStyle w:val="ListParagraph"/>
        <w:numPr>
          <w:ilvl w:val="0"/>
          <w:numId w:val="5"/>
        </w:numPr>
        <w:tabs>
          <w:tab w:val="clear" w:pos="720"/>
          <w:tab w:val="left" w:pos="2262" w:leader="none"/>
          <w:tab w:val="left" w:pos="2263" w:leader="none"/>
          <w:tab w:val="left" w:pos="9781" w:leader="none"/>
        </w:tabs>
        <w:spacing w:before="1" w:after="0"/>
        <w:ind w:left="2262" w:right="573" w:hanging="1416"/>
        <w:jc w:val="both"/>
        <w:rPr>
          <w:b/>
          <w:b/>
        </w:rPr>
      </w:pPr>
      <w:r>
        <w:rPr>
          <w:b/>
        </w:rPr>
        <w:t>Stav peňažných prostriedkov a peňažných ekvivalentov na začiatku účtovného obdobia</w:t>
      </w:r>
      <w:r>
        <w:rPr>
          <w:b/>
          <w:spacing w:val="-1"/>
        </w:rPr>
        <w:t xml:space="preserve"> </w:t>
      </w:r>
      <w:r>
        <w:rPr>
          <w:b/>
        </w:rPr>
        <w:t>(+/-)</w:t>
      </w:r>
      <w:r>
        <w:rPr>
          <w:b/>
          <w:position w:val="6"/>
          <w:sz w:val="14"/>
        </w:rPr>
        <w:t>2</w:t>
      </w:r>
    </w:p>
    <w:p>
      <w:pPr>
        <w:pStyle w:val="Nadpis1"/>
        <w:numPr>
          <w:ilvl w:val="0"/>
          <w:numId w:val="5"/>
        </w:numPr>
        <w:tabs>
          <w:tab w:val="clear" w:pos="720"/>
          <w:tab w:val="left" w:pos="2262" w:leader="none"/>
          <w:tab w:val="left" w:pos="2263" w:leader="none"/>
          <w:tab w:val="left" w:pos="9781" w:leader="none"/>
        </w:tabs>
        <w:ind w:left="2262" w:right="573" w:hanging="1416"/>
        <w:jc w:val="both"/>
        <w:rPr>
          <w:sz w:val="20"/>
        </w:rPr>
      </w:pPr>
      <w:r>
        <w:rPr/>
        <w:t>Stav peňažných prostriedkov a peňažných ekvivalentov na konci účtovného obdobia pred zohľadnením kurzových rozdielov vyčíslených ku dňu, ku ktorému sa zostavuje účtovná závierka</w:t>
      </w:r>
      <w:r>
        <w:rPr>
          <w:spacing w:val="-1"/>
        </w:rPr>
        <w:t xml:space="preserve"> </w:t>
      </w:r>
      <w:r>
        <w:rPr/>
        <w:t>(+/-)</w:t>
      </w:r>
      <w:r>
        <w:rPr>
          <w:position w:val="6"/>
          <w:sz w:val="14"/>
        </w:rPr>
        <w:t>2</w:t>
      </w:r>
    </w:p>
    <w:p>
      <w:pPr>
        <w:pStyle w:val="ListParagraph"/>
        <w:numPr>
          <w:ilvl w:val="0"/>
          <w:numId w:val="5"/>
        </w:numPr>
        <w:tabs>
          <w:tab w:val="clear" w:pos="720"/>
          <w:tab w:val="left" w:pos="2262" w:leader="none"/>
          <w:tab w:val="left" w:pos="2263" w:leader="none"/>
          <w:tab w:val="left" w:pos="9781" w:leader="none"/>
        </w:tabs>
        <w:spacing w:before="1" w:after="0"/>
        <w:ind w:left="2262" w:right="570" w:hanging="1416"/>
        <w:jc w:val="both"/>
        <w:rPr>
          <w:b/>
          <w:b/>
        </w:rPr>
      </w:pPr>
      <w:r>
        <w:rPr>
          <w:b/>
        </w:rPr>
        <w:t>Kurzové rozdiely vyčíslené k peňažným prostriedkom a peňažným ekvivalentom ku dňu, ku ktorému sa zostavuje účtovná závierka</w:t>
      </w:r>
      <w:r>
        <w:rPr>
          <w:b/>
          <w:spacing w:val="-8"/>
        </w:rPr>
        <w:t xml:space="preserve"> </w:t>
      </w:r>
      <w:r>
        <w:rPr>
          <w:b/>
        </w:rPr>
        <w:t>(+/-)</w:t>
      </w:r>
      <w:r>
        <w:rPr>
          <w:b/>
          <w:position w:val="6"/>
          <w:sz w:val="14"/>
        </w:rPr>
        <w:t>2</w:t>
      </w:r>
    </w:p>
    <w:p>
      <w:pPr>
        <w:pStyle w:val="Nadpis1"/>
        <w:numPr>
          <w:ilvl w:val="0"/>
          <w:numId w:val="5"/>
        </w:numPr>
        <w:tabs>
          <w:tab w:val="clear" w:pos="720"/>
          <w:tab w:val="left" w:pos="2262" w:leader="none"/>
          <w:tab w:val="left" w:pos="2263" w:leader="none"/>
          <w:tab w:val="left" w:pos="9781" w:leader="none"/>
        </w:tabs>
        <w:ind w:left="2262" w:right="573" w:hanging="1416"/>
        <w:jc w:val="both"/>
        <w:rPr>
          <w:sz w:val="20"/>
        </w:rPr>
      </w:pPr>
      <w:r>
        <w:rPr/>
        <w:t>Zostatok peňažných prostriedkov a peňažných ekvivalentov na konci účtovného obdobia upravený o kurzové rozdiely vyčíslené ku dňu, ku ktorému sa zostavuje účtovná závierka</w:t>
      </w:r>
      <w:r>
        <w:rPr>
          <w:spacing w:val="-1"/>
        </w:rPr>
        <w:t xml:space="preserve"> </w:t>
      </w:r>
      <w:r>
        <w:rPr/>
        <w:t>(+/-)</w:t>
      </w:r>
      <w:r>
        <w:rPr>
          <w:position w:val="6"/>
          <w:sz w:val="14"/>
        </w:rPr>
        <w:t>2</w:t>
      </w:r>
      <w:r>
        <w:rPr/>
        <w:t>.</w:t>
      </w:r>
    </w:p>
    <w:p>
      <w:pPr>
        <w:pStyle w:val="Telotextu"/>
        <w:tabs>
          <w:tab w:val="clear" w:pos="720"/>
          <w:tab w:val="left" w:pos="9781" w:leader="none"/>
        </w:tabs>
        <w:spacing w:before="11" w:after="0"/>
        <w:jc w:val="both"/>
        <w:rPr>
          <w:b/>
          <w:b/>
          <w:sz w:val="21"/>
        </w:rPr>
      </w:pPr>
      <w:r>
        <w:rPr>
          <w:b/>
          <w:sz w:val="21"/>
        </w:rPr>
      </w:r>
    </w:p>
    <w:p>
      <w:pPr>
        <w:pStyle w:val="Nadpis1"/>
        <w:numPr>
          <w:ilvl w:val="0"/>
          <w:numId w:val="7"/>
        </w:numPr>
        <w:tabs>
          <w:tab w:val="clear" w:pos="720"/>
          <w:tab w:val="left" w:pos="284" w:leader="none"/>
          <w:tab w:val="left" w:pos="9781" w:leader="none"/>
        </w:tabs>
        <w:ind w:left="284" w:right="576" w:hanging="300"/>
        <w:jc w:val="both"/>
        <w:rPr>
          <w:sz w:val="24"/>
        </w:rPr>
      </w:pPr>
      <w:r>
        <w:rPr>
          <w:sz w:val="24"/>
        </w:rPr>
        <w:t>V  prehľade  peňažných  tokov   sa  pri   použití   nepriamej   metódy   vykazovania  peňažných  tokov z prevádzkovej činnosti môžu uvádzať jeho položky v takomto usporiadaní a s týmto označením:</w:t>
      </w:r>
    </w:p>
    <w:p>
      <w:pPr>
        <w:pStyle w:val="Telotextu"/>
        <w:tabs>
          <w:tab w:val="clear" w:pos="720"/>
          <w:tab w:val="left" w:pos="9781" w:leader="none"/>
        </w:tabs>
        <w:spacing w:before="1" w:after="0"/>
        <w:jc w:val="both"/>
        <w:rPr>
          <w:b/>
          <w:b/>
        </w:rPr>
      </w:pPr>
      <w:r>
        <w:rPr>
          <w:b/>
        </w:rPr>
      </w:r>
    </w:p>
    <w:p>
      <w:pPr>
        <w:pStyle w:val="Nadpis1"/>
        <w:tabs>
          <w:tab w:val="clear" w:pos="720"/>
          <w:tab w:val="left" w:pos="2262" w:leader="none"/>
          <w:tab w:val="left" w:pos="9781" w:leader="none"/>
        </w:tabs>
        <w:ind w:left="498" w:hanging="0"/>
        <w:jc w:val="both"/>
        <w:rPr>
          <w:sz w:val="20"/>
        </w:rPr>
      </w:pPr>
      <w:r>
        <w:rPr/>
        <w:t>Označenie</w:t>
        <w:tab/>
        <w:t>Obsah</w:t>
      </w:r>
    </w:p>
    <w:p>
      <w:pPr>
        <w:pStyle w:val="Normal"/>
        <w:tabs>
          <w:tab w:val="clear" w:pos="720"/>
          <w:tab w:val="left" w:pos="2313" w:leader="none"/>
          <w:tab w:val="left" w:pos="9781" w:leader="none"/>
        </w:tabs>
        <w:spacing w:before="2" w:after="22"/>
        <w:ind w:left="498" w:hanging="0"/>
        <w:jc w:val="both"/>
        <w:rPr>
          <w:b/>
          <w:b/>
        </w:rPr>
      </w:pPr>
      <w:r>
        <w:rPr>
          <w:b/>
        </w:rPr>
        <w:t>položky</w:t>
        <w:tab/>
        <w:t>položky</w:t>
      </w:r>
    </w:p>
    <w:p>
      <w:pPr>
        <w:pStyle w:val="Telotextu"/>
        <w:tabs>
          <w:tab w:val="clear" w:pos="720"/>
          <w:tab w:val="left" w:pos="9781" w:leader="none"/>
        </w:tabs>
        <w:spacing w:lineRule="exact" w:line="28"/>
        <w:ind w:left="110" w:hanging="0"/>
        <w:jc w:val="both"/>
        <w:rPr>
          <w:sz w:val="2"/>
        </w:rPr>
      </w:pPr>
      <w:r>
        <w:rPr/>
        <mc:AlternateContent>
          <mc:Choice Requires="wpg">
            <w:drawing>
              <wp:inline distT="0" distB="0" distL="0" distR="0">
                <wp:extent cx="5800090" cy="20320"/>
                <wp:effectExtent l="0" t="0" r="0" b="0"/>
                <wp:docPr id="8" name="Útvar7"/>
                <a:graphic xmlns:a="http://schemas.openxmlformats.org/drawingml/2006/main">
                  <a:graphicData uri="http://schemas.microsoft.com/office/word/2010/wordprocessingGroup">
                    <wpg:wgp>
                      <wpg:cNvGrpSpPr/>
                      <wpg:grpSpPr>
                        <a:xfrm>
                          <a:off x="0" y="0"/>
                          <a:ext cx="5799600" cy="19800"/>
                          <a:chOff x="0" y="-20160"/>
                          <a:chExt cx="5799600" cy="19800"/>
                        </a:xfrm>
                      </wpg:grpSpPr>
                      <wps:wsp>
                        <wps:cNvSpPr/>
                        <wps:spPr>
                          <a:xfrm>
                            <a:off x="0" y="0"/>
                            <a:ext cx="5799600" cy="19800"/>
                          </a:xfrm>
                          <a:prstGeom prst="rect">
                            <a:avLst/>
                          </a:prstGeom>
                          <a:solidFill>
                            <a:srgbClr val="000000"/>
                          </a:solidFill>
                          <a:ln w="0">
                            <a:noFill/>
                          </a:ln>
                        </wps:spPr>
                        <wps:style>
                          <a:lnRef idx="0"/>
                          <a:fillRef idx="0"/>
                          <a:effectRef idx="0"/>
                          <a:fontRef idx="minor"/>
                        </wps:style>
                        <wps:bodyPr/>
                      </wps:wsp>
                    </wpg:wgp>
                  </a:graphicData>
                </a:graphic>
              </wp:inline>
            </w:drawing>
          </mc:Choice>
          <mc:Fallback>
            <w:pict>
              <v:group id="shape_0" alt="Útvar7" style="position:absolute;margin-left:0pt;margin-top:-1.6pt;width:456.65pt;height:1.55pt" coordorigin="0,-32" coordsize="9133,31">
                <v:rect id="shape_0" path="m0,0l-2147483645,0l-2147483645,-2147483646l0,-2147483646xe" fillcolor="black" stroked="f" style="position:absolute;left:0;top:-32;width:9132;height:30;mso-wrap-style:none;v-text-anchor:middle;mso-position-vertical:top">
                  <v:fill o:detectmouseclick="t" type="solid" color2="white"/>
                  <v:stroke color="#3465a4" joinstyle="round" endcap="flat"/>
                  <w10:wrap type="square"/>
                </v:rect>
              </v:group>
            </w:pict>
          </mc:Fallback>
        </mc:AlternateContent>
      </w:r>
    </w:p>
    <w:p>
      <w:pPr>
        <w:pStyle w:val="Telotextu"/>
        <w:tabs>
          <w:tab w:val="clear" w:pos="720"/>
          <w:tab w:val="left" w:pos="9781" w:leader="none"/>
        </w:tabs>
        <w:spacing w:before="1" w:after="0"/>
        <w:jc w:val="both"/>
        <w:rPr>
          <w:b/>
          <w:b/>
          <w:sz w:val="13"/>
        </w:rPr>
      </w:pPr>
      <w:r>
        <w:rPr>
          <w:b/>
          <w:sz w:val="13"/>
        </w:rPr>
      </w:r>
    </w:p>
    <w:p>
      <w:pPr>
        <w:pStyle w:val="Normal"/>
        <w:tabs>
          <w:tab w:val="clear" w:pos="720"/>
          <w:tab w:val="left" w:pos="9781" w:leader="none"/>
        </w:tabs>
        <w:spacing w:lineRule="exact" w:line="252" w:before="100" w:after="0"/>
        <w:ind w:left="846" w:hanging="0"/>
        <w:jc w:val="both"/>
        <w:rPr>
          <w:b/>
          <w:b/>
        </w:rPr>
      </w:pPr>
      <w:r>
        <w:rPr>
          <w:b/>
          <w:u w:val="single"/>
        </w:rPr>
        <w:t>Peňažné toky z prevádzkovej činnosti</w:t>
      </w:r>
    </w:p>
    <w:p>
      <w:pPr>
        <w:pStyle w:val="Telotextu"/>
        <w:tabs>
          <w:tab w:val="clear" w:pos="720"/>
          <w:tab w:val="left" w:pos="2265" w:leader="none"/>
          <w:tab w:val="left" w:pos="9781" w:leader="none"/>
        </w:tabs>
        <w:spacing w:lineRule="exact" w:line="252"/>
        <w:ind w:left="846" w:hanging="0"/>
        <w:jc w:val="both"/>
        <w:rPr>
          <w:sz w:val="20"/>
        </w:rPr>
      </w:pPr>
      <w:r>
        <w:rPr/>
        <w:t>Z/S</w:t>
        <w:tab/>
        <w:t xml:space="preserve">Výsledok hospodárenia z bežnej činnosti pred zdanením daňou z príjmov </w:t>
      </w:r>
      <w:r>
        <w:rPr>
          <w:position w:val="6"/>
          <w:sz w:val="14"/>
        </w:rPr>
        <w:t>3</w:t>
      </w:r>
      <w:r>
        <w:rPr>
          <w:spacing w:val="-16"/>
          <w:position w:val="6"/>
          <w:sz w:val="14"/>
        </w:rPr>
        <w:t xml:space="preserve"> </w:t>
      </w:r>
      <w:r>
        <w:rPr/>
        <w:t>(+/-)</w:t>
      </w:r>
    </w:p>
    <w:p>
      <w:pPr>
        <w:pStyle w:val="Normal"/>
        <w:tabs>
          <w:tab w:val="clear" w:pos="720"/>
          <w:tab w:val="left" w:pos="2265" w:leader="none"/>
          <w:tab w:val="left" w:pos="9781" w:leader="none"/>
        </w:tabs>
        <w:ind w:left="2265" w:right="851" w:hanging="1407"/>
        <w:jc w:val="both"/>
        <w:rPr>
          <w:i/>
          <w:i/>
        </w:rPr>
      </w:pPr>
      <w:r>
        <w:rPr>
          <w:i/>
        </w:rPr>
        <w:t>A.</w:t>
      </w:r>
      <w:r>
        <w:rPr>
          <w:i/>
          <w:spacing w:val="-1"/>
        </w:rPr>
        <w:t xml:space="preserve"> </w:t>
      </w:r>
      <w:r>
        <w:rPr>
          <w:i/>
        </w:rPr>
        <w:t>1.</w:t>
        <w:tab/>
        <w:t>Nepeňažné operácie ovplyvňujúce výsledok hospodárenia z bežnej činnosti pred zdanením daňou z príjmov (súčet A. 1. 1. až A. 1. 13.)</w:t>
      </w:r>
      <w:r>
        <w:rPr>
          <w:i/>
          <w:spacing w:val="40"/>
        </w:rPr>
        <w:t xml:space="preserve"> </w:t>
      </w:r>
      <w:r>
        <w:rPr>
          <w:i/>
        </w:rPr>
        <w:t>(+/-)</w:t>
      </w:r>
    </w:p>
    <w:p>
      <w:pPr>
        <w:pStyle w:val="Telotextu"/>
        <w:tabs>
          <w:tab w:val="clear" w:pos="720"/>
          <w:tab w:val="left" w:pos="2265" w:leader="none"/>
          <w:tab w:val="left" w:pos="9781" w:leader="none"/>
        </w:tabs>
        <w:spacing w:lineRule="exact" w:line="252" w:before="1" w:after="0"/>
        <w:ind w:left="846" w:hanging="0"/>
        <w:jc w:val="both"/>
        <w:rPr>
          <w:sz w:val="20"/>
        </w:rPr>
      </w:pPr>
      <w:r>
        <w:rPr/>
        <w:t>A.</w:t>
      </w:r>
      <w:r>
        <w:rPr>
          <w:spacing w:val="-1"/>
        </w:rPr>
        <w:t xml:space="preserve"> </w:t>
      </w:r>
      <w:r>
        <w:rPr/>
        <w:t>1. 1.</w:t>
        <w:tab/>
        <w:t xml:space="preserve">Odpisy dlhodobého nehmotného majetku a dlhodobého hmotného majetku </w:t>
      </w:r>
      <w:r>
        <w:rPr>
          <w:position w:val="6"/>
          <w:sz w:val="14"/>
        </w:rPr>
        <w:t>4</w:t>
      </w:r>
      <w:r>
        <w:rPr>
          <w:spacing w:val="-12"/>
          <w:position w:val="6"/>
          <w:sz w:val="14"/>
        </w:rPr>
        <w:t xml:space="preserve"> </w:t>
      </w:r>
      <w:r>
        <w:rPr/>
        <w:t>(+)</w:t>
      </w:r>
    </w:p>
    <w:p>
      <w:pPr>
        <w:pStyle w:val="Telotextu"/>
        <w:tabs>
          <w:tab w:val="clear" w:pos="720"/>
          <w:tab w:val="left" w:pos="2265" w:leader="none"/>
          <w:tab w:val="left" w:pos="9781" w:leader="none"/>
        </w:tabs>
        <w:ind w:left="2265" w:right="570" w:hanging="1407"/>
        <w:jc w:val="both"/>
        <w:rPr>
          <w:sz w:val="20"/>
        </w:rPr>
      </w:pPr>
      <w:r>
        <w:rPr/>
        <w:t>A.</w:t>
      </w:r>
      <w:r>
        <w:rPr>
          <w:spacing w:val="-1"/>
        </w:rPr>
        <w:t xml:space="preserve"> </w:t>
      </w:r>
      <w:r>
        <w:rPr/>
        <w:t>1. 2.</w:t>
        <w:tab/>
        <w:t xml:space="preserve">Zostatková hodnota dlhodobého nehmotného majetku a dlhodobého hmotného majetku účtovaná pri vyradení tohto majetku do nákladov na bežnú činnosť, s výnimkou jeho predaja </w:t>
      </w:r>
      <w:r>
        <w:rPr>
          <w:position w:val="6"/>
          <w:sz w:val="14"/>
        </w:rPr>
        <w:t>5</w:t>
      </w:r>
      <w:r>
        <w:rPr>
          <w:spacing w:val="-3"/>
          <w:position w:val="6"/>
          <w:sz w:val="14"/>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1. 3.</w:t>
        <w:tab/>
        <w:t xml:space="preserve">Odpis opravnej položky k nadobudnutému majetku </w:t>
      </w:r>
      <w:r>
        <w:rPr>
          <w:position w:val="6"/>
          <w:sz w:val="14"/>
        </w:rPr>
        <w:t>6</w:t>
      </w:r>
      <w:r>
        <w:rPr>
          <w:spacing w:val="14"/>
          <w:position w:val="6"/>
          <w:sz w:val="14"/>
        </w:rPr>
        <w:t xml:space="preserve"> </w:t>
      </w:r>
      <w:r>
        <w:rPr/>
        <w:t>(+/-)</w:t>
      </w:r>
    </w:p>
    <w:p>
      <w:pPr>
        <w:pStyle w:val="Telotextu"/>
        <w:tabs>
          <w:tab w:val="clear" w:pos="720"/>
          <w:tab w:val="left" w:pos="2262" w:leader="none"/>
          <w:tab w:val="left" w:pos="9781" w:leader="none"/>
        </w:tabs>
        <w:spacing w:lineRule="exact" w:line="252" w:before="2" w:after="0"/>
        <w:ind w:left="846" w:hanging="0"/>
        <w:jc w:val="both"/>
        <w:rPr>
          <w:sz w:val="20"/>
        </w:rPr>
      </w:pPr>
      <w:r>
        <w:rPr/>
        <w:t>A.</w:t>
      </w:r>
      <w:r>
        <w:rPr>
          <w:spacing w:val="-1"/>
        </w:rPr>
        <w:t xml:space="preserve"> </w:t>
      </w:r>
      <w:r>
        <w:rPr/>
        <w:t>1. 4.</w:t>
        <w:tab/>
        <w:t xml:space="preserve">Zmena stavu dlhodobých rezerv </w:t>
      </w:r>
      <w:r>
        <w:rPr>
          <w:position w:val="6"/>
          <w:sz w:val="14"/>
        </w:rPr>
        <w:t>7</w:t>
      </w:r>
      <w:r>
        <w:rPr>
          <w:spacing w:val="-6"/>
          <w:position w:val="6"/>
          <w:sz w:val="14"/>
        </w:rPr>
        <w:t xml:space="preserve"> </w:t>
      </w:r>
      <w:r>
        <w:rPr/>
        <w:t>(+/-)</w:t>
      </w:r>
    </w:p>
    <w:p>
      <w:pPr>
        <w:pStyle w:val="Telotextu"/>
        <w:tabs>
          <w:tab w:val="clear" w:pos="720"/>
          <w:tab w:val="left" w:pos="2265" w:leader="none"/>
          <w:tab w:val="left" w:pos="9781" w:leader="none"/>
        </w:tabs>
        <w:spacing w:lineRule="exact" w:line="252"/>
        <w:ind w:left="846" w:hanging="0"/>
        <w:jc w:val="both"/>
        <w:rPr>
          <w:sz w:val="20"/>
        </w:rPr>
      </w:pPr>
      <w:r>
        <w:rPr/>
        <w:t>A.</w:t>
      </w:r>
      <w:r>
        <w:rPr>
          <w:spacing w:val="-1"/>
        </w:rPr>
        <w:t xml:space="preserve"> </w:t>
      </w:r>
      <w:r>
        <w:rPr/>
        <w:t>1. 5.</w:t>
        <w:tab/>
        <w:t xml:space="preserve">Zmena stavu opravných položiek </w:t>
      </w:r>
      <w:r>
        <w:rPr>
          <w:position w:val="6"/>
          <w:sz w:val="14"/>
        </w:rPr>
        <w:t>8</w:t>
      </w:r>
      <w:r>
        <w:rPr>
          <w:spacing w:val="13"/>
          <w:position w:val="6"/>
          <w:sz w:val="14"/>
        </w:rPr>
        <w:t xml:space="preserve"> </w:t>
      </w:r>
      <w:r>
        <w:rPr/>
        <w:t>(+/-)</w:t>
      </w:r>
    </w:p>
    <w:p>
      <w:pPr>
        <w:pStyle w:val="Telotextu"/>
        <w:tabs>
          <w:tab w:val="clear" w:pos="720"/>
          <w:tab w:val="left" w:pos="2267" w:leader="none"/>
          <w:tab w:val="left" w:pos="9781" w:leader="none"/>
        </w:tabs>
        <w:spacing w:lineRule="exact" w:line="252"/>
        <w:ind w:left="827" w:hanging="0"/>
        <w:jc w:val="both"/>
        <w:rPr>
          <w:sz w:val="20"/>
        </w:rPr>
      </w:pPr>
      <w:r>
        <w:rPr/>
        <w:t>A.</w:t>
      </w:r>
      <w:r>
        <w:rPr>
          <w:spacing w:val="-1"/>
        </w:rPr>
        <w:t xml:space="preserve"> </w:t>
      </w:r>
      <w:r>
        <w:rPr/>
        <w:t>1. 6.</w:t>
        <w:tab/>
        <w:t xml:space="preserve">Zmena stavu položiek časového rozlíšenia nákladov a výnosov </w:t>
      </w:r>
      <w:r>
        <w:rPr>
          <w:position w:val="6"/>
          <w:sz w:val="14"/>
        </w:rPr>
        <w:t>9</w:t>
      </w:r>
      <w:r>
        <w:rPr>
          <w:spacing w:val="8"/>
          <w:position w:val="6"/>
          <w:sz w:val="14"/>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1. 7.</w:t>
        <w:tab/>
        <w:t xml:space="preserve">Dividendy a iné podiely na zisku účtované do výnosov </w:t>
      </w:r>
      <w:r>
        <w:rPr>
          <w:position w:val="6"/>
          <w:sz w:val="14"/>
        </w:rPr>
        <w:t>10</w:t>
      </w:r>
      <w:r>
        <w:rPr>
          <w:spacing w:val="11"/>
          <w:position w:val="6"/>
          <w:sz w:val="14"/>
        </w:rPr>
        <w:t xml:space="preserve"> </w:t>
      </w:r>
      <w:r>
        <w:rPr/>
        <w:t>(-)</w:t>
      </w:r>
    </w:p>
    <w:p>
      <w:pPr>
        <w:pStyle w:val="Telotextu"/>
        <w:tabs>
          <w:tab w:val="clear" w:pos="720"/>
          <w:tab w:val="left" w:pos="2265" w:leader="none"/>
          <w:tab w:val="left" w:pos="9781" w:leader="none"/>
        </w:tabs>
        <w:spacing w:lineRule="exact" w:line="252"/>
        <w:ind w:left="846" w:hanging="0"/>
        <w:jc w:val="both"/>
        <w:rPr>
          <w:sz w:val="20"/>
        </w:rPr>
      </w:pPr>
      <w:r>
        <w:rPr/>
        <w:t>A.</w:t>
      </w:r>
      <w:r>
        <w:rPr>
          <w:spacing w:val="-1"/>
        </w:rPr>
        <w:t xml:space="preserve"> </w:t>
      </w:r>
      <w:r>
        <w:rPr/>
        <w:t>1. 8.</w:t>
        <w:tab/>
        <w:t xml:space="preserve">Úroky účtované do nákladov </w:t>
      </w:r>
      <w:r>
        <w:rPr>
          <w:position w:val="6"/>
          <w:sz w:val="14"/>
        </w:rPr>
        <w:t>11</w:t>
      </w:r>
      <w:r>
        <w:rPr>
          <w:spacing w:val="19"/>
          <w:position w:val="6"/>
          <w:sz w:val="14"/>
        </w:rPr>
        <w:t xml:space="preserve"> </w:t>
      </w:r>
      <w:r>
        <w:rPr/>
        <w:t>(+)</w:t>
      </w:r>
    </w:p>
    <w:p>
      <w:pPr>
        <w:pStyle w:val="Telotextu"/>
        <w:tabs>
          <w:tab w:val="clear" w:pos="720"/>
          <w:tab w:val="left" w:pos="2265" w:leader="none"/>
          <w:tab w:val="left" w:pos="9781" w:leader="none"/>
        </w:tabs>
        <w:spacing w:lineRule="exact" w:line="252" w:before="2" w:after="0"/>
        <w:ind w:left="846" w:hanging="0"/>
        <w:jc w:val="both"/>
        <w:rPr>
          <w:sz w:val="20"/>
        </w:rPr>
      </w:pPr>
      <w:r>
        <w:rPr/>
        <w:t>A.</w:t>
      </w:r>
      <w:r>
        <w:rPr>
          <w:spacing w:val="-1"/>
        </w:rPr>
        <w:t xml:space="preserve"> </w:t>
      </w:r>
      <w:r>
        <w:rPr/>
        <w:t>1. 9.</w:t>
        <w:tab/>
        <w:t xml:space="preserve">Úroky účtované do výnosov </w:t>
      </w:r>
      <w:r>
        <w:rPr>
          <w:position w:val="6"/>
          <w:sz w:val="14"/>
        </w:rPr>
        <w:t>12</w:t>
      </w:r>
      <w:r>
        <w:rPr>
          <w:spacing w:val="18"/>
          <w:position w:val="6"/>
          <w:sz w:val="14"/>
        </w:rPr>
        <w:t xml:space="preserve"> </w:t>
      </w:r>
      <w:r>
        <w:rPr/>
        <w:t>(-)</w:t>
      </w:r>
    </w:p>
    <w:p>
      <w:pPr>
        <w:pStyle w:val="Telotextu"/>
        <w:tabs>
          <w:tab w:val="clear" w:pos="720"/>
          <w:tab w:val="left" w:pos="2265" w:leader="none"/>
          <w:tab w:val="left" w:pos="9781" w:leader="none"/>
        </w:tabs>
        <w:ind w:left="2265" w:right="573" w:hanging="1419"/>
        <w:jc w:val="both"/>
        <w:rPr>
          <w:sz w:val="14"/>
        </w:rPr>
      </w:pPr>
      <w:r>
        <w:rPr/>
        <w:t>A.</w:t>
      </w:r>
      <w:r>
        <w:rPr>
          <w:spacing w:val="-1"/>
        </w:rPr>
        <w:t xml:space="preserve"> </w:t>
      </w:r>
      <w:r>
        <w:rPr/>
        <w:t>1.10.</w:t>
        <w:tab/>
        <w:t>Kurzový zisk vyčíslený k peňažným prostriedkom a peňažným ekvivalentom ku dňu, ku ktorému sa zostavuje účtovná závierka</w:t>
      </w:r>
      <w:r>
        <w:rPr>
          <w:spacing w:val="-9"/>
        </w:rPr>
        <w:t xml:space="preserve"> </w:t>
      </w:r>
      <w:r>
        <w:rPr/>
        <w:t>(-)</w:t>
      </w:r>
      <w:r>
        <w:rPr>
          <w:position w:val="6"/>
          <w:sz w:val="14"/>
        </w:rPr>
        <w:t>13</w:t>
      </w:r>
    </w:p>
    <w:p>
      <w:pPr>
        <w:pStyle w:val="Telotextu"/>
        <w:tabs>
          <w:tab w:val="clear" w:pos="720"/>
          <w:tab w:val="left" w:pos="2265" w:leader="none"/>
          <w:tab w:val="left" w:pos="9781" w:leader="none"/>
        </w:tabs>
        <w:ind w:left="2265" w:right="574" w:hanging="1407"/>
        <w:jc w:val="both"/>
        <w:rPr>
          <w:sz w:val="14"/>
        </w:rPr>
      </w:pPr>
      <w:r>
        <w:rPr/>
        <w:t>A. 1. 11.</w:t>
        <w:tab/>
        <w:t>Kurzová strata vyčíslená k peňažným prostriedkom a peňažným ekvivalentom ku dňu, ku ktorému sa zostavuje účtovná závierka (+)</w:t>
      </w:r>
      <w:r>
        <w:rPr>
          <w:spacing w:val="-24"/>
        </w:rPr>
        <w:t xml:space="preserve"> </w:t>
      </w:r>
      <w:r>
        <w:rPr>
          <w:position w:val="6"/>
          <w:sz w:val="14"/>
        </w:rPr>
        <w:t>14</w:t>
      </w:r>
    </w:p>
    <w:p>
      <w:pPr>
        <w:pStyle w:val="Telotextu"/>
        <w:tabs>
          <w:tab w:val="clear" w:pos="720"/>
          <w:tab w:val="left" w:pos="2265" w:leader="none"/>
          <w:tab w:val="left" w:pos="9781" w:leader="none"/>
        </w:tabs>
        <w:spacing w:lineRule="auto" w:line="240"/>
        <w:ind w:left="2265" w:right="573" w:hanging="1407"/>
        <w:jc w:val="both"/>
        <w:rPr>
          <w:sz w:val="20"/>
        </w:rPr>
      </w:pPr>
      <w:r>
        <w:rPr/>
        <w:t>A.</w:t>
      </w:r>
      <w:r>
        <w:rPr>
          <w:spacing w:val="-1"/>
        </w:rPr>
        <w:t xml:space="preserve"> </w:t>
      </w:r>
      <w:r>
        <w:rPr/>
        <w:t>1. 12.</w:t>
        <w:tab/>
        <w:t xml:space="preserve">Výsledok z predaja dlhodobého majetku, s výnimkou majetku, ktorý sa považuje za peňažný ekvivalent </w:t>
      </w:r>
      <w:r>
        <w:rPr>
          <w:position w:val="6"/>
          <w:sz w:val="14"/>
        </w:rPr>
        <w:t>15</w:t>
      </w:r>
      <w:r>
        <w:rPr>
          <w:spacing w:val="17"/>
          <w:position w:val="6"/>
          <w:sz w:val="14"/>
        </w:rPr>
        <w:t xml:space="preserve"> </w:t>
      </w:r>
      <w:r>
        <w:rPr/>
        <w:t>(+/-)</w:t>
      </w:r>
    </w:p>
    <w:p>
      <w:pPr>
        <w:pStyle w:val="Telotextu"/>
        <w:tabs>
          <w:tab w:val="clear" w:pos="720"/>
          <w:tab w:val="left" w:pos="2265" w:leader="none"/>
          <w:tab w:val="left" w:pos="9781" w:leader="none"/>
        </w:tabs>
        <w:ind w:left="2265" w:right="569" w:hanging="1407"/>
        <w:jc w:val="both"/>
        <w:rPr>
          <w:sz w:val="20"/>
        </w:rPr>
      </w:pPr>
      <w:r>
        <w:rPr/>
        <w:t>A.</w:t>
      </w:r>
      <w:r>
        <w:rPr>
          <w:spacing w:val="-1"/>
        </w:rPr>
        <w:t xml:space="preserve"> </w:t>
      </w:r>
      <w:r>
        <w:rPr/>
        <w:t>1. 13.</w:t>
        <w:tab/>
        <w:t>Ostatné položky nepeňažného charakteru, ktoré ovplyvňujú výsledok hospodárenia     z bežnej činnosti, s výnimkou tých, ktoré sa uvádzajú osobitne v iných častiach prehľadu peňažných tokov</w:t>
      </w:r>
      <w:r>
        <w:rPr>
          <w:spacing w:val="48"/>
        </w:rPr>
        <w:t xml:space="preserve"> </w:t>
      </w:r>
      <w:r>
        <w:rPr/>
        <w:t>(+/-)</w:t>
      </w:r>
    </w:p>
    <w:p>
      <w:pPr>
        <w:pStyle w:val="Normal"/>
        <w:tabs>
          <w:tab w:val="clear" w:pos="720"/>
          <w:tab w:val="left" w:pos="2265" w:leader="none"/>
          <w:tab w:val="left" w:pos="9781" w:leader="none"/>
        </w:tabs>
        <w:ind w:left="2265" w:right="574" w:hanging="1407"/>
        <w:jc w:val="both"/>
        <w:rPr>
          <w:i/>
          <w:i/>
        </w:rPr>
      </w:pPr>
      <w:r>
        <w:rPr>
          <w:i/>
        </w:rPr>
        <w:t>A.</w:t>
      </w:r>
      <w:r>
        <w:rPr>
          <w:i/>
          <w:spacing w:val="-1"/>
        </w:rPr>
        <w:t xml:space="preserve"> </w:t>
      </w:r>
      <w:r>
        <w:rPr>
          <w:i/>
        </w:rPr>
        <w:t>2.</w:t>
        <w:tab/>
        <w:t>Vplyv zmien stavu pracovného kapitálu,</w:t>
      </w:r>
      <w:r>
        <w:rPr>
          <w:i/>
          <w:position w:val="6"/>
          <w:sz w:val="14"/>
        </w:rPr>
        <w:t xml:space="preserve">16 </w:t>
      </w:r>
      <w:r>
        <w:rPr>
          <w:i/>
        </w:rPr>
        <w:t>ktorým sa účely tohto opatrenia rozumie rozdiel medzi obežným majetkom a krátkodobými záväzkami s výnimkou</w:t>
      </w:r>
      <w:r>
        <w:rPr>
          <w:i/>
          <w:spacing w:val="36"/>
        </w:rPr>
        <w:t xml:space="preserve"> </w:t>
      </w:r>
      <w:r>
        <w:rPr>
          <w:i/>
        </w:rPr>
        <w:t>položiek obežného majetku, ktoré sú súčasťou peňažných prostriedkov a peňažných ekvivalentov, na výsledok hospodárenia z bežnej činnosti (súčet A. 2. 1. až A. 2. 4.)</w:t>
      </w:r>
    </w:p>
    <w:p>
      <w:pPr>
        <w:pStyle w:val="Telotextu"/>
        <w:tabs>
          <w:tab w:val="clear" w:pos="720"/>
          <w:tab w:val="left" w:pos="2265" w:leader="none"/>
          <w:tab w:val="left" w:pos="9781" w:leader="none"/>
        </w:tabs>
        <w:spacing w:lineRule="exact" w:line="251"/>
        <w:ind w:left="846" w:hanging="0"/>
        <w:jc w:val="both"/>
        <w:rPr>
          <w:sz w:val="20"/>
        </w:rPr>
      </w:pPr>
      <w:r>
        <w:rPr/>
        <w:t>A.</w:t>
      </w:r>
      <w:r>
        <w:rPr>
          <w:spacing w:val="-1"/>
        </w:rPr>
        <w:t xml:space="preserve"> </w:t>
      </w:r>
      <w:r>
        <w:rPr/>
        <w:t>2. 1.</w:t>
        <w:tab/>
        <w:t>Zmena stavu pohľadávok z prevádzkovej činnosti</w:t>
      </w:r>
      <w:r>
        <w:rPr>
          <w:spacing w:val="-7"/>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2. 2.</w:t>
        <w:tab/>
        <w:t>Zmena stavu záväzkov z prevádzkovej činnosti</w:t>
      </w:r>
      <w:r>
        <w:rPr>
          <w:spacing w:val="-10"/>
        </w:rPr>
        <w:t xml:space="preserve"> </w:t>
      </w:r>
      <w:r>
        <w:rPr/>
        <w:t>(+/-)</w:t>
      </w:r>
    </w:p>
    <w:p>
      <w:pPr>
        <w:pStyle w:val="Telotextu"/>
        <w:tabs>
          <w:tab w:val="clear" w:pos="720"/>
          <w:tab w:val="left" w:pos="2262" w:leader="none"/>
          <w:tab w:val="left" w:pos="9781" w:leader="none"/>
        </w:tabs>
        <w:spacing w:lineRule="exact" w:line="252" w:before="2" w:after="0"/>
        <w:ind w:left="846" w:hanging="0"/>
        <w:jc w:val="both"/>
        <w:rPr>
          <w:sz w:val="20"/>
        </w:rPr>
      </w:pPr>
      <w:r>
        <w:rPr/>
        <w:t>A.</w:t>
      </w:r>
      <w:r>
        <w:rPr>
          <w:spacing w:val="-1"/>
        </w:rPr>
        <w:t xml:space="preserve"> </w:t>
      </w:r>
      <w:r>
        <w:rPr/>
        <w:t>2. 3.</w:t>
        <w:tab/>
        <w:t>Zmena stavu zásob</w:t>
      </w:r>
      <w:r>
        <w:rPr>
          <w:spacing w:val="-5"/>
        </w:rPr>
        <w:t xml:space="preserve"> </w:t>
      </w:r>
      <w:r>
        <w:rPr/>
        <w:t>(-/+)</w:t>
      </w:r>
    </w:p>
    <w:p>
      <w:pPr>
        <w:pStyle w:val="Telotextu"/>
        <w:tabs>
          <w:tab w:val="clear" w:pos="720"/>
          <w:tab w:val="left" w:pos="2265" w:leader="none"/>
          <w:tab w:val="left" w:pos="9781" w:leader="none"/>
        </w:tabs>
        <w:ind w:left="2265" w:right="851" w:hanging="1419"/>
        <w:jc w:val="both"/>
        <w:rPr>
          <w:sz w:val="20"/>
        </w:rPr>
      </w:pPr>
      <w:r>
        <w:rPr/>
        <w:t>A.</w:t>
      </w:r>
      <w:r>
        <w:rPr>
          <w:spacing w:val="-1"/>
        </w:rPr>
        <w:t xml:space="preserve"> </w:t>
      </w:r>
      <w:r>
        <w:rPr/>
        <w:t>2. 4.</w:t>
        <w:tab/>
        <w:t>Zmena stavu krátkodobého finančného majetku, s výnimkou majetku, ktorý je súčasťou peňažných prostriedkov a peňažných ekvivalentov</w:t>
      </w:r>
      <w:r>
        <w:rPr>
          <w:spacing w:val="-12"/>
        </w:rPr>
        <w:t xml:space="preserve"> </w:t>
      </w:r>
      <w:r>
        <w:rPr/>
        <w:t>(-/+)</w:t>
      </w:r>
    </w:p>
    <w:p>
      <w:pPr>
        <w:pStyle w:val="Normal"/>
        <w:tabs>
          <w:tab w:val="clear" w:pos="720"/>
          <w:tab w:val="left" w:pos="9781" w:leader="none"/>
        </w:tabs>
        <w:ind w:left="2262" w:hanging="0"/>
        <w:jc w:val="both"/>
        <w:rPr>
          <w:b/>
          <w:b/>
          <w:i/>
          <w:i/>
        </w:rPr>
      </w:pPr>
      <w:r>
        <w:rPr>
          <w:b/>
          <w:i/>
        </w:rPr>
        <w:t>Peňažné toky z prevádzkovej činnosti s výnimkou príjmov a výdavkov, ktoré sa uvádzajú osobitne v iných častiach prehľadu peňažných tokov (+/-), (súčet Z/S</w:t>
      </w:r>
    </w:p>
    <w:p>
      <w:pPr>
        <w:pStyle w:val="Normal"/>
        <w:tabs>
          <w:tab w:val="clear" w:pos="720"/>
          <w:tab w:val="left" w:pos="9781" w:leader="none"/>
        </w:tabs>
        <w:spacing w:lineRule="exact" w:line="252"/>
        <w:ind w:left="2262" w:hanging="0"/>
        <w:jc w:val="both"/>
        <w:rPr>
          <w:b/>
          <w:b/>
          <w:i/>
          <w:i/>
        </w:rPr>
      </w:pPr>
      <w:r>
        <w:rPr>
          <w:b/>
          <w:i/>
        </w:rPr>
        <w:t>+ A1 + A2)</w:t>
      </w:r>
    </w:p>
    <w:p>
      <w:pPr>
        <w:pStyle w:val="Telotextu"/>
        <w:tabs>
          <w:tab w:val="clear" w:pos="720"/>
          <w:tab w:val="left" w:pos="2262" w:leader="none"/>
          <w:tab w:val="left" w:pos="9781" w:leader="none"/>
        </w:tabs>
        <w:spacing w:lineRule="exact" w:line="252"/>
        <w:ind w:left="846" w:hanging="0"/>
        <w:jc w:val="both"/>
        <w:rPr>
          <w:sz w:val="20"/>
        </w:rPr>
      </w:pPr>
      <w:r>
        <w:rPr/>
        <w:t>A.</w:t>
      </w:r>
      <w:r>
        <w:rPr>
          <w:spacing w:val="-1"/>
        </w:rPr>
        <w:t xml:space="preserve"> </w:t>
      </w:r>
      <w:r>
        <w:rPr/>
        <w:t>3.</w:t>
        <w:tab/>
        <w:t>Prijaté úroky, s výnimkou tých, ktoré sa začleňujú do investičných činností</w:t>
      </w:r>
      <w:r>
        <w:rPr>
          <w:spacing w:val="-18"/>
        </w:rPr>
        <w:t xml:space="preserve"> </w:t>
      </w:r>
      <w:r>
        <w:rPr/>
        <w:t>(+)</w:t>
      </w:r>
    </w:p>
    <w:p>
      <w:pPr>
        <w:pStyle w:val="Telotextu"/>
        <w:tabs>
          <w:tab w:val="clear" w:pos="720"/>
          <w:tab w:val="left" w:pos="2262" w:leader="none"/>
          <w:tab w:val="left" w:pos="9781" w:leader="none"/>
        </w:tabs>
        <w:ind w:left="2262" w:right="851" w:hanging="1416"/>
        <w:jc w:val="both"/>
        <w:rPr>
          <w:sz w:val="20"/>
        </w:rPr>
      </w:pPr>
      <w:r>
        <w:rPr/>
        <w:t>A.</w:t>
      </w:r>
      <w:r>
        <w:rPr>
          <w:spacing w:val="-1"/>
        </w:rPr>
        <w:t xml:space="preserve"> </w:t>
      </w:r>
      <w:r>
        <w:rPr/>
        <w:t>4.</w:t>
        <w:tab/>
        <w:t>Výdavky na zaplatené úroky, s výnimkou tých, ktoré sa začleňujú do finančných činností</w:t>
      </w:r>
      <w:r>
        <w:rPr>
          <w:spacing w:val="-1"/>
        </w:rPr>
        <w:t xml:space="preserve"> </w:t>
      </w:r>
      <w:r>
        <w:rPr/>
        <w:t>(-)</w:t>
      </w:r>
    </w:p>
    <w:p>
      <w:pPr>
        <w:pStyle w:val="Telotextu"/>
        <w:tabs>
          <w:tab w:val="clear" w:pos="720"/>
          <w:tab w:val="left" w:pos="2262" w:leader="none"/>
          <w:tab w:val="left" w:pos="9781" w:leader="none"/>
        </w:tabs>
        <w:ind w:left="2262" w:right="851" w:hanging="1416"/>
        <w:jc w:val="both"/>
        <w:rPr>
          <w:sz w:val="20"/>
        </w:rPr>
      </w:pPr>
      <w:r>
        <w:rPr/>
        <w:t>A.</w:t>
      </w:r>
      <w:r>
        <w:rPr>
          <w:spacing w:val="-1"/>
        </w:rPr>
        <w:t xml:space="preserve"> </w:t>
      </w:r>
      <w:r>
        <w:rPr/>
        <w:t>5.</w:t>
        <w:tab/>
        <w:t>Príjmy z dividend a iných podielov na zisku, s výnimkou tých, ktoré sa začleňujú do investičných činností</w:t>
      </w:r>
      <w:r>
        <w:rPr>
          <w:spacing w:val="-7"/>
        </w:rPr>
        <w:t xml:space="preserve"> </w:t>
      </w:r>
      <w:r>
        <w:rPr/>
        <w:t>(+)</w:t>
      </w:r>
    </w:p>
    <w:p>
      <w:pPr>
        <w:pStyle w:val="Telotextu"/>
        <w:tabs>
          <w:tab w:val="clear" w:pos="720"/>
          <w:tab w:val="left" w:pos="2262" w:leader="none"/>
          <w:tab w:val="left" w:pos="9781" w:leader="none"/>
        </w:tabs>
        <w:spacing w:before="1" w:after="0"/>
        <w:ind w:left="2262" w:right="851" w:hanging="1416"/>
        <w:jc w:val="both"/>
        <w:rPr>
          <w:sz w:val="20"/>
        </w:rPr>
      </w:pPr>
      <w:r>
        <w:rPr/>
        <w:t>A.</w:t>
      </w:r>
      <w:r>
        <w:rPr>
          <w:spacing w:val="-1"/>
        </w:rPr>
        <w:t xml:space="preserve"> </w:t>
      </w:r>
      <w:r>
        <w:rPr/>
        <w:t>6.</w:t>
        <w:tab/>
        <w:t>Výdavky na vyplatené dividendy a iné podiely na zisku, s výnimkou tých, ktoré sa začleňujú do finančných činností</w:t>
      </w:r>
      <w:r>
        <w:rPr>
          <w:spacing w:val="-7"/>
        </w:rPr>
        <w:t xml:space="preserve"> </w:t>
      </w:r>
      <w:r>
        <w:rPr/>
        <w:t>(-)</w:t>
      </w:r>
    </w:p>
    <w:p>
      <w:pPr>
        <w:pStyle w:val="Normal"/>
        <w:tabs>
          <w:tab w:val="clear" w:pos="720"/>
          <w:tab w:val="left" w:pos="9781" w:leader="none"/>
        </w:tabs>
        <w:spacing w:lineRule="exact" w:line="251"/>
        <w:ind w:left="2262" w:hanging="0"/>
        <w:jc w:val="both"/>
        <w:rPr>
          <w:b/>
          <w:b/>
          <w:i/>
          <w:i/>
        </w:rPr>
      </w:pPr>
      <w:r>
        <w:rPr>
          <w:b/>
          <w:i/>
        </w:rPr>
        <w:t>Peňažné toky z prevádzkovej činnosti (+/-), (súčet Z/S + A1. až A. 6.)</w:t>
      </w:r>
    </w:p>
    <w:p>
      <w:pPr>
        <w:pStyle w:val="Telotextu"/>
        <w:tabs>
          <w:tab w:val="clear" w:pos="720"/>
          <w:tab w:val="left" w:pos="2262" w:leader="none"/>
          <w:tab w:val="left" w:pos="9781" w:leader="none"/>
        </w:tabs>
        <w:ind w:left="2262" w:right="621" w:hanging="1416"/>
        <w:jc w:val="both"/>
        <w:rPr>
          <w:sz w:val="20"/>
        </w:rPr>
      </w:pPr>
      <w:r>
        <w:rPr/>
        <w:t>A.</w:t>
      </w:r>
      <w:r>
        <w:rPr>
          <w:spacing w:val="-1"/>
        </w:rPr>
        <w:t xml:space="preserve"> </w:t>
      </w:r>
      <w:r>
        <w:rPr/>
        <w:t>7.</w:t>
        <w:tab/>
        <w:t>Výdavky na daň z príjmov účtovnej jednotky, s výnimkou tých, ktoré sa začleňujú do investičných činností alebo finančných činností</w:t>
      </w:r>
      <w:r>
        <w:rPr>
          <w:spacing w:val="-8"/>
        </w:rPr>
        <w:t xml:space="preserve"> </w:t>
      </w:r>
      <w:r>
        <w:rPr/>
        <w:t>(-/+)</w:t>
      </w:r>
    </w:p>
    <w:p>
      <w:pPr>
        <w:pStyle w:val="Normal"/>
        <w:tabs>
          <w:tab w:val="clear" w:pos="720"/>
          <w:tab w:val="left" w:pos="2262" w:leader="none"/>
          <w:tab w:val="left" w:pos="9781" w:leader="none"/>
        </w:tabs>
        <w:spacing w:before="2" w:after="0"/>
        <w:ind w:left="2262" w:right="621" w:hanging="1416"/>
        <w:jc w:val="both"/>
        <w:rPr>
          <w:sz w:val="20"/>
        </w:rPr>
      </w:pPr>
      <w:r>
        <w:rPr/>
        <w:t>A.</w:t>
      </w:r>
      <w:r>
        <w:rPr>
          <w:spacing w:val="-1"/>
        </w:rPr>
        <w:t xml:space="preserve"> </w:t>
      </w:r>
      <w:r>
        <w:rPr/>
        <w:t>8.</w:t>
        <w:tab/>
        <w:t xml:space="preserve">Príjmy </w:t>
      </w:r>
      <w:r>
        <w:rPr>
          <w:b/>
        </w:rPr>
        <w:t xml:space="preserve">výnimočného rozsahu alebo výskytu </w:t>
      </w:r>
      <w:r>
        <w:rPr/>
        <w:t>vzťahujúce sa na prevádzkovú činnosť (+)</w:t>
      </w:r>
    </w:p>
    <w:p>
      <w:pPr>
        <w:pStyle w:val="ListParagraph"/>
        <w:numPr>
          <w:ilvl w:val="0"/>
          <w:numId w:val="4"/>
        </w:numPr>
        <w:tabs>
          <w:tab w:val="clear" w:pos="720"/>
          <w:tab w:val="left" w:pos="1068" w:leader="none"/>
          <w:tab w:val="left" w:pos="2262" w:leader="none"/>
          <w:tab w:val="left" w:pos="9781" w:leader="none"/>
        </w:tabs>
        <w:ind w:left="2262" w:right="572" w:hanging="1416"/>
        <w:jc w:val="both"/>
        <w:rPr>
          <w:sz w:val="20"/>
        </w:rPr>
      </w:pPr>
      <w:r>
        <w:rPr/>
        <w:t>9.</w:t>
        <w:tab/>
        <w:t xml:space="preserve">Výdavky </w:t>
      </w:r>
      <w:r>
        <w:rPr>
          <w:b/>
        </w:rPr>
        <w:t xml:space="preserve">výnimočného rozsahu alebo výskytu </w:t>
      </w:r>
      <w:r>
        <w:rPr/>
        <w:t>vzťahujúce sa na prevádzkovú činnosť</w:t>
      </w:r>
      <w:r>
        <w:rPr>
          <w:spacing w:val="-1"/>
        </w:rPr>
        <w:t xml:space="preserve"> </w:t>
      </w:r>
      <w:r>
        <w:rPr/>
        <w:t>(-)</w:t>
      </w:r>
    </w:p>
    <w:p>
      <w:pPr>
        <w:pStyle w:val="Normal"/>
        <w:tabs>
          <w:tab w:val="clear" w:pos="720"/>
          <w:tab w:val="left" w:pos="9781" w:leader="none"/>
        </w:tabs>
        <w:ind w:left="2265" w:hanging="0"/>
        <w:jc w:val="both"/>
        <w:rPr>
          <w:b/>
          <w:b/>
          <w:i/>
          <w:i/>
        </w:rPr>
      </w:pPr>
      <w:r>
        <w:rPr>
          <w:b/>
          <w:i/>
        </w:rPr>
        <w:t>Čisté peňažné toky z prevádzkovej činnosti (+/-), (súčet Z/S + A.1. až A. 9.)</w:t>
      </w:r>
    </w:p>
    <w:p>
      <w:pPr>
        <w:pStyle w:val="Telotextu"/>
        <w:tabs>
          <w:tab w:val="clear" w:pos="720"/>
          <w:tab w:val="left" w:pos="9781" w:leader="none"/>
        </w:tabs>
        <w:spacing w:before="11" w:after="0"/>
        <w:jc w:val="both"/>
        <w:rPr>
          <w:b/>
          <w:b/>
          <w:i/>
          <w:i/>
          <w:sz w:val="21"/>
        </w:rPr>
      </w:pPr>
      <w:r>
        <w:rPr>
          <w:b/>
          <w:i/>
          <w:sz w:val="21"/>
        </w:rPr>
      </w:r>
    </w:p>
    <w:p>
      <w:pPr>
        <w:pStyle w:val="Nadpis1"/>
        <w:tabs>
          <w:tab w:val="clear" w:pos="720"/>
          <w:tab w:val="left" w:pos="2262" w:leader="none"/>
          <w:tab w:val="left" w:pos="9781" w:leader="none"/>
        </w:tabs>
        <w:ind w:left="498" w:hanging="0"/>
        <w:jc w:val="both"/>
        <w:rPr>
          <w:sz w:val="20"/>
        </w:rPr>
      </w:pPr>
      <w:r>
        <w:rPr/>
        <w:t>Označenie</w:t>
        <w:tab/>
        <w:t>Obsah</w:t>
      </w:r>
    </w:p>
    <w:p>
      <w:pPr>
        <w:pStyle w:val="Normal"/>
        <w:tabs>
          <w:tab w:val="clear" w:pos="720"/>
          <w:tab w:val="left" w:pos="2313" w:leader="none"/>
          <w:tab w:val="left" w:pos="9781" w:leader="none"/>
        </w:tabs>
        <w:spacing w:before="2" w:after="21"/>
        <w:ind w:left="498" w:hanging="0"/>
        <w:jc w:val="both"/>
        <w:rPr>
          <w:b/>
          <w:b/>
        </w:rPr>
      </w:pPr>
      <w:r>
        <w:rPr>
          <w:b/>
        </w:rPr>
        <w:t>položky</w:t>
        <w:tab/>
        <w:t>položky</w:t>
      </w:r>
    </w:p>
    <w:p>
      <w:pPr>
        <w:pStyle w:val="Telotextu"/>
        <w:tabs>
          <w:tab w:val="clear" w:pos="720"/>
          <w:tab w:val="left" w:pos="9781" w:leader="none"/>
        </w:tabs>
        <w:spacing w:lineRule="exact" w:line="28"/>
        <w:ind w:left="110" w:hanging="0"/>
        <w:jc w:val="both"/>
        <w:rPr>
          <w:sz w:val="2"/>
        </w:rPr>
      </w:pPr>
      <w:r>
        <w:rPr/>
        <mc:AlternateContent>
          <mc:Choice Requires="wpg">
            <w:drawing>
              <wp:inline distT="0" distB="0" distL="0" distR="0">
                <wp:extent cx="5800090" cy="20320"/>
                <wp:effectExtent l="0" t="0" r="0" b="0"/>
                <wp:docPr id="9" name="Útvar8"/>
                <a:graphic xmlns:a="http://schemas.openxmlformats.org/drawingml/2006/main">
                  <a:graphicData uri="http://schemas.microsoft.com/office/word/2010/wordprocessingGroup">
                    <wpg:wgp>
                      <wpg:cNvGrpSpPr/>
                      <wpg:grpSpPr>
                        <a:xfrm>
                          <a:off x="0" y="0"/>
                          <a:ext cx="5799600" cy="19800"/>
                          <a:chOff x="0" y="-20160"/>
                          <a:chExt cx="5799600" cy="19800"/>
                        </a:xfrm>
                      </wpg:grpSpPr>
                      <wps:wsp>
                        <wps:cNvSpPr/>
                        <wps:spPr>
                          <a:xfrm>
                            <a:off x="0" y="0"/>
                            <a:ext cx="5799600" cy="19800"/>
                          </a:xfrm>
                          <a:prstGeom prst="rect">
                            <a:avLst/>
                          </a:prstGeom>
                          <a:solidFill>
                            <a:srgbClr val="000000"/>
                          </a:solidFill>
                          <a:ln w="0">
                            <a:noFill/>
                          </a:ln>
                        </wps:spPr>
                        <wps:style>
                          <a:lnRef idx="0"/>
                          <a:fillRef idx="0"/>
                          <a:effectRef idx="0"/>
                          <a:fontRef idx="minor"/>
                        </wps:style>
                        <wps:bodyPr/>
                      </wps:wsp>
                    </wpg:wgp>
                  </a:graphicData>
                </a:graphic>
              </wp:inline>
            </w:drawing>
          </mc:Choice>
          <mc:Fallback>
            <w:pict>
              <v:group id="shape_0" alt="Útvar8" style="position:absolute;margin-left:0pt;margin-top:-1.6pt;width:456.65pt;height:1.55pt" coordorigin="0,-32" coordsize="9133,31">
                <v:rect id="shape_0" path="m0,0l-2147483645,0l-2147483645,-2147483646l0,-2147483646xe" fillcolor="black" stroked="f" style="position:absolute;left:0;top:-32;width:9132;height:30;mso-wrap-style:none;v-text-anchor:middle;mso-position-vertical:top">
                  <v:fill o:detectmouseclick="t" type="solid" color2="white"/>
                  <v:stroke color="#3465a4" joinstyle="round" endcap="flat"/>
                  <w10:wrap type="square"/>
                </v:rect>
              </v:group>
            </w:pict>
          </mc:Fallback>
        </mc:AlternateContent>
      </w:r>
    </w:p>
    <w:p>
      <w:pPr>
        <w:pStyle w:val="Telotextu"/>
        <w:tabs>
          <w:tab w:val="clear" w:pos="720"/>
          <w:tab w:val="left" w:pos="9781" w:leader="none"/>
        </w:tabs>
        <w:spacing w:before="1" w:after="0"/>
        <w:jc w:val="both"/>
        <w:rPr>
          <w:b/>
          <w:b/>
          <w:sz w:val="13"/>
        </w:rPr>
      </w:pPr>
      <w:r>
        <w:rPr>
          <w:b/>
          <w:sz w:val="13"/>
        </w:rPr>
      </w:r>
    </w:p>
    <w:p>
      <w:pPr>
        <w:pStyle w:val="Normal"/>
        <w:tabs>
          <w:tab w:val="clear" w:pos="720"/>
          <w:tab w:val="left" w:pos="9781" w:leader="none"/>
        </w:tabs>
        <w:spacing w:lineRule="exact" w:line="252" w:before="100" w:after="0"/>
        <w:ind w:left="846" w:hanging="0"/>
        <w:jc w:val="both"/>
        <w:rPr>
          <w:b/>
          <w:b/>
        </w:rPr>
      </w:pPr>
      <w:r>
        <w:rPr>
          <w:rFonts w:ascii="Times New Roman" w:hAnsi="Times New Roman"/>
          <w:spacing w:val="-56"/>
          <w:u w:val="single"/>
        </w:rPr>
        <w:t xml:space="preserve"> </w:t>
      </w:r>
      <w:r>
        <w:rPr>
          <w:b/>
          <w:u w:val="single"/>
        </w:rPr>
        <w:t>Peňažné toky z investičnej činnosti</w:t>
      </w:r>
    </w:p>
    <w:p>
      <w:pPr>
        <w:pStyle w:val="ListParagraph"/>
        <w:numPr>
          <w:ilvl w:val="0"/>
          <w:numId w:val="4"/>
        </w:numPr>
        <w:tabs>
          <w:tab w:val="clear" w:pos="720"/>
          <w:tab w:val="left" w:pos="1068" w:leader="none"/>
          <w:tab w:val="left" w:pos="2262" w:leader="none"/>
          <w:tab w:val="left" w:pos="9781" w:leader="none"/>
        </w:tabs>
        <w:spacing w:lineRule="exact" w:line="252"/>
        <w:ind w:left="1067" w:hanging="222"/>
        <w:jc w:val="both"/>
        <w:rPr>
          <w:i/>
          <w:i/>
          <w:sz w:val="14"/>
        </w:rPr>
      </w:pPr>
      <w:r>
        <w:rPr/>
        <w:t>1.</w:t>
        <w:tab/>
        <w:t>Výdavky na obstaranie dlhodobého nehmotného majetku</w:t>
      </w:r>
      <w:r>
        <w:rPr>
          <w:spacing w:val="-9"/>
        </w:rPr>
        <w:t xml:space="preserve"> </w:t>
      </w:r>
      <w:r>
        <w:rPr/>
        <w:t>(-)</w:t>
      </w:r>
      <w:r>
        <w:rPr>
          <w:i/>
          <w:position w:val="6"/>
          <w:sz w:val="14"/>
        </w:rPr>
        <w:t>1)</w:t>
      </w:r>
    </w:p>
    <w:p>
      <w:pPr>
        <w:pStyle w:val="Telotextu"/>
        <w:tabs>
          <w:tab w:val="clear" w:pos="720"/>
          <w:tab w:val="left" w:pos="2262" w:leader="none"/>
          <w:tab w:val="left" w:pos="9781" w:leader="none"/>
        </w:tabs>
        <w:spacing w:lineRule="exact" w:line="252"/>
        <w:ind w:left="858" w:hanging="0"/>
        <w:jc w:val="both"/>
        <w:rPr>
          <w:i/>
          <w:i/>
          <w:sz w:val="14"/>
        </w:rPr>
      </w:pPr>
      <w:r>
        <w:rPr/>
        <w:t>B.</w:t>
      </w:r>
      <w:r>
        <w:rPr>
          <w:spacing w:val="-1"/>
        </w:rPr>
        <w:t xml:space="preserve"> </w:t>
      </w:r>
      <w:r>
        <w:rPr/>
        <w:t>2.</w:t>
        <w:tab/>
        <w:t>Výdavky na obstaranie dlhodobého hmotného majetku</w:t>
      </w:r>
      <w:r>
        <w:rPr>
          <w:spacing w:val="-9"/>
        </w:rPr>
        <w:t xml:space="preserve"> </w:t>
      </w:r>
      <w:r>
        <w:rPr/>
        <w:t>(-)</w:t>
      </w:r>
      <w:r>
        <w:rPr>
          <w:i/>
          <w:position w:val="6"/>
          <w:sz w:val="14"/>
        </w:rPr>
        <w:t>1)</w:t>
      </w:r>
    </w:p>
    <w:p>
      <w:pPr>
        <w:pStyle w:val="Telotextu"/>
        <w:tabs>
          <w:tab w:val="clear" w:pos="720"/>
          <w:tab w:val="left" w:pos="2262" w:leader="none"/>
          <w:tab w:val="left" w:pos="9781" w:leader="none"/>
        </w:tabs>
        <w:spacing w:before="2" w:after="0"/>
        <w:ind w:left="2262" w:right="573" w:hanging="1416"/>
        <w:jc w:val="both"/>
        <w:rPr>
          <w:i/>
          <w:i/>
          <w:sz w:val="14"/>
        </w:rPr>
      </w:pPr>
      <w:r>
        <w:rPr/>
        <w:t>B.</w:t>
      </w:r>
      <w:r>
        <w:rPr>
          <w:spacing w:val="-1"/>
        </w:rPr>
        <w:t xml:space="preserve"> </w:t>
      </w:r>
      <w:r>
        <w:rPr/>
        <w:t>3.</w:t>
        <w:tab/>
        <w:t>Výdavky     na      obstaranie      dlhodobých      cenných      papierov      a      podielov v iných  účtovných  jednotkách,  s výnimkou   cenných   papierov,   ktoré   sa   považujú   za    peňažné    ekvivalenty    a    cenných    papierov    určených    na predaj alebo na obchodovanie</w:t>
      </w:r>
      <w:r>
        <w:rPr>
          <w:spacing w:val="-7"/>
        </w:rPr>
        <w:t xml:space="preserve"> </w:t>
      </w:r>
      <w:r>
        <w:rPr/>
        <w:t>(-)</w:t>
      </w:r>
      <w:r>
        <w:rPr>
          <w:i/>
          <w:position w:val="6"/>
          <w:sz w:val="14"/>
        </w:rPr>
        <w:t>1)</w:t>
      </w:r>
    </w:p>
    <w:p>
      <w:pPr>
        <w:pStyle w:val="Telotextu"/>
        <w:tabs>
          <w:tab w:val="clear" w:pos="720"/>
          <w:tab w:val="left" w:pos="2262" w:leader="none"/>
          <w:tab w:val="left" w:pos="9781" w:leader="none"/>
        </w:tabs>
        <w:spacing w:lineRule="exact" w:line="251"/>
        <w:ind w:left="846" w:hanging="0"/>
        <w:jc w:val="both"/>
        <w:rPr>
          <w:sz w:val="20"/>
        </w:rPr>
      </w:pPr>
      <w:r>
        <w:rPr/>
        <w:t>B.</w:t>
      </w:r>
      <w:r>
        <w:rPr>
          <w:spacing w:val="-1"/>
        </w:rPr>
        <w:t xml:space="preserve"> </w:t>
      </w:r>
      <w:r>
        <w:rPr/>
        <w:t>4.</w:t>
        <w:tab/>
        <w:t>Príjmy z predaja dlhodobého nehmotného majetku</w:t>
      </w:r>
      <w:r>
        <w:rPr>
          <w:spacing w:val="-2"/>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B.</w:t>
      </w:r>
      <w:r>
        <w:rPr>
          <w:spacing w:val="-1"/>
        </w:rPr>
        <w:t xml:space="preserve"> </w:t>
      </w:r>
      <w:r>
        <w:rPr/>
        <w:t>5.</w:t>
        <w:tab/>
        <w:t>Príjmy z predaja dlhodobého hmotného majetku</w:t>
      </w:r>
      <w:r>
        <w:rPr>
          <w:spacing w:val="-4"/>
        </w:rPr>
        <w:t xml:space="preserve"> </w:t>
      </w:r>
      <w:r>
        <w:rPr/>
        <w:t>(+)</w:t>
      </w:r>
    </w:p>
    <w:p>
      <w:pPr>
        <w:pStyle w:val="Telotextu"/>
        <w:tabs>
          <w:tab w:val="clear" w:pos="720"/>
          <w:tab w:val="left" w:pos="2262" w:leader="none"/>
          <w:tab w:val="left" w:pos="9781" w:leader="none"/>
        </w:tabs>
        <w:spacing w:before="2" w:after="0"/>
        <w:ind w:left="2262" w:right="573" w:hanging="1416"/>
        <w:jc w:val="both"/>
        <w:rPr>
          <w:sz w:val="20"/>
        </w:rPr>
      </w:pPr>
      <w:r>
        <w:rPr/>
        <w:t>B.</w:t>
      </w:r>
      <w:r>
        <w:rPr>
          <w:spacing w:val="-1"/>
        </w:rPr>
        <w:t xml:space="preserve"> </w:t>
      </w:r>
      <w:r>
        <w:rPr/>
        <w:t>6.</w:t>
        <w:tab/>
        <w:t>Príjmy z predaja dlhodobých cenných papierov a podielov v iných účtovných jednotkách, s výnimkou cenných papierov, ktoré sa považujú za peňažné ekvivalenty a cenných papierov určených na predaj alebo na obchodovanie</w:t>
      </w:r>
      <w:r>
        <w:rPr>
          <w:spacing w:val="-9"/>
        </w:rPr>
        <w:t xml:space="preserve"> </w:t>
      </w:r>
      <w:r>
        <w:rPr/>
        <w:t>(+)</w:t>
      </w:r>
    </w:p>
    <w:p>
      <w:pPr>
        <w:pStyle w:val="Telotextu"/>
        <w:tabs>
          <w:tab w:val="clear" w:pos="720"/>
          <w:tab w:val="left" w:pos="2262" w:leader="none"/>
          <w:tab w:val="left" w:pos="9781" w:leader="none"/>
        </w:tabs>
        <w:ind w:left="2262" w:right="577" w:hanging="1416"/>
        <w:jc w:val="both"/>
        <w:rPr>
          <w:sz w:val="20"/>
        </w:rPr>
      </w:pPr>
      <w:r>
        <w:rPr/>
        <w:t>B.</w:t>
      </w:r>
      <w:r>
        <w:rPr>
          <w:spacing w:val="-1"/>
        </w:rPr>
        <w:t xml:space="preserve"> </w:t>
      </w:r>
      <w:r>
        <w:rPr/>
        <w:t>7.</w:t>
        <w:tab/>
        <w:t>Výdavky na dlhodobé pôžičky poskytnuté účtovnou jednotkou inej účtovnej jednotke, ktorá je súčasťou konsolidovaného celku</w:t>
      </w:r>
      <w:r>
        <w:rPr>
          <w:spacing w:val="-7"/>
        </w:rPr>
        <w:t xml:space="preserve"> </w:t>
      </w:r>
      <w:r>
        <w:rPr/>
        <w:t>(-)</w:t>
      </w:r>
    </w:p>
    <w:p>
      <w:pPr>
        <w:pStyle w:val="Telotextu"/>
        <w:tabs>
          <w:tab w:val="clear" w:pos="720"/>
          <w:tab w:val="left" w:pos="2262" w:leader="none"/>
          <w:tab w:val="left" w:pos="9781" w:leader="none"/>
        </w:tabs>
        <w:ind w:left="2262" w:right="572" w:hanging="1416"/>
        <w:jc w:val="both"/>
        <w:rPr>
          <w:sz w:val="20"/>
        </w:rPr>
      </w:pPr>
      <w:r>
        <w:rPr/>
        <w:t>B.</w:t>
      </w:r>
      <w:r>
        <w:rPr>
          <w:spacing w:val="-1"/>
        </w:rPr>
        <w:t xml:space="preserve"> </w:t>
      </w:r>
      <w:r>
        <w:rPr/>
        <w:t>8.</w:t>
        <w:tab/>
        <w:t>Príjmy zo splácania dlhodobých pôžičiek poskytnutých účtovnou jednotkou inej účtovnej jednotke, ktorá je súčasťou konsolidovaného celku</w:t>
      </w:r>
      <w:r>
        <w:rPr>
          <w:spacing w:val="-8"/>
        </w:rPr>
        <w:t xml:space="preserve"> </w:t>
      </w:r>
      <w:r>
        <w:rPr/>
        <w:t>(+)</w:t>
      </w:r>
    </w:p>
    <w:p>
      <w:pPr>
        <w:pStyle w:val="Telotextu"/>
        <w:tabs>
          <w:tab w:val="clear" w:pos="720"/>
          <w:tab w:val="left" w:pos="2262" w:leader="none"/>
          <w:tab w:val="left" w:pos="9781" w:leader="none"/>
        </w:tabs>
        <w:ind w:left="2262" w:right="571" w:hanging="1416"/>
        <w:jc w:val="both"/>
        <w:rPr>
          <w:sz w:val="20"/>
        </w:rPr>
      </w:pPr>
      <w:r>
        <w:rPr/>
        <w:t>B.</w:t>
      </w:r>
      <w:r>
        <w:rPr>
          <w:spacing w:val="-1"/>
        </w:rPr>
        <w:t xml:space="preserve"> </w:t>
      </w:r>
      <w:r>
        <w:rPr/>
        <w:t>9.</w:t>
        <w:tab/>
        <w:t>Výdavky  na  dlhodobé   pôžičky   poskytnuté   účtovnou   jednotkou   tretím   osobám s výnimkou dlhodobých pôžičiek poskytnutých účtovnej jednotke, ktorá je súčasťou konsolidovaného celku</w:t>
      </w:r>
      <w:r>
        <w:rPr>
          <w:spacing w:val="-1"/>
        </w:rPr>
        <w:t xml:space="preserve"> </w:t>
      </w:r>
      <w:r>
        <w:rPr/>
        <w:t>(-)</w:t>
      </w:r>
    </w:p>
    <w:p>
      <w:pPr>
        <w:pStyle w:val="Telotextu"/>
        <w:tabs>
          <w:tab w:val="clear" w:pos="720"/>
          <w:tab w:val="left" w:pos="2262" w:leader="none"/>
          <w:tab w:val="left" w:pos="9781" w:leader="none"/>
        </w:tabs>
        <w:ind w:left="2262" w:right="571" w:hanging="1416"/>
        <w:jc w:val="both"/>
        <w:rPr>
          <w:sz w:val="20"/>
        </w:rPr>
      </w:pPr>
      <w:r>
        <w:rPr/>
        <w:t>B.</w:t>
      </w:r>
      <w:r>
        <w:rPr>
          <w:spacing w:val="-1"/>
        </w:rPr>
        <w:t xml:space="preserve"> </w:t>
      </w:r>
      <w:r>
        <w:rPr/>
        <w:t>10.</w:t>
        <w:tab/>
        <w:t>Príjmy  zo  splácania  pôžičiek   poskytnutých   účtovnou   jednotkou  tretím  osobám,  s výnimkou pôžičiek poskytnutých účtovnej jednotke, ktorá je súčasťou konsolidovaného celku</w:t>
      </w:r>
      <w:r>
        <w:rPr>
          <w:spacing w:val="-1"/>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B. 11.</w:t>
        <w:tab/>
        <w:t>Prijaté úroky, s výnimkou tých, ktoré sa začleňujú do prevádzkových činností</w:t>
      </w:r>
      <w:r>
        <w:rPr>
          <w:spacing w:val="-16"/>
        </w:rPr>
        <w:t xml:space="preserve"> </w:t>
      </w:r>
      <w:r>
        <w:rPr/>
        <w:t>(+)</w:t>
      </w:r>
    </w:p>
    <w:p>
      <w:pPr>
        <w:pStyle w:val="Telotextu"/>
        <w:tabs>
          <w:tab w:val="clear" w:pos="720"/>
          <w:tab w:val="left" w:pos="2262" w:leader="none"/>
          <w:tab w:val="left" w:pos="9781" w:leader="none"/>
        </w:tabs>
        <w:ind w:left="2262" w:right="572" w:hanging="1416"/>
        <w:jc w:val="both"/>
        <w:rPr>
          <w:sz w:val="20"/>
        </w:rPr>
      </w:pPr>
      <w:r>
        <w:rPr/>
        <w:t>B. 12.</w:t>
        <w:tab/>
        <w:t>Príjmy z dividend a iných podielov na zisku, s výnimkou tých, ktoré sa začleňujú do prevádzkových činností</w:t>
      </w:r>
      <w:r>
        <w:rPr>
          <w:spacing w:val="-4"/>
        </w:rPr>
        <w:t xml:space="preserve"> </w:t>
      </w:r>
      <w:r>
        <w:rPr/>
        <w:t>(+)</w:t>
      </w:r>
    </w:p>
    <w:p>
      <w:pPr>
        <w:pStyle w:val="Telotextu"/>
        <w:tabs>
          <w:tab w:val="clear" w:pos="720"/>
          <w:tab w:val="left" w:pos="2262" w:leader="none"/>
          <w:tab w:val="left" w:pos="9781" w:leader="none"/>
        </w:tabs>
        <w:spacing w:before="76" w:after="0"/>
        <w:ind w:left="2262" w:right="571" w:hanging="1416"/>
        <w:jc w:val="both"/>
        <w:rPr>
          <w:sz w:val="20"/>
        </w:rPr>
      </w:pPr>
      <w:r>
        <w:rPr/>
        <w:t>B. 13.</w:t>
        <w:tab/>
        <w:t>Výdavky súvisiace s derivátmi s výnimkou, ak sú určené na predaj alebo na obchodovanie, alebo ak sa tieto výdavky považujú za peňažné toky z finančnej  činnosti</w:t>
      </w:r>
      <w:r>
        <w:rPr>
          <w:spacing w:val="-1"/>
        </w:rPr>
        <w:t xml:space="preserve"> </w:t>
      </w:r>
      <w:r>
        <w:rPr/>
        <w:t>(-)</w:t>
      </w:r>
    </w:p>
    <w:p>
      <w:pPr>
        <w:pStyle w:val="Telotextu"/>
        <w:tabs>
          <w:tab w:val="clear" w:pos="720"/>
          <w:tab w:val="left" w:pos="2262" w:leader="none"/>
          <w:tab w:val="left" w:pos="9781" w:leader="none"/>
        </w:tabs>
        <w:ind w:left="2262" w:right="571" w:hanging="1416"/>
        <w:jc w:val="both"/>
        <w:rPr>
          <w:sz w:val="20"/>
        </w:rPr>
      </w:pPr>
      <w:r>
        <w:rPr/>
        <w:t>B. 14.</w:t>
        <w:tab/>
        <w:t>Príjmy súvisiace s derivátmi s výnimkou, ak sú určené na predaj alebo na obchodovanie, alebo ak sa tieto výdavky považujú za peňažné toky z finančnej  činnosti</w:t>
      </w:r>
      <w:r>
        <w:rPr>
          <w:spacing w:val="-1"/>
        </w:rPr>
        <w:t xml:space="preserve"> </w:t>
      </w:r>
      <w:r>
        <w:rPr/>
        <w:t>(+)</w:t>
      </w:r>
    </w:p>
    <w:p>
      <w:pPr>
        <w:pStyle w:val="Telotextu"/>
        <w:tabs>
          <w:tab w:val="clear" w:pos="720"/>
          <w:tab w:val="left" w:pos="2262" w:leader="none"/>
          <w:tab w:val="left" w:pos="9781" w:leader="none"/>
        </w:tabs>
        <w:ind w:left="2262" w:right="576" w:hanging="1416"/>
        <w:jc w:val="both"/>
        <w:rPr>
          <w:sz w:val="20"/>
        </w:rPr>
      </w:pPr>
      <w:r>
        <w:rPr/>
        <w:t>B. 15.</w:t>
        <w:tab/>
        <w:t>Výdavky na daň z príjmov účtovnej jednotky, ak je ju možné začleniť do investičných činností</w:t>
      </w:r>
      <w:r>
        <w:rPr>
          <w:spacing w:val="-1"/>
        </w:rPr>
        <w:t xml:space="preserve"> </w:t>
      </w:r>
      <w:r>
        <w:rPr/>
        <w:t>(-)</w:t>
      </w:r>
    </w:p>
    <w:p>
      <w:pPr>
        <w:pStyle w:val="Normal"/>
        <w:tabs>
          <w:tab w:val="clear" w:pos="720"/>
          <w:tab w:val="left" w:pos="2262" w:leader="none"/>
          <w:tab w:val="left" w:pos="9781" w:leader="none"/>
        </w:tabs>
        <w:spacing w:lineRule="exact" w:line="251"/>
        <w:ind w:left="846" w:hanging="0"/>
        <w:jc w:val="both"/>
        <w:rPr>
          <w:sz w:val="20"/>
        </w:rPr>
      </w:pPr>
      <w:r>
        <w:rPr/>
        <w:t>B. 16.</w:t>
        <w:tab/>
        <w:t xml:space="preserve">Príjmy </w:t>
      </w:r>
      <w:r>
        <w:rPr>
          <w:b/>
        </w:rPr>
        <w:t xml:space="preserve">výnimočného rozsahu alebo výskytu </w:t>
      </w:r>
      <w:r>
        <w:rPr/>
        <w:t>vzťahujúce sa na investičnú činnosť</w:t>
      </w:r>
      <w:r>
        <w:rPr>
          <w:spacing w:val="-18"/>
        </w:rPr>
        <w:t xml:space="preserve"> </w:t>
      </w:r>
      <w:r>
        <w:rPr/>
        <w:t>(+)</w:t>
      </w:r>
    </w:p>
    <w:p>
      <w:pPr>
        <w:pStyle w:val="Normal"/>
        <w:tabs>
          <w:tab w:val="clear" w:pos="720"/>
          <w:tab w:val="left" w:pos="2262" w:leader="none"/>
          <w:tab w:val="left" w:pos="9781" w:leader="none"/>
        </w:tabs>
        <w:ind w:left="2262" w:right="571" w:hanging="1416"/>
        <w:jc w:val="both"/>
        <w:rPr>
          <w:sz w:val="20"/>
        </w:rPr>
      </w:pPr>
      <w:r>
        <w:rPr/>
        <w:t>B. 17.</w:t>
        <w:tab/>
        <w:t xml:space="preserve">Výdavky </w:t>
      </w:r>
      <w:r>
        <w:rPr>
          <w:b/>
        </w:rPr>
        <w:t xml:space="preserve">výnimočného rozsahu alebo výskytu </w:t>
      </w:r>
      <w:r>
        <w:rPr/>
        <w:t>vzťahujúce sa na investičnú činnosť (-)</w:t>
      </w:r>
    </w:p>
    <w:p>
      <w:pPr>
        <w:pStyle w:val="Telotextu"/>
        <w:tabs>
          <w:tab w:val="clear" w:pos="720"/>
          <w:tab w:val="left" w:pos="2262" w:leader="none"/>
          <w:tab w:val="left" w:pos="9781" w:leader="none"/>
        </w:tabs>
        <w:spacing w:before="1" w:after="0"/>
        <w:ind w:left="846" w:hanging="0"/>
        <w:jc w:val="both"/>
        <w:rPr>
          <w:sz w:val="20"/>
        </w:rPr>
      </w:pPr>
      <w:r>
        <w:rPr/>
        <w:t>B. 18.</w:t>
        <w:tab/>
        <w:t>Ostatné príjmy vzťahujúce sa na investičnú činnosť</w:t>
      </w:r>
      <w:r>
        <w:rPr>
          <w:spacing w:val="-9"/>
        </w:rPr>
        <w:t xml:space="preserve"> </w:t>
      </w:r>
      <w:r>
        <w:rPr/>
        <w:t>(+)</w:t>
      </w:r>
    </w:p>
    <w:p>
      <w:pPr>
        <w:pStyle w:val="Telotextu"/>
        <w:tabs>
          <w:tab w:val="clear" w:pos="720"/>
          <w:tab w:val="left" w:pos="2262" w:leader="none"/>
          <w:tab w:val="left" w:pos="9781" w:leader="none"/>
        </w:tabs>
        <w:ind w:left="846" w:hanging="0"/>
        <w:jc w:val="both"/>
        <w:rPr>
          <w:sz w:val="20"/>
        </w:rPr>
      </w:pPr>
      <w:r>
        <w:rPr/>
        <w:t>B. 19.</w:t>
        <w:tab/>
        <w:t>Ostatné výdavky vzťahujúce sa na investičnú činnosť</w:t>
      </w:r>
      <w:r>
        <w:rPr>
          <w:spacing w:val="-7"/>
        </w:rPr>
        <w:t xml:space="preserve"> </w:t>
      </w:r>
      <w:r>
        <w:rPr/>
        <w:t>(-)</w:t>
      </w:r>
    </w:p>
    <w:p>
      <w:pPr>
        <w:pStyle w:val="Normal"/>
        <w:tabs>
          <w:tab w:val="clear" w:pos="720"/>
          <w:tab w:val="left" w:pos="2262" w:leader="none"/>
          <w:tab w:val="left" w:pos="9781" w:leader="none"/>
        </w:tabs>
        <w:ind w:left="846" w:hanging="0"/>
        <w:jc w:val="both"/>
        <w:rPr>
          <w:b/>
          <w:b/>
          <w:i/>
          <w:i/>
        </w:rPr>
      </w:pPr>
      <w:r>
        <w:rPr>
          <w:b/>
          <w:i/>
        </w:rPr>
        <w:t>B.</w:t>
        <w:tab/>
        <w:t>Čisté peňažné toky z investičnej činnosti (súčet B. 1. až B.</w:t>
      </w:r>
      <w:r>
        <w:rPr>
          <w:b/>
          <w:i/>
          <w:spacing w:val="-12"/>
        </w:rPr>
        <w:t xml:space="preserve"> </w:t>
      </w:r>
      <w:r>
        <w:rPr>
          <w:b/>
          <w:i/>
        </w:rPr>
        <w:t>19.)</w:t>
      </w:r>
    </w:p>
    <w:p>
      <w:pPr>
        <w:pStyle w:val="Telotextu"/>
        <w:tabs>
          <w:tab w:val="clear" w:pos="720"/>
          <w:tab w:val="left" w:pos="9781" w:leader="none"/>
        </w:tabs>
        <w:spacing w:before="1" w:after="0"/>
        <w:jc w:val="both"/>
        <w:rPr>
          <w:b/>
          <w:b/>
          <w:i/>
          <w:i/>
        </w:rPr>
      </w:pPr>
      <w:r>
        <w:rPr>
          <w:b/>
          <w:i/>
        </w:rPr>
      </w:r>
    </w:p>
    <w:p>
      <w:pPr>
        <w:pStyle w:val="Nadpis1"/>
        <w:tabs>
          <w:tab w:val="clear" w:pos="720"/>
          <w:tab w:val="left" w:pos="2262" w:leader="none"/>
          <w:tab w:val="left" w:pos="9781" w:leader="none"/>
        </w:tabs>
        <w:ind w:left="498" w:hanging="0"/>
        <w:jc w:val="both"/>
        <w:rPr>
          <w:sz w:val="20"/>
        </w:rPr>
      </w:pPr>
      <w:r>
        <w:rPr/>
        <w:t>Označenie</w:t>
        <w:tab/>
        <w:t>Obsah</w:t>
      </w:r>
    </w:p>
    <w:p>
      <w:pPr>
        <w:pStyle w:val="Normal"/>
        <w:tabs>
          <w:tab w:val="clear" w:pos="720"/>
          <w:tab w:val="left" w:pos="2262" w:leader="none"/>
          <w:tab w:val="left" w:pos="9781" w:leader="none"/>
        </w:tabs>
        <w:spacing w:before="2" w:after="19"/>
        <w:ind w:left="498" w:hanging="0"/>
        <w:jc w:val="both"/>
        <w:rPr>
          <w:b/>
          <w:b/>
        </w:rPr>
      </w:pPr>
      <w:r>
        <w:rPr>
          <w:b/>
        </w:rPr>
        <w:t>položky</w:t>
        <w:tab/>
        <w:t>položky</w:t>
      </w:r>
    </w:p>
    <w:p>
      <w:pPr>
        <w:pStyle w:val="Telotextu"/>
        <w:tabs>
          <w:tab w:val="clear" w:pos="720"/>
          <w:tab w:val="left" w:pos="9781" w:leader="none"/>
        </w:tabs>
        <w:spacing w:lineRule="exact" w:line="28"/>
        <w:ind w:left="110" w:hanging="0"/>
        <w:jc w:val="both"/>
        <w:rPr>
          <w:sz w:val="2"/>
        </w:rPr>
      </w:pPr>
      <w:r>
        <w:rPr/>
        <mc:AlternateContent>
          <mc:Choice Requires="wpg">
            <w:drawing>
              <wp:inline distT="0" distB="0" distL="0" distR="0">
                <wp:extent cx="5800090" cy="20320"/>
                <wp:effectExtent l="0" t="0" r="0" b="0"/>
                <wp:docPr id="10" name="Útvar9"/>
                <a:graphic xmlns:a="http://schemas.openxmlformats.org/drawingml/2006/main">
                  <a:graphicData uri="http://schemas.microsoft.com/office/word/2010/wordprocessingGroup">
                    <wpg:wgp>
                      <wpg:cNvGrpSpPr/>
                      <wpg:grpSpPr>
                        <a:xfrm>
                          <a:off x="0" y="0"/>
                          <a:ext cx="5799600" cy="19800"/>
                          <a:chOff x="0" y="-20160"/>
                          <a:chExt cx="5799600" cy="19800"/>
                        </a:xfrm>
                      </wpg:grpSpPr>
                      <wps:wsp>
                        <wps:cNvSpPr/>
                        <wps:spPr>
                          <a:xfrm>
                            <a:off x="0" y="0"/>
                            <a:ext cx="5799600" cy="19800"/>
                          </a:xfrm>
                          <a:prstGeom prst="rect">
                            <a:avLst/>
                          </a:prstGeom>
                          <a:solidFill>
                            <a:srgbClr val="000000"/>
                          </a:solidFill>
                          <a:ln w="0">
                            <a:noFill/>
                          </a:ln>
                        </wps:spPr>
                        <wps:style>
                          <a:lnRef idx="0"/>
                          <a:fillRef idx="0"/>
                          <a:effectRef idx="0"/>
                          <a:fontRef idx="minor"/>
                        </wps:style>
                        <wps:bodyPr/>
                      </wps:wsp>
                    </wpg:wgp>
                  </a:graphicData>
                </a:graphic>
              </wp:inline>
            </w:drawing>
          </mc:Choice>
          <mc:Fallback>
            <w:pict>
              <v:group id="shape_0" alt="Útvar9" style="position:absolute;margin-left:0pt;margin-top:-1.6pt;width:456.65pt;height:1.55pt" coordorigin="0,-32" coordsize="9133,31">
                <v:rect id="shape_0" path="m0,0l-2147483645,0l-2147483645,-2147483646l0,-2147483646xe" fillcolor="black" stroked="f" style="position:absolute;left:0;top:-32;width:9132;height:30;mso-wrap-style:none;v-text-anchor:middle;mso-position-vertical:top">
                  <v:fill o:detectmouseclick="t" type="solid" color2="white"/>
                  <v:stroke color="#3465a4" joinstyle="round" endcap="flat"/>
                  <w10:wrap type="square"/>
                </v:rect>
              </v:group>
            </w:pict>
          </mc:Fallback>
        </mc:AlternateContent>
      </w:r>
    </w:p>
    <w:p>
      <w:pPr>
        <w:pStyle w:val="Telotextu"/>
        <w:tabs>
          <w:tab w:val="clear" w:pos="720"/>
          <w:tab w:val="left" w:pos="9781" w:leader="none"/>
        </w:tabs>
        <w:spacing w:before="2" w:after="0"/>
        <w:jc w:val="both"/>
        <w:rPr>
          <w:b/>
          <w:b/>
          <w:sz w:val="15"/>
        </w:rPr>
      </w:pPr>
      <w:r>
        <w:rPr>
          <w:b/>
          <w:sz w:val="15"/>
        </w:rPr>
      </w:r>
    </w:p>
    <w:p>
      <w:pPr>
        <w:pStyle w:val="Normal"/>
        <w:tabs>
          <w:tab w:val="clear" w:pos="720"/>
          <w:tab w:val="left" w:pos="9781" w:leader="none"/>
        </w:tabs>
        <w:spacing w:lineRule="exact" w:line="252" w:before="100" w:after="0"/>
        <w:ind w:left="846" w:hanging="0"/>
        <w:jc w:val="both"/>
        <w:rPr>
          <w:b/>
          <w:b/>
        </w:rPr>
      </w:pPr>
      <w:r>
        <w:rPr>
          <w:rFonts w:ascii="Times New Roman" w:hAnsi="Times New Roman"/>
          <w:spacing w:val="-56"/>
          <w:u w:val="single"/>
        </w:rPr>
        <w:t xml:space="preserve"> </w:t>
      </w:r>
      <w:r>
        <w:rPr>
          <w:b/>
          <w:u w:val="single"/>
        </w:rPr>
        <w:t>Peňažné toky z finančnej činnosti</w:t>
      </w:r>
    </w:p>
    <w:p>
      <w:pPr>
        <w:pStyle w:val="Normal"/>
        <w:tabs>
          <w:tab w:val="clear" w:pos="720"/>
          <w:tab w:val="left" w:pos="2265" w:leader="none"/>
          <w:tab w:val="left" w:pos="9781" w:leader="none"/>
        </w:tabs>
        <w:spacing w:lineRule="exact" w:line="252"/>
        <w:ind w:left="846" w:hanging="0"/>
        <w:jc w:val="both"/>
        <w:rPr>
          <w:i/>
          <w:i/>
        </w:rPr>
      </w:pPr>
      <w:r>
        <w:rPr>
          <w:i/>
        </w:rPr>
        <w:t>C.</w:t>
      </w:r>
      <w:r>
        <w:rPr>
          <w:i/>
          <w:spacing w:val="-1"/>
        </w:rPr>
        <w:t xml:space="preserve"> </w:t>
      </w:r>
      <w:r>
        <w:rPr>
          <w:i/>
        </w:rPr>
        <w:t>1.</w:t>
        <w:tab/>
        <w:t>Peňažné toky vo vlastnom imaní (súčet C. 1. 1. až C. 1.</w:t>
      </w:r>
      <w:r>
        <w:rPr>
          <w:i/>
          <w:spacing w:val="-9"/>
        </w:rPr>
        <w:t xml:space="preserve"> </w:t>
      </w:r>
      <w:r>
        <w:rPr>
          <w:i/>
        </w:rPr>
        <w:t>8.)</w:t>
      </w:r>
    </w:p>
    <w:p>
      <w:pPr>
        <w:pStyle w:val="Telotextu"/>
        <w:tabs>
          <w:tab w:val="clear" w:pos="720"/>
          <w:tab w:val="left" w:pos="2265" w:leader="none"/>
          <w:tab w:val="left" w:pos="9781" w:leader="none"/>
        </w:tabs>
        <w:spacing w:lineRule="exact" w:line="252"/>
        <w:ind w:left="846" w:hanging="0"/>
        <w:jc w:val="both"/>
        <w:rPr>
          <w:sz w:val="20"/>
        </w:rPr>
      </w:pPr>
      <w:r>
        <w:rPr/>
        <w:t>C.</w:t>
      </w:r>
      <w:r>
        <w:rPr>
          <w:spacing w:val="-1"/>
        </w:rPr>
        <w:t xml:space="preserve"> </w:t>
      </w:r>
      <w:r>
        <w:rPr/>
        <w:t>1. 1.</w:t>
        <w:tab/>
        <w:t>Príjmy z upísaných akcií a obchodných podielov</w:t>
      </w:r>
      <w:r>
        <w:rPr>
          <w:spacing w:val="-5"/>
        </w:rPr>
        <w:t xml:space="preserve"> </w:t>
      </w:r>
      <w:r>
        <w:rPr/>
        <w:t>(+)</w:t>
      </w:r>
    </w:p>
    <w:p>
      <w:pPr>
        <w:pStyle w:val="Telotextu"/>
        <w:tabs>
          <w:tab w:val="clear" w:pos="720"/>
          <w:tab w:val="left" w:pos="2265" w:leader="none"/>
          <w:tab w:val="left" w:pos="9781" w:leader="none"/>
        </w:tabs>
        <w:ind w:left="2265" w:right="571" w:hanging="1419"/>
        <w:jc w:val="both"/>
        <w:rPr>
          <w:sz w:val="20"/>
        </w:rPr>
      </w:pPr>
      <w:r>
        <w:rPr/>
        <w:t>C.</w:t>
      </w:r>
      <w:r>
        <w:rPr>
          <w:spacing w:val="-1"/>
        </w:rPr>
        <w:t xml:space="preserve"> </w:t>
      </w:r>
      <w:r>
        <w:rPr/>
        <w:t>1. 2.</w:t>
        <w:tab/>
        <w:t>Príjmy z ďalších vkladov do vlastného imania spoločníkmi alebo fyzickou osobou, ktorá je účtovnou jednotkou</w:t>
      </w:r>
      <w:r>
        <w:rPr>
          <w:spacing w:val="-1"/>
        </w:rPr>
        <w:t xml:space="preserve"> </w:t>
      </w:r>
      <w:r>
        <w:rPr/>
        <w:t>(+)</w:t>
      </w:r>
    </w:p>
    <w:p>
      <w:pPr>
        <w:pStyle w:val="Telotextu"/>
        <w:tabs>
          <w:tab w:val="clear" w:pos="720"/>
          <w:tab w:val="left" w:pos="2265" w:leader="none"/>
          <w:tab w:val="left" w:pos="9781" w:leader="none"/>
        </w:tabs>
        <w:spacing w:before="2" w:after="0"/>
        <w:ind w:left="846" w:hanging="0"/>
        <w:jc w:val="both"/>
        <w:rPr>
          <w:sz w:val="20"/>
        </w:rPr>
      </w:pPr>
      <w:r>
        <w:rPr/>
        <w:t>C.</w:t>
      </w:r>
      <w:r>
        <w:rPr>
          <w:spacing w:val="-1"/>
        </w:rPr>
        <w:t xml:space="preserve"> </w:t>
      </w:r>
      <w:r>
        <w:rPr/>
        <w:t>1. 3.</w:t>
        <w:tab/>
        <w:t>Prijaté peňažné dary</w:t>
      </w:r>
      <w:r>
        <w:rPr>
          <w:spacing w:val="-3"/>
        </w:rPr>
        <w:t xml:space="preserve"> </w:t>
      </w:r>
      <w:r>
        <w:rPr/>
        <w:t>(+)</w:t>
      </w:r>
    </w:p>
    <w:p>
      <w:pPr>
        <w:pStyle w:val="Telotextu"/>
        <w:tabs>
          <w:tab w:val="clear" w:pos="720"/>
          <w:tab w:val="left" w:pos="2265" w:leader="none"/>
          <w:tab w:val="left" w:pos="9781" w:leader="none"/>
        </w:tabs>
        <w:spacing w:lineRule="exact" w:line="252"/>
        <w:ind w:left="846" w:hanging="0"/>
        <w:jc w:val="both"/>
        <w:rPr>
          <w:sz w:val="20"/>
        </w:rPr>
      </w:pPr>
      <w:r>
        <w:rPr/>
        <w:t>C.</w:t>
      </w:r>
      <w:r>
        <w:rPr>
          <w:spacing w:val="-1"/>
        </w:rPr>
        <w:t xml:space="preserve"> </w:t>
      </w:r>
      <w:r>
        <w:rPr/>
        <w:t>1. 4.</w:t>
        <w:tab/>
        <w:t>Príjmy z úhrady straty spoločníkmi</w:t>
      </w:r>
      <w:r>
        <w:rPr>
          <w:spacing w:val="-2"/>
        </w:rPr>
        <w:t xml:space="preserve"> </w:t>
      </w:r>
      <w:r>
        <w:rPr/>
        <w:t>(+)</w:t>
      </w:r>
    </w:p>
    <w:p>
      <w:pPr>
        <w:pStyle w:val="Telotextu"/>
        <w:tabs>
          <w:tab w:val="clear" w:pos="720"/>
          <w:tab w:val="left" w:pos="2265" w:leader="none"/>
          <w:tab w:val="left" w:pos="9781" w:leader="none"/>
        </w:tabs>
        <w:ind w:left="2265" w:right="851" w:hanging="1419"/>
        <w:jc w:val="both"/>
        <w:rPr>
          <w:sz w:val="20"/>
        </w:rPr>
      </w:pPr>
      <w:r>
        <w:rPr/>
        <w:t>C.</w:t>
      </w:r>
      <w:r>
        <w:rPr>
          <w:spacing w:val="-1"/>
        </w:rPr>
        <w:t xml:space="preserve"> </w:t>
      </w:r>
      <w:r>
        <w:rPr/>
        <w:t>1. 5.</w:t>
        <w:tab/>
        <w:t>Výdavky na obstaranie alebo spätné odkúpenie vlastných akcií a vlastných obchodných podielov</w:t>
      </w:r>
      <w:r>
        <w:rPr>
          <w:spacing w:val="-1"/>
        </w:rPr>
        <w:t xml:space="preserve"> </w:t>
      </w:r>
      <w:r>
        <w:rPr/>
        <w:t>(-)</w:t>
      </w:r>
    </w:p>
    <w:p>
      <w:pPr>
        <w:pStyle w:val="Telotextu"/>
        <w:tabs>
          <w:tab w:val="clear" w:pos="720"/>
          <w:tab w:val="left" w:pos="2265" w:leader="none"/>
          <w:tab w:val="left" w:pos="9781" w:leader="none"/>
        </w:tabs>
        <w:spacing w:lineRule="exact" w:line="252"/>
        <w:ind w:left="825" w:hanging="0"/>
        <w:jc w:val="both"/>
        <w:rPr>
          <w:sz w:val="20"/>
        </w:rPr>
      </w:pPr>
      <w:r>
        <w:rPr/>
        <w:t>C.</w:t>
      </w:r>
      <w:r>
        <w:rPr>
          <w:spacing w:val="-1"/>
        </w:rPr>
        <w:t xml:space="preserve"> </w:t>
      </w:r>
      <w:r>
        <w:rPr/>
        <w:t>1. 6.</w:t>
        <w:tab/>
        <w:t>Výdavky spojené so znížením fondov vytvorených účtovnou jednotkou</w:t>
      </w:r>
      <w:r>
        <w:rPr>
          <w:spacing w:val="-12"/>
        </w:rPr>
        <w:t xml:space="preserve"> </w:t>
      </w:r>
      <w:r>
        <w:rPr/>
        <w:t>(-)</w:t>
      </w:r>
    </w:p>
    <w:p>
      <w:pPr>
        <w:pStyle w:val="Telotextu"/>
        <w:tabs>
          <w:tab w:val="clear" w:pos="720"/>
          <w:tab w:val="left" w:pos="2265" w:leader="none"/>
          <w:tab w:val="left" w:pos="9781" w:leader="none"/>
        </w:tabs>
        <w:spacing w:before="1" w:after="0"/>
        <w:ind w:left="2265" w:right="621" w:hanging="1440"/>
        <w:jc w:val="both"/>
        <w:rPr>
          <w:sz w:val="20"/>
        </w:rPr>
      </w:pPr>
      <w:r>
        <w:rPr/>
        <w:t>C.</w:t>
      </w:r>
      <w:r>
        <w:rPr>
          <w:spacing w:val="-1"/>
        </w:rPr>
        <w:t xml:space="preserve"> </w:t>
      </w:r>
      <w:r>
        <w:rPr/>
        <w:t>1. 7.</w:t>
        <w:tab/>
        <w:t>Výdavky na  vyplatenie  podielu  na  vlastnom  imaní  spoločníkmi  účtovnej  jednotky  a fyzickou osobou, ktorá je účtovnou jednotkou</w:t>
      </w:r>
      <w:r>
        <w:rPr>
          <w:spacing w:val="-9"/>
        </w:rPr>
        <w:t xml:space="preserve"> </w:t>
      </w:r>
      <w:r>
        <w:rPr/>
        <w:t>(-)</w:t>
      </w:r>
    </w:p>
    <w:p>
      <w:pPr>
        <w:pStyle w:val="Telotextu"/>
        <w:tabs>
          <w:tab w:val="clear" w:pos="720"/>
          <w:tab w:val="left" w:pos="2265" w:leader="none"/>
          <w:tab w:val="left" w:pos="9781" w:leader="none"/>
        </w:tabs>
        <w:spacing w:lineRule="exact" w:line="251"/>
        <w:ind w:left="846" w:hanging="0"/>
        <w:jc w:val="both"/>
        <w:rPr>
          <w:sz w:val="20"/>
        </w:rPr>
      </w:pPr>
      <w:r>
        <w:rPr/>
        <w:t>C.</w:t>
      </w:r>
      <w:r>
        <w:rPr>
          <w:spacing w:val="-1"/>
        </w:rPr>
        <w:t xml:space="preserve"> </w:t>
      </w:r>
      <w:r>
        <w:rPr/>
        <w:t>1. 8.</w:t>
        <w:tab/>
        <w:t>Výdavky z iných dôvodov, ktoré súvisia so znížením vlastného imania</w:t>
      </w:r>
      <w:r>
        <w:rPr>
          <w:spacing w:val="-13"/>
        </w:rPr>
        <w:t xml:space="preserve"> </w:t>
      </w:r>
      <w:r>
        <w:rPr/>
        <w:t>(-)</w:t>
      </w:r>
    </w:p>
    <w:p>
      <w:pPr>
        <w:pStyle w:val="Normal"/>
        <w:tabs>
          <w:tab w:val="clear" w:pos="720"/>
          <w:tab w:val="left" w:pos="2265" w:leader="none"/>
          <w:tab w:val="left" w:pos="6957" w:leader="none"/>
          <w:tab w:val="left" w:pos="9781" w:leader="none"/>
        </w:tabs>
        <w:ind w:left="2265" w:right="621" w:hanging="1421"/>
        <w:jc w:val="both"/>
        <w:rPr>
          <w:i/>
          <w:i/>
        </w:rPr>
      </w:pPr>
      <w:r>
        <w:rPr>
          <w:i/>
        </w:rPr>
        <w:t>C.</w:t>
      </w:r>
      <w:r>
        <w:rPr>
          <w:i/>
          <w:spacing w:val="-1"/>
        </w:rPr>
        <w:t xml:space="preserve"> </w:t>
      </w:r>
      <w:r>
        <w:rPr>
          <w:i/>
        </w:rPr>
        <w:t>2.</w:t>
        <w:tab/>
        <w:t>Peňažné   toky   vznikajúce   z</w:t>
      </w:r>
      <w:r>
        <w:rPr>
          <w:i/>
          <w:spacing w:val="29"/>
        </w:rPr>
        <w:t xml:space="preserve"> </w:t>
      </w:r>
      <w:r>
        <w:rPr>
          <w:i/>
        </w:rPr>
        <w:t xml:space="preserve">dlhodobých  </w:t>
      </w:r>
      <w:r>
        <w:rPr>
          <w:i/>
          <w:spacing w:val="9"/>
        </w:rPr>
        <w:t xml:space="preserve"> </w:t>
      </w:r>
      <w:r>
        <w:rPr>
          <w:i/>
        </w:rPr>
        <w:t>záväzkov</w:t>
        <w:tab/>
        <w:t>a  krátkodobých  záväzkov z finančnej činnosti (súčet C. 2. 1. až C. 2.</w:t>
      </w:r>
      <w:r>
        <w:rPr>
          <w:i/>
          <w:spacing w:val="-6"/>
        </w:rPr>
        <w:t xml:space="preserve"> </w:t>
      </w:r>
      <w:r>
        <w:rPr>
          <w:i/>
        </w:rPr>
        <w:t>9.)</w:t>
      </w:r>
    </w:p>
    <w:p>
      <w:pPr>
        <w:pStyle w:val="Telotextu"/>
        <w:tabs>
          <w:tab w:val="clear" w:pos="720"/>
          <w:tab w:val="left" w:pos="2265" w:leader="none"/>
          <w:tab w:val="left" w:pos="9781" w:leader="none"/>
        </w:tabs>
        <w:spacing w:lineRule="exact" w:line="252" w:before="2" w:after="0"/>
        <w:ind w:left="844" w:hanging="0"/>
        <w:jc w:val="both"/>
        <w:rPr>
          <w:sz w:val="20"/>
        </w:rPr>
      </w:pPr>
      <w:r>
        <w:rPr/>
        <w:t>C.</w:t>
      </w:r>
      <w:r>
        <w:rPr>
          <w:spacing w:val="-1"/>
        </w:rPr>
        <w:t xml:space="preserve"> </w:t>
      </w:r>
      <w:r>
        <w:rPr/>
        <w:t>2. 1.</w:t>
        <w:tab/>
        <w:t>Príjmy z emisie dlhových cenných papierov</w:t>
      </w:r>
      <w:r>
        <w:rPr>
          <w:spacing w:val="-5"/>
        </w:rPr>
        <w:t xml:space="preserve"> </w:t>
      </w:r>
      <w:r>
        <w:rPr/>
        <w:t>(+)</w:t>
      </w:r>
    </w:p>
    <w:p>
      <w:pPr>
        <w:pStyle w:val="Telotextu"/>
        <w:tabs>
          <w:tab w:val="clear" w:pos="720"/>
          <w:tab w:val="left" w:pos="2262" w:leader="none"/>
          <w:tab w:val="left" w:pos="9781" w:leader="none"/>
        </w:tabs>
        <w:spacing w:lineRule="exact" w:line="252"/>
        <w:ind w:left="844" w:hanging="0"/>
        <w:jc w:val="both"/>
        <w:rPr>
          <w:sz w:val="20"/>
        </w:rPr>
      </w:pPr>
      <w:r>
        <w:rPr/>
        <w:t>C.</w:t>
      </w:r>
      <w:r>
        <w:rPr>
          <w:spacing w:val="-1"/>
        </w:rPr>
        <w:t xml:space="preserve"> </w:t>
      </w:r>
      <w:r>
        <w:rPr/>
        <w:t>2. 2.</w:t>
        <w:tab/>
        <w:t>Výdavky na úhradu záväzkov z dlhových cenných papierov</w:t>
      </w:r>
      <w:r>
        <w:rPr>
          <w:spacing w:val="-8"/>
        </w:rPr>
        <w:t xml:space="preserve"> </w:t>
      </w:r>
      <w:r>
        <w:rPr/>
        <w:t>(-)</w:t>
      </w:r>
    </w:p>
    <w:p>
      <w:pPr>
        <w:pStyle w:val="Telotextu"/>
        <w:tabs>
          <w:tab w:val="clear" w:pos="720"/>
          <w:tab w:val="left" w:pos="2265" w:leader="none"/>
          <w:tab w:val="left" w:pos="9781" w:leader="none"/>
        </w:tabs>
        <w:ind w:left="2265" w:right="571" w:hanging="1421"/>
        <w:jc w:val="both"/>
        <w:rPr>
          <w:sz w:val="20"/>
        </w:rPr>
      </w:pPr>
      <w:r>
        <w:rPr/>
        <w:t>C.</w:t>
      </w:r>
      <w:r>
        <w:rPr>
          <w:spacing w:val="-1"/>
        </w:rPr>
        <w:t xml:space="preserve"> </w:t>
      </w:r>
      <w:r>
        <w:rPr/>
        <w:t>2. 3.</w:t>
        <w:tab/>
        <w:t>Príjmy z úverov, ktoré účtovnej jednotke poskytla banka alebo pobočka zahraničnej banky, s výnimkou úverov, ktoré boli poskytnuté na zabezpečenie hlavného predmetu činnosti</w:t>
      </w:r>
      <w:r>
        <w:rPr>
          <w:spacing w:val="1"/>
        </w:rPr>
        <w:t xml:space="preserve"> </w:t>
      </w:r>
      <w:r>
        <w:rPr/>
        <w:t>(+)</w:t>
      </w:r>
    </w:p>
    <w:p>
      <w:pPr>
        <w:pStyle w:val="Telotextu"/>
        <w:tabs>
          <w:tab w:val="clear" w:pos="720"/>
          <w:tab w:val="left" w:pos="2265" w:leader="none"/>
          <w:tab w:val="left" w:pos="9781" w:leader="none"/>
        </w:tabs>
        <w:ind w:left="2265" w:right="574" w:hanging="1407"/>
        <w:jc w:val="both"/>
        <w:rPr>
          <w:sz w:val="20"/>
        </w:rPr>
      </w:pPr>
      <w:r>
        <w:rPr/>
        <w:t>C.</w:t>
      </w:r>
      <w:r>
        <w:rPr>
          <w:spacing w:val="-1"/>
        </w:rPr>
        <w:t xml:space="preserve"> </w:t>
      </w:r>
      <w:r>
        <w:rPr/>
        <w:t>2. 4.</w:t>
        <w:tab/>
        <w:t>Výdavky na splácanie úverov, ktoré účtovnej jednotke poskytla banka alebo pobočka zahraničnej banky, s výnimkou úverov, ktoré boli poskytnuté na zabezpečenie hlavného predmetu činnosti</w:t>
      </w:r>
      <w:r>
        <w:rPr>
          <w:spacing w:val="-4"/>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C.</w:t>
      </w:r>
      <w:r>
        <w:rPr>
          <w:spacing w:val="-1"/>
        </w:rPr>
        <w:t xml:space="preserve"> </w:t>
      </w:r>
      <w:r>
        <w:rPr/>
        <w:t>2. 5.</w:t>
        <w:tab/>
        <w:t>Príjmy z prijatých pôžičiek</w:t>
      </w:r>
      <w:r>
        <w:rPr>
          <w:spacing w:val="-2"/>
        </w:rPr>
        <w:t xml:space="preserve"> </w:t>
      </w:r>
      <w:r>
        <w:rPr/>
        <w:t>(+)</w:t>
      </w:r>
    </w:p>
    <w:p>
      <w:pPr>
        <w:pStyle w:val="Telotextu"/>
        <w:tabs>
          <w:tab w:val="clear" w:pos="720"/>
          <w:tab w:val="left" w:pos="2262" w:leader="none"/>
          <w:tab w:val="left" w:pos="9781" w:leader="none"/>
        </w:tabs>
        <w:spacing w:lineRule="exact" w:line="252"/>
        <w:ind w:left="846" w:hanging="0"/>
        <w:jc w:val="both"/>
        <w:rPr>
          <w:sz w:val="20"/>
        </w:rPr>
      </w:pPr>
      <w:r>
        <w:rPr/>
        <w:t>C.</w:t>
      </w:r>
      <w:r>
        <w:rPr>
          <w:spacing w:val="-1"/>
        </w:rPr>
        <w:t xml:space="preserve"> </w:t>
      </w:r>
      <w:r>
        <w:rPr/>
        <w:t>2. 6.</w:t>
        <w:tab/>
        <w:t>Výdavky na splácanie pôžičiek</w:t>
      </w:r>
      <w:r>
        <w:rPr>
          <w:spacing w:val="-5"/>
        </w:rPr>
        <w:t xml:space="preserve"> </w:t>
      </w:r>
      <w:r>
        <w:rPr/>
        <w:t>(-)</w:t>
      </w:r>
    </w:p>
    <w:p>
      <w:pPr>
        <w:pStyle w:val="Telotextu"/>
        <w:tabs>
          <w:tab w:val="clear" w:pos="720"/>
          <w:tab w:val="left" w:pos="2265" w:leader="none"/>
          <w:tab w:val="left" w:pos="9781" w:leader="none"/>
        </w:tabs>
        <w:ind w:left="2265" w:right="573" w:hanging="1419"/>
        <w:jc w:val="both"/>
        <w:rPr>
          <w:sz w:val="20"/>
        </w:rPr>
      </w:pPr>
      <w:r>
        <w:rPr/>
        <w:t>C.</w:t>
      </w:r>
      <w:r>
        <w:rPr>
          <w:spacing w:val="-1"/>
        </w:rPr>
        <w:t xml:space="preserve"> </w:t>
      </w:r>
      <w:r>
        <w:rPr/>
        <w:t>2. 7.</w:t>
        <w:tab/>
        <w:t>Výdavky na úhradu záväzkov z používania majetku, ktorý je predmetom zmluvy o kúpe prenajatej veci</w:t>
      </w:r>
      <w:r>
        <w:rPr>
          <w:spacing w:val="-1"/>
        </w:rPr>
        <w:t xml:space="preserve"> </w:t>
      </w:r>
      <w:r>
        <w:rPr/>
        <w:t>(-)</w:t>
      </w:r>
    </w:p>
    <w:p>
      <w:pPr>
        <w:pStyle w:val="Telotextu"/>
        <w:tabs>
          <w:tab w:val="clear" w:pos="720"/>
          <w:tab w:val="left" w:pos="2265" w:leader="none"/>
          <w:tab w:val="left" w:pos="9781" w:leader="none"/>
        </w:tabs>
        <w:spacing w:before="1" w:after="0"/>
        <w:ind w:left="2265" w:right="573" w:hanging="1407"/>
        <w:jc w:val="both"/>
        <w:rPr>
          <w:sz w:val="20"/>
        </w:rPr>
      </w:pPr>
      <w:r>
        <w:rPr/>
        <w:t>C.</w:t>
      </w:r>
      <w:r>
        <w:rPr>
          <w:spacing w:val="-1"/>
        </w:rPr>
        <w:t xml:space="preserve"> </w:t>
      </w:r>
      <w:r>
        <w:rPr/>
        <w:t>2. 8.</w:t>
        <w:tab/>
        <w:t>Príjmy  z ostatných  dlhodobých  záväzkov  a  krátkodobých  záväzkov   vyplývajúcich z finančnej činnosti   účtovnej jednotky, s výnimkou tých, ktoré sa uvádzajú osobitne    v inej časti prehľadu peňažných tokov</w:t>
      </w:r>
      <w:r>
        <w:rPr>
          <w:spacing w:val="-4"/>
        </w:rPr>
        <w:t xml:space="preserve"> </w:t>
      </w:r>
      <w:r>
        <w:rPr/>
        <w:t>(+)</w:t>
      </w:r>
    </w:p>
    <w:p>
      <w:pPr>
        <w:pStyle w:val="Telotextu"/>
        <w:tabs>
          <w:tab w:val="clear" w:pos="720"/>
          <w:tab w:val="left" w:pos="2265" w:leader="none"/>
          <w:tab w:val="left" w:pos="9781" w:leader="none"/>
        </w:tabs>
        <w:ind w:left="2265" w:right="572" w:hanging="1419"/>
        <w:jc w:val="both"/>
        <w:rPr>
          <w:sz w:val="20"/>
        </w:rPr>
      </w:pPr>
      <w:r>
        <w:rPr/>
        <w:t>C.</w:t>
      </w:r>
      <w:r>
        <w:rPr>
          <w:spacing w:val="-1"/>
        </w:rPr>
        <w:t xml:space="preserve"> </w:t>
      </w:r>
      <w:r>
        <w:rPr/>
        <w:t>2. 9.</w:t>
        <w:tab/>
        <w:t>Výdavky na splácanie ostatných dlhodobých záväzkov a krátkodobých záväzkov vyplývajúcich z finančnej činnosti účtovnej jednotky, s výnimkou tých, ktoré sa uvádzajú osobitne v inej časti prehľadu peňažných tokov</w:t>
      </w:r>
      <w:r>
        <w:rPr>
          <w:spacing w:val="-8"/>
        </w:rPr>
        <w:t xml:space="preserve"> </w:t>
      </w:r>
      <w:r>
        <w:rPr/>
        <w:t>(-)</w:t>
      </w:r>
    </w:p>
    <w:p>
      <w:pPr>
        <w:pStyle w:val="Telotextu"/>
        <w:tabs>
          <w:tab w:val="clear" w:pos="720"/>
          <w:tab w:val="left" w:pos="2265" w:leader="none"/>
          <w:tab w:val="left" w:pos="9781" w:leader="none"/>
        </w:tabs>
        <w:ind w:left="2265" w:right="574" w:hanging="1407"/>
        <w:jc w:val="both"/>
        <w:rPr>
          <w:sz w:val="20"/>
        </w:rPr>
      </w:pPr>
      <w:r>
        <w:rPr/>
        <w:t>C.</w:t>
      </w:r>
      <w:r>
        <w:rPr>
          <w:spacing w:val="-1"/>
        </w:rPr>
        <w:t xml:space="preserve"> </w:t>
      </w:r>
      <w:r>
        <w:rPr/>
        <w:t>3.</w:t>
        <w:tab/>
        <w:t>Výdavky na zaplatené úroky, s výnimkou tých, ktoré sa začleňujú do prevádzkových činností</w:t>
      </w:r>
      <w:r>
        <w:rPr>
          <w:spacing w:val="-1"/>
        </w:rPr>
        <w:t xml:space="preserve"> </w:t>
      </w:r>
      <w:r>
        <w:rPr/>
        <w:t>(-)</w:t>
      </w:r>
    </w:p>
    <w:p>
      <w:pPr>
        <w:pStyle w:val="Telotextu"/>
        <w:tabs>
          <w:tab w:val="clear" w:pos="720"/>
          <w:tab w:val="left" w:pos="2265" w:leader="none"/>
          <w:tab w:val="left" w:pos="9781" w:leader="none"/>
        </w:tabs>
        <w:ind w:left="2265" w:right="572" w:hanging="1407"/>
        <w:jc w:val="both"/>
        <w:rPr>
          <w:sz w:val="20"/>
        </w:rPr>
      </w:pPr>
      <w:r>
        <w:rPr/>
        <w:t>C.</w:t>
      </w:r>
      <w:r>
        <w:rPr>
          <w:spacing w:val="-1"/>
        </w:rPr>
        <w:t xml:space="preserve"> </w:t>
      </w:r>
      <w:r>
        <w:rPr/>
        <w:t>4.</w:t>
        <w:tab/>
        <w:t>Výdavky na vyplatené dividendy a iné podiely na zisku, s výnimkou tých, ktoré sa začleňujú do prevádzkových činností</w:t>
      </w:r>
      <w:r>
        <w:rPr>
          <w:spacing w:val="-7"/>
        </w:rPr>
        <w:t xml:space="preserve"> </w:t>
      </w:r>
      <w:r>
        <w:rPr/>
        <w:t>(-)</w:t>
      </w:r>
    </w:p>
    <w:p>
      <w:pPr>
        <w:pStyle w:val="Telotextu"/>
        <w:tabs>
          <w:tab w:val="clear" w:pos="720"/>
          <w:tab w:val="left" w:pos="2265" w:leader="none"/>
          <w:tab w:val="left" w:pos="9781" w:leader="none"/>
        </w:tabs>
        <w:spacing w:before="76" w:after="0"/>
        <w:ind w:left="2265" w:right="851" w:hanging="1407"/>
        <w:jc w:val="both"/>
        <w:rPr>
          <w:sz w:val="20"/>
        </w:rPr>
      </w:pPr>
      <w:r>
        <w:rPr/>
        <w:t>C.</w:t>
      </w:r>
      <w:r>
        <w:rPr>
          <w:spacing w:val="-1"/>
        </w:rPr>
        <w:t xml:space="preserve"> </w:t>
      </w:r>
      <w:r>
        <w:rPr/>
        <w:t>5.</w:t>
        <w:tab/>
        <w:t>Výdavky súvisiace s derivátmi, s výnimkou, ak sú určené na predaj alebo na obchodovanie, alebo ak sa považujú za peňažné toky z investičnej činnosti</w:t>
      </w:r>
      <w:r>
        <w:rPr>
          <w:spacing w:val="-18"/>
        </w:rPr>
        <w:t xml:space="preserve"> </w:t>
      </w:r>
      <w:r>
        <w:rPr/>
        <w:t>(-)</w:t>
      </w:r>
    </w:p>
    <w:p>
      <w:pPr>
        <w:pStyle w:val="Telotextu"/>
        <w:tabs>
          <w:tab w:val="clear" w:pos="720"/>
          <w:tab w:val="left" w:pos="2265" w:leader="none"/>
          <w:tab w:val="left" w:pos="9781" w:leader="none"/>
        </w:tabs>
        <w:ind w:left="2265" w:right="851" w:hanging="1419"/>
        <w:jc w:val="both"/>
        <w:rPr>
          <w:sz w:val="20"/>
        </w:rPr>
      </w:pPr>
      <w:r>
        <w:rPr/>
        <w:t>C.</w:t>
      </w:r>
      <w:r>
        <w:rPr>
          <w:spacing w:val="-1"/>
        </w:rPr>
        <w:t xml:space="preserve"> </w:t>
      </w:r>
      <w:r>
        <w:rPr/>
        <w:t>6.</w:t>
        <w:tab/>
        <w:t>Príjmy súvisiace s derivátmi, s výnimkou, ak sú určené na predaj alebo na obchodovanie, alebo ak sa považujú za peňažné toky z investičnej činnosti</w:t>
      </w:r>
      <w:r>
        <w:rPr>
          <w:spacing w:val="-23"/>
        </w:rPr>
        <w:t xml:space="preserve"> </w:t>
      </w:r>
      <w:r>
        <w:rPr/>
        <w:t>(+)</w:t>
      </w:r>
    </w:p>
    <w:p>
      <w:pPr>
        <w:pStyle w:val="Telotextu"/>
        <w:tabs>
          <w:tab w:val="clear" w:pos="720"/>
          <w:tab w:val="left" w:pos="2265" w:leader="none"/>
          <w:tab w:val="left" w:pos="9781" w:leader="none"/>
        </w:tabs>
        <w:ind w:left="2265" w:right="851" w:hanging="1419"/>
        <w:jc w:val="both"/>
        <w:rPr>
          <w:sz w:val="20"/>
        </w:rPr>
      </w:pPr>
      <w:r>
        <w:rPr/>
        <w:t>C.</w:t>
      </w:r>
      <w:r>
        <w:rPr>
          <w:spacing w:val="-1"/>
        </w:rPr>
        <w:t xml:space="preserve"> </w:t>
      </w:r>
      <w:r>
        <w:rPr/>
        <w:t>7.</w:t>
        <w:tab/>
        <w:t>Výdavky na daň z príjmov účtovnej jednotky, ak ich možno začleniť do finančných činností</w:t>
      </w:r>
      <w:r>
        <w:rPr>
          <w:spacing w:val="-1"/>
        </w:rPr>
        <w:t xml:space="preserve"> </w:t>
      </w:r>
      <w:r>
        <w:rPr/>
        <w:t>(-)</w:t>
      </w:r>
    </w:p>
    <w:p>
      <w:pPr>
        <w:pStyle w:val="Normal"/>
        <w:tabs>
          <w:tab w:val="clear" w:pos="720"/>
          <w:tab w:val="left" w:pos="2265" w:leader="none"/>
          <w:tab w:val="left" w:pos="9781" w:leader="none"/>
        </w:tabs>
        <w:spacing w:lineRule="exact" w:line="251"/>
        <w:ind w:left="858" w:hanging="0"/>
        <w:jc w:val="both"/>
        <w:rPr>
          <w:sz w:val="20"/>
        </w:rPr>
      </w:pPr>
      <w:r>
        <w:rPr/>
        <w:t>C.</w:t>
      </w:r>
      <w:r>
        <w:rPr>
          <w:spacing w:val="-1"/>
        </w:rPr>
        <w:t xml:space="preserve"> </w:t>
      </w:r>
      <w:r>
        <w:rPr/>
        <w:t>8.</w:t>
        <w:tab/>
        <w:t xml:space="preserve">Príjmy </w:t>
      </w:r>
      <w:r>
        <w:rPr>
          <w:b/>
        </w:rPr>
        <w:t xml:space="preserve">výnimočného rozsahu alebo výskytu </w:t>
      </w:r>
      <w:r>
        <w:rPr/>
        <w:t>vzťahujúce sa na finančnú činnosť</w:t>
      </w:r>
      <w:r>
        <w:rPr>
          <w:spacing w:val="-13"/>
        </w:rPr>
        <w:t xml:space="preserve"> </w:t>
      </w:r>
      <w:r>
        <w:rPr/>
        <w:t>(+)</w:t>
      </w:r>
    </w:p>
    <w:p>
      <w:pPr>
        <w:pStyle w:val="Normal"/>
        <w:tabs>
          <w:tab w:val="clear" w:pos="720"/>
          <w:tab w:val="left" w:pos="2265" w:leader="none"/>
          <w:tab w:val="left" w:pos="9781" w:leader="none"/>
        </w:tabs>
        <w:spacing w:lineRule="exact" w:line="252"/>
        <w:ind w:left="858" w:hanging="0"/>
        <w:jc w:val="both"/>
        <w:rPr>
          <w:sz w:val="20"/>
        </w:rPr>
      </w:pPr>
      <w:r>
        <w:rPr/>
        <w:t>C.</w:t>
      </w:r>
      <w:r>
        <w:rPr>
          <w:spacing w:val="-1"/>
        </w:rPr>
        <w:t xml:space="preserve"> </w:t>
      </w:r>
      <w:r>
        <w:rPr/>
        <w:t>9.</w:t>
        <w:tab/>
        <w:t xml:space="preserve">Výdavky </w:t>
      </w:r>
      <w:r>
        <w:rPr>
          <w:b/>
        </w:rPr>
        <w:t xml:space="preserve">výnimočného rozsahu alebo výskytu </w:t>
      </w:r>
      <w:r>
        <w:rPr/>
        <w:t>vzťahujúce sa na finančnú činnosť</w:t>
      </w:r>
      <w:r>
        <w:rPr>
          <w:spacing w:val="-16"/>
        </w:rPr>
        <w:t xml:space="preserve"> </w:t>
      </w:r>
      <w:r>
        <w:rPr/>
        <w:t>(-)</w:t>
      </w:r>
    </w:p>
    <w:p>
      <w:pPr>
        <w:pStyle w:val="ListParagraph"/>
        <w:numPr>
          <w:ilvl w:val="0"/>
          <w:numId w:val="3"/>
        </w:numPr>
        <w:tabs>
          <w:tab w:val="clear" w:pos="720"/>
          <w:tab w:val="left" w:pos="2265" w:leader="none"/>
          <w:tab w:val="left" w:pos="2266" w:leader="none"/>
          <w:tab w:val="left" w:pos="9781" w:leader="none"/>
        </w:tabs>
        <w:spacing w:lineRule="exact" w:line="252"/>
        <w:ind w:left="2265" w:hanging="1422"/>
        <w:jc w:val="both"/>
        <w:rPr>
          <w:b/>
          <w:b/>
          <w:i/>
          <w:i/>
        </w:rPr>
      </w:pPr>
      <w:r>
        <w:rPr>
          <w:b/>
          <w:i/>
        </w:rPr>
        <w:t>Čisté peňažné toky z finančnej činnosti (súčet C. 1. až C.</w:t>
      </w:r>
      <w:r>
        <w:rPr>
          <w:b/>
          <w:i/>
          <w:spacing w:val="-9"/>
        </w:rPr>
        <w:t xml:space="preserve"> </w:t>
      </w:r>
      <w:r>
        <w:rPr>
          <w:b/>
          <w:i/>
        </w:rPr>
        <w:t>9.)</w:t>
      </w:r>
    </w:p>
    <w:p>
      <w:pPr>
        <w:pStyle w:val="Nadpis1"/>
        <w:numPr>
          <w:ilvl w:val="0"/>
          <w:numId w:val="3"/>
        </w:numPr>
        <w:tabs>
          <w:tab w:val="clear" w:pos="720"/>
          <w:tab w:val="left" w:pos="2265" w:leader="none"/>
          <w:tab w:val="left" w:pos="2266" w:leader="none"/>
          <w:tab w:val="left" w:pos="9781" w:leader="none"/>
        </w:tabs>
        <w:ind w:left="2265" w:right="579" w:hanging="1419"/>
        <w:jc w:val="both"/>
        <w:rPr>
          <w:i/>
          <w:i/>
        </w:rPr>
      </w:pPr>
      <w:r>
        <w:rPr/>
        <w:t xml:space="preserve">Čisté zvýšenie alebo čisté zníženie peňažných prostriedkov (+/-) (súčet A </w:t>
      </w:r>
      <w:r>
        <w:rPr>
          <w:i/>
        </w:rPr>
        <w:t>+ B + C)</w:t>
      </w:r>
    </w:p>
    <w:p>
      <w:pPr>
        <w:pStyle w:val="ListParagraph"/>
        <w:numPr>
          <w:ilvl w:val="0"/>
          <w:numId w:val="3"/>
        </w:numPr>
        <w:tabs>
          <w:tab w:val="clear" w:pos="720"/>
          <w:tab w:val="left" w:pos="2265" w:leader="none"/>
          <w:tab w:val="left" w:pos="2266" w:leader="none"/>
          <w:tab w:val="left" w:pos="9781" w:leader="none"/>
        </w:tabs>
        <w:spacing w:before="1" w:after="0"/>
        <w:ind w:left="2265" w:right="576" w:hanging="1419"/>
        <w:jc w:val="both"/>
        <w:rPr>
          <w:i/>
          <w:i/>
        </w:rPr>
      </w:pPr>
      <w:r>
        <w:rPr>
          <w:b/>
        </w:rPr>
        <w:t>Stav peňažných prostriedkov a peňažných ekvivalentov na začiatku účtovného obdobia (+/-)</w:t>
      </w:r>
      <w:r>
        <w:rPr>
          <w:i/>
          <w:position w:val="6"/>
          <w:sz w:val="14"/>
        </w:rPr>
        <w:t>2</w:t>
      </w:r>
    </w:p>
    <w:p>
      <w:pPr>
        <w:pStyle w:val="Nadpis1"/>
        <w:numPr>
          <w:ilvl w:val="0"/>
          <w:numId w:val="3"/>
        </w:numPr>
        <w:tabs>
          <w:tab w:val="clear" w:pos="720"/>
          <w:tab w:val="left" w:pos="2265" w:leader="none"/>
          <w:tab w:val="left" w:pos="2266" w:leader="none"/>
          <w:tab w:val="left" w:pos="9781" w:leader="none"/>
        </w:tabs>
        <w:ind w:left="2265" w:right="571" w:hanging="1407"/>
        <w:jc w:val="both"/>
        <w:rPr>
          <w:b w:val="false"/>
          <w:b w:val="false"/>
          <w:i/>
          <w:i/>
        </w:rPr>
      </w:pPr>
      <w:r>
        <w:rPr/>
        <w:t>Stav peňažných prostriedkov a peňažných ekvivalentov na konci účtovného obdobia pred zohľadnením kurzových rozdielov vyčíslených ku dňu, ku ktorému sa zostavuje účtovná závierka</w:t>
      </w:r>
      <w:r>
        <w:rPr>
          <w:spacing w:val="-1"/>
        </w:rPr>
        <w:t xml:space="preserve"> </w:t>
      </w:r>
      <w:r>
        <w:rPr/>
        <w:t>(+/-)</w:t>
      </w:r>
      <w:r>
        <w:rPr>
          <w:b w:val="false"/>
          <w:i/>
          <w:position w:val="6"/>
          <w:sz w:val="14"/>
        </w:rPr>
        <w:t>2</w:t>
      </w:r>
    </w:p>
    <w:p>
      <w:pPr>
        <w:pStyle w:val="ListParagraph"/>
        <w:numPr>
          <w:ilvl w:val="0"/>
          <w:numId w:val="3"/>
        </w:numPr>
        <w:tabs>
          <w:tab w:val="clear" w:pos="720"/>
          <w:tab w:val="left" w:pos="2265" w:leader="none"/>
          <w:tab w:val="left" w:pos="2266" w:leader="none"/>
          <w:tab w:val="left" w:pos="9781" w:leader="none"/>
        </w:tabs>
        <w:spacing w:before="1" w:after="0"/>
        <w:ind w:left="2265" w:right="573" w:hanging="1419"/>
        <w:jc w:val="both"/>
        <w:rPr>
          <w:i/>
          <w:i/>
        </w:rPr>
      </w:pPr>
      <w:r>
        <w:rPr>
          <w:b/>
        </w:rPr>
        <w:t>Kurzové rozdiely vyčíslené k peňažným prostriedkom a peňažným ekvivalentom ku dňu, ku ktorému sa zostavuje účtovná závierka</w:t>
      </w:r>
      <w:r>
        <w:rPr>
          <w:b/>
          <w:spacing w:val="-8"/>
        </w:rPr>
        <w:t xml:space="preserve"> </w:t>
      </w:r>
      <w:r>
        <w:rPr>
          <w:b/>
        </w:rPr>
        <w:t>(+/-)</w:t>
      </w:r>
      <w:r>
        <w:rPr>
          <w:i/>
          <w:position w:val="6"/>
          <w:sz w:val="14"/>
        </w:rPr>
        <w:t>2</w:t>
      </w:r>
    </w:p>
    <w:p>
      <w:pPr>
        <w:pStyle w:val="Nadpis1"/>
        <w:numPr>
          <w:ilvl w:val="0"/>
          <w:numId w:val="3"/>
        </w:numPr>
        <w:tabs>
          <w:tab w:val="clear" w:pos="720"/>
          <w:tab w:val="left" w:pos="2265" w:leader="none"/>
          <w:tab w:val="left" w:pos="2266" w:leader="none"/>
          <w:tab w:val="left" w:pos="9781" w:leader="none"/>
        </w:tabs>
        <w:ind w:left="2265" w:right="571" w:hanging="1407"/>
        <w:jc w:val="both"/>
        <w:rPr>
          <w:b w:val="false"/>
          <w:b w:val="false"/>
          <w:i/>
          <w:i/>
        </w:rPr>
      </w:pPr>
      <w:r>
        <w:rPr/>
        <w:t>Zostatok peňažných prostriedkov a peňažných ekvivalentov na konci účtovného obdobia upravený o kurzové rozdiely vyčíslené ku dňu, ku ktorému sa zostavuje účtovná závierka</w:t>
      </w:r>
      <w:r>
        <w:rPr>
          <w:spacing w:val="-1"/>
        </w:rPr>
        <w:t xml:space="preserve"> </w:t>
      </w:r>
      <w:r>
        <w:rPr/>
        <w:t>(+/-).</w:t>
      </w:r>
      <w:r>
        <w:rPr>
          <w:b w:val="false"/>
          <w:i/>
          <w:position w:val="6"/>
          <w:sz w:val="14"/>
        </w:rPr>
        <w:t>2</w:t>
      </w:r>
    </w:p>
    <w:p>
      <w:pPr>
        <w:pStyle w:val="Telotextu"/>
        <w:tabs>
          <w:tab w:val="clear" w:pos="720"/>
          <w:tab w:val="left" w:pos="9781" w:leader="none"/>
        </w:tabs>
        <w:spacing w:before="11" w:after="0"/>
        <w:jc w:val="both"/>
        <w:rPr>
          <w:i/>
          <w:i/>
          <w:sz w:val="21"/>
        </w:rPr>
      </w:pPr>
      <w:r>
        <w:rPr>
          <w:i/>
          <w:sz w:val="21"/>
        </w:rPr>
      </w:r>
    </w:p>
    <w:p>
      <w:pPr>
        <w:pStyle w:val="Nadpis1"/>
        <w:numPr>
          <w:ilvl w:val="0"/>
          <w:numId w:val="7"/>
        </w:numPr>
        <w:tabs>
          <w:tab w:val="clear" w:pos="720"/>
          <w:tab w:val="left" w:pos="284" w:leader="none"/>
          <w:tab w:val="left" w:pos="9781" w:leader="none"/>
        </w:tabs>
        <w:ind w:left="284" w:right="576" w:hanging="300"/>
        <w:jc w:val="both"/>
        <w:rPr>
          <w:sz w:val="24"/>
        </w:rPr>
      </w:pPr>
      <w:r>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pPr>
        <w:pStyle w:val="Telotextu"/>
        <w:tabs>
          <w:tab w:val="clear" w:pos="720"/>
          <w:tab w:val="left" w:pos="9781" w:leader="none"/>
        </w:tabs>
        <w:spacing w:before="1" w:after="0"/>
        <w:jc w:val="both"/>
        <w:rPr>
          <w:b/>
          <w:b/>
        </w:rPr>
      </w:pPr>
      <w:r>
        <w:rPr>
          <w:b/>
        </w:rPr>
      </w:r>
    </w:p>
    <w:p>
      <w:pPr>
        <w:pStyle w:val="ListParagraph"/>
        <w:numPr>
          <w:ilvl w:val="1"/>
          <w:numId w:val="7"/>
        </w:numPr>
        <w:tabs>
          <w:tab w:val="clear" w:pos="720"/>
          <w:tab w:val="left" w:pos="426" w:leader="none"/>
          <w:tab w:val="left" w:pos="9781" w:leader="none"/>
        </w:tabs>
        <w:ind w:left="426" w:right="570" w:hanging="284"/>
        <w:jc w:val="both"/>
        <w:rPr>
          <w:sz w:val="20"/>
        </w:rPr>
      </w:pPr>
      <w:r>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rPr/>
        <w:t>právach,</w:t>
      </w:r>
    </w:p>
    <w:p>
      <w:pPr>
        <w:pStyle w:val="ListParagraph"/>
        <w:numPr>
          <w:ilvl w:val="1"/>
          <w:numId w:val="7"/>
        </w:numPr>
        <w:tabs>
          <w:tab w:val="clear" w:pos="720"/>
          <w:tab w:val="left" w:pos="426" w:leader="none"/>
          <w:tab w:val="left" w:pos="9781" w:leader="none"/>
        </w:tabs>
        <w:ind w:left="426" w:right="572" w:hanging="284"/>
        <w:jc w:val="both"/>
        <w:rPr>
          <w:sz w:val="20"/>
        </w:rPr>
      </w:pPr>
      <w:r>
        <w:rP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rPr/>
        <w:t>dlhopisy,</w:t>
      </w:r>
    </w:p>
    <w:p>
      <w:pPr>
        <w:pStyle w:val="ListParagraph"/>
        <w:numPr>
          <w:ilvl w:val="1"/>
          <w:numId w:val="7"/>
        </w:numPr>
        <w:tabs>
          <w:tab w:val="clear" w:pos="720"/>
          <w:tab w:val="left" w:pos="426" w:leader="none"/>
          <w:tab w:val="left" w:pos="9781" w:leader="none"/>
        </w:tabs>
        <w:spacing w:lineRule="exact" w:line="251"/>
        <w:ind w:left="426" w:hanging="284"/>
        <w:jc w:val="both"/>
        <w:rPr>
          <w:sz w:val="20"/>
        </w:rPr>
      </w:pPr>
      <w:r>
        <w:rPr/>
        <w:t>výške dotácií a návratných finančných</w:t>
      </w:r>
      <w:r>
        <w:rPr>
          <w:spacing w:val="-3"/>
        </w:rPr>
        <w:t xml:space="preserve"> </w:t>
      </w:r>
      <w:r>
        <w:rPr/>
        <w:t>výpomocí,</w:t>
      </w:r>
    </w:p>
    <w:p>
      <w:pPr>
        <w:pStyle w:val="ListParagraph"/>
        <w:numPr>
          <w:ilvl w:val="1"/>
          <w:numId w:val="7"/>
        </w:numPr>
        <w:tabs>
          <w:tab w:val="clear" w:pos="720"/>
          <w:tab w:val="left" w:pos="426" w:leader="none"/>
          <w:tab w:val="left" w:pos="9781" w:leader="none"/>
        </w:tabs>
        <w:ind w:left="426" w:right="570" w:hanging="284"/>
        <w:jc w:val="both"/>
        <w:rPr>
          <w:sz w:val="20"/>
        </w:rPr>
      </w:pPr>
      <w:r>
        <w:rPr/>
        <w:t>prijatých úveroch, poskytnutých prečerpaní úverov, prijatých kapitálových príspevkov s uvedením úrokových sadzieb a o podmienkach poskytnutia úveru a zárukách poskytnutých účtovnou</w:t>
      </w:r>
      <w:r>
        <w:rPr>
          <w:spacing w:val="2"/>
        </w:rPr>
        <w:t xml:space="preserve"> </w:t>
      </w:r>
      <w:r>
        <w:rPr/>
        <w:t>jednotkou,</w:t>
      </w:r>
    </w:p>
    <w:p>
      <w:pPr>
        <w:pStyle w:val="ListParagraph"/>
        <w:numPr>
          <w:ilvl w:val="1"/>
          <w:numId w:val="7"/>
        </w:numPr>
        <w:tabs>
          <w:tab w:val="clear" w:pos="720"/>
          <w:tab w:val="left" w:pos="426" w:leader="none"/>
          <w:tab w:val="left" w:pos="9781" w:leader="none"/>
        </w:tabs>
        <w:spacing w:before="2" w:after="0"/>
        <w:ind w:left="426" w:right="571" w:hanging="284"/>
        <w:jc w:val="both"/>
        <w:rPr>
          <w:sz w:val="20"/>
        </w:rPr>
      </w:pPr>
      <w:r>
        <w:rP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rPr/>
        <w:t>získanie,</w:t>
      </w:r>
    </w:p>
    <w:p>
      <w:pPr>
        <w:pStyle w:val="ListParagraph"/>
        <w:numPr>
          <w:ilvl w:val="1"/>
          <w:numId w:val="7"/>
        </w:numPr>
        <w:tabs>
          <w:tab w:val="clear" w:pos="720"/>
          <w:tab w:val="left" w:pos="426" w:leader="none"/>
          <w:tab w:val="left" w:pos="9781" w:leader="none"/>
        </w:tabs>
        <w:spacing w:lineRule="exact" w:line="251"/>
        <w:ind w:left="426" w:hanging="284"/>
        <w:jc w:val="both"/>
        <w:rPr>
          <w:sz w:val="20"/>
        </w:rPr>
      </w:pPr>
      <w:r>
        <w:rPr/>
        <w:t>vyplatených dividendách a výške nerozdeleného</w:t>
      </w:r>
      <w:r>
        <w:rPr>
          <w:spacing w:val="-4"/>
        </w:rPr>
        <w:t xml:space="preserve"> </w:t>
      </w:r>
      <w:r>
        <w:rPr/>
        <w:t>zisku,</w:t>
      </w:r>
    </w:p>
    <w:p>
      <w:pPr>
        <w:pStyle w:val="ListParagraph"/>
        <w:numPr>
          <w:ilvl w:val="1"/>
          <w:numId w:val="7"/>
        </w:numPr>
        <w:tabs>
          <w:tab w:val="clear" w:pos="720"/>
          <w:tab w:val="left" w:pos="426" w:leader="none"/>
          <w:tab w:val="left" w:pos="9781" w:leader="none"/>
        </w:tabs>
        <w:spacing w:before="2" w:after="0"/>
        <w:ind w:left="426" w:right="578" w:hanging="284"/>
        <w:jc w:val="both"/>
        <w:rPr>
          <w:sz w:val="20"/>
        </w:rPr>
      </w:pPr>
      <w:r>
        <w:rPr/>
        <w:t>iných formách prijatej štátnej pomoci, najmä odpustenie súm, ktoré účtovná jednotka dlhuje štátu alebo inému subjektu verejnej</w:t>
      </w:r>
      <w:r>
        <w:rPr>
          <w:spacing w:val="-8"/>
        </w:rPr>
        <w:t xml:space="preserve"> </w:t>
      </w:r>
      <w:r>
        <w:rPr/>
        <w:t>správy,</w:t>
      </w:r>
    </w:p>
    <w:p>
      <w:pPr>
        <w:pStyle w:val="ListParagraph"/>
        <w:numPr>
          <w:ilvl w:val="1"/>
          <w:numId w:val="7"/>
        </w:numPr>
        <w:tabs>
          <w:tab w:val="clear" w:pos="720"/>
          <w:tab w:val="left" w:pos="426" w:leader="none"/>
          <w:tab w:val="left" w:pos="9781" w:leader="none"/>
        </w:tabs>
        <w:spacing w:lineRule="exact" w:line="252"/>
        <w:ind w:left="426" w:hanging="284"/>
        <w:jc w:val="both"/>
        <w:rPr>
          <w:sz w:val="20"/>
        </w:rPr>
      </w:pPr>
      <w:r>
        <w:rPr/>
        <w:t>skutočnostiach podľa časti</w:t>
      </w:r>
      <w:r>
        <w:rPr>
          <w:spacing w:val="1"/>
        </w:rPr>
        <w:t xml:space="preserve"> </w:t>
      </w:r>
      <w:r>
        <w:rPr/>
        <w:t>V.</w:t>
      </w:r>
    </w:p>
    <w:p>
      <w:pPr>
        <w:pStyle w:val="Telotextu"/>
        <w:tabs>
          <w:tab w:val="clear" w:pos="720"/>
          <w:tab w:val="left" w:pos="9781" w:leader="none"/>
        </w:tabs>
        <w:spacing w:before="11" w:after="0"/>
        <w:jc w:val="both"/>
        <w:rPr>
          <w:sz w:val="21"/>
        </w:rPr>
      </w:pPr>
      <w:r>
        <w:rPr>
          <w:sz w:val="21"/>
        </w:rPr>
      </w:r>
    </w:p>
    <w:p>
      <w:pPr>
        <w:pStyle w:val="Nadpis1"/>
        <w:numPr>
          <w:ilvl w:val="0"/>
          <w:numId w:val="7"/>
        </w:numPr>
        <w:tabs>
          <w:tab w:val="clear" w:pos="720"/>
          <w:tab w:val="left" w:pos="284" w:leader="none"/>
          <w:tab w:val="left" w:pos="9781" w:leader="none"/>
        </w:tabs>
        <w:ind w:left="284" w:right="571" w:hanging="300"/>
        <w:jc w:val="both"/>
        <w:rPr>
          <w:sz w:val="24"/>
        </w:rPr>
      </w:pPr>
      <w:r>
        <w:rPr>
          <w:sz w:val="24"/>
        </w:rPr>
        <w:t>V poznámkach účtovných jednotiek podľa § 23d ods. 6 zákona sa uvedú aj informácie o finančných vzťahoch medzi orgánom verejnej moci a účtovnou jednotkou a to</w:t>
      </w:r>
      <w:r>
        <w:rPr>
          <w:spacing w:val="-5"/>
          <w:sz w:val="24"/>
        </w:rPr>
        <w:t xml:space="preserve"> </w:t>
      </w:r>
      <w:r>
        <w:rPr>
          <w:sz w:val="24"/>
        </w:rPr>
        <w:t>o</w:t>
      </w:r>
    </w:p>
    <w:p>
      <w:pPr>
        <w:pStyle w:val="ListParagraph"/>
        <w:numPr>
          <w:ilvl w:val="1"/>
          <w:numId w:val="7"/>
        </w:numPr>
        <w:tabs>
          <w:tab w:val="clear" w:pos="720"/>
          <w:tab w:val="left" w:pos="426" w:leader="none"/>
          <w:tab w:val="left" w:pos="9781" w:leader="none"/>
        </w:tabs>
        <w:ind w:left="426" w:hanging="284"/>
        <w:jc w:val="both"/>
        <w:rPr>
          <w:sz w:val="20"/>
        </w:rPr>
      </w:pPr>
      <w:r>
        <w:rPr/>
        <w:t>náhradách strát z hospodárskej činnosti účtovnej</w:t>
      </w:r>
      <w:r>
        <w:rPr>
          <w:spacing w:val="-2"/>
        </w:rPr>
        <w:t xml:space="preserve"> </w:t>
      </w:r>
      <w:r>
        <w:rPr/>
        <w:t>jednotky,</w:t>
      </w:r>
    </w:p>
    <w:p>
      <w:pPr>
        <w:pStyle w:val="ListParagraph"/>
        <w:numPr>
          <w:ilvl w:val="1"/>
          <w:numId w:val="7"/>
        </w:numPr>
        <w:tabs>
          <w:tab w:val="clear" w:pos="720"/>
          <w:tab w:val="left" w:pos="426" w:leader="none"/>
          <w:tab w:val="left" w:pos="9781" w:leader="none"/>
        </w:tabs>
        <w:spacing w:lineRule="exact" w:line="252"/>
        <w:ind w:left="426" w:hanging="284"/>
        <w:jc w:val="both"/>
        <w:rPr>
          <w:sz w:val="20"/>
        </w:rPr>
      </w:pPr>
      <w:r>
        <w:rPr/>
        <w:t>peňažných vkladoch a nepeňažných</w:t>
      </w:r>
      <w:r>
        <w:rPr>
          <w:spacing w:val="-2"/>
        </w:rPr>
        <w:t xml:space="preserve"> </w:t>
      </w:r>
      <w:r>
        <w:rPr/>
        <w:t>vkladoch,</w:t>
      </w:r>
    </w:p>
    <w:p>
      <w:pPr>
        <w:pStyle w:val="ListParagraph"/>
        <w:numPr>
          <w:ilvl w:val="1"/>
          <w:numId w:val="7"/>
        </w:numPr>
        <w:tabs>
          <w:tab w:val="clear" w:pos="720"/>
          <w:tab w:val="left" w:pos="426" w:leader="none"/>
          <w:tab w:val="left" w:pos="9781" w:leader="none"/>
        </w:tabs>
        <w:spacing w:lineRule="exact" w:line="252"/>
        <w:ind w:left="426" w:hanging="284"/>
        <w:jc w:val="both"/>
        <w:rPr>
          <w:sz w:val="20"/>
        </w:rPr>
      </w:pPr>
      <w:r>
        <w:rPr/>
        <w:t>nenávratných finančných príspevkoch alebo pôžičkách za zvýhodnených</w:t>
      </w:r>
      <w:r>
        <w:rPr>
          <w:spacing w:val="-10"/>
        </w:rPr>
        <w:t xml:space="preserve"> </w:t>
      </w:r>
      <w:r>
        <w:rPr/>
        <w:t>podmienok,</w:t>
      </w:r>
    </w:p>
    <w:p>
      <w:pPr>
        <w:pStyle w:val="ListParagraph"/>
        <w:numPr>
          <w:ilvl w:val="1"/>
          <w:numId w:val="7"/>
        </w:numPr>
        <w:tabs>
          <w:tab w:val="clear" w:pos="720"/>
          <w:tab w:val="left" w:pos="426" w:leader="none"/>
          <w:tab w:val="left" w:pos="9781" w:leader="none"/>
        </w:tabs>
        <w:spacing w:lineRule="exact" w:line="252"/>
        <w:ind w:left="426" w:hanging="284"/>
        <w:jc w:val="both"/>
        <w:rPr>
          <w:sz w:val="20"/>
        </w:rPr>
      </w:pPr>
      <w:r>
        <w:rPr/>
        <w:t>finančných výhodách, ktorými sú napríklad nevymáhanie pohľadávky voči účtovnej</w:t>
      </w:r>
      <w:r>
        <w:rPr>
          <w:spacing w:val="-21"/>
        </w:rPr>
        <w:t xml:space="preserve"> </w:t>
      </w:r>
      <w:r>
        <w:rPr/>
        <w:t>jednotke,</w:t>
      </w:r>
    </w:p>
    <w:p>
      <w:pPr>
        <w:pStyle w:val="Telotextu"/>
        <w:tabs>
          <w:tab w:val="clear" w:pos="720"/>
          <w:tab w:val="left" w:pos="426" w:leader="none"/>
          <w:tab w:val="left" w:pos="9781" w:leader="none"/>
        </w:tabs>
        <w:spacing w:before="7" w:after="0"/>
        <w:ind w:left="426" w:hanging="284"/>
        <w:jc w:val="both"/>
        <w:rPr>
          <w:sz w:val="20"/>
        </w:rPr>
      </w:pPr>
      <w:r>
        <w:rPr>
          <w:sz w:val="20"/>
        </w:rPr>
        <mc:AlternateContent>
          <mc:Choice Requires="wps">
            <w:drawing>
              <wp:anchor behindDoc="1" distT="0" distB="0" distL="0" distR="0" simplePos="0" locked="0" layoutInCell="0" allowOverlap="1" relativeHeight="53">
                <wp:simplePos x="0" y="0"/>
                <wp:positionH relativeFrom="page">
                  <wp:posOffset>901065</wp:posOffset>
                </wp:positionH>
                <wp:positionV relativeFrom="paragraph">
                  <wp:posOffset>189865</wp:posOffset>
                </wp:positionV>
                <wp:extent cx="1830705" cy="9525"/>
                <wp:effectExtent l="0" t="0" r="0" b="0"/>
                <wp:wrapTopAndBottom/>
                <wp:docPr id="11" name="Obrázok4"/>
                <a:graphic xmlns:a="http://schemas.openxmlformats.org/drawingml/2006/main">
                  <a:graphicData uri="http://schemas.microsoft.com/office/word/2010/wordprocessingShape">
                    <wps:wsp>
                      <wps:cNvSpPr/>
                      <wps:spPr>
                        <a:xfrm>
                          <a:off x="0" y="0"/>
                          <a:ext cx="1830240" cy="9000"/>
                        </a:xfrm>
                        <a:prstGeom prst="rect">
                          <a:avLst/>
                        </a:prstGeom>
                        <a:solidFill>
                          <a:srgbClr val="000000"/>
                        </a:solidFill>
                        <a:ln w="0">
                          <a:noFill/>
                        </a:ln>
                      </wps:spPr>
                      <wps:style>
                        <a:lnRef idx="0"/>
                        <a:fillRef idx="0"/>
                        <a:effectRef idx="0"/>
                        <a:fontRef idx="minor"/>
                      </wps:style>
                      <wps:bodyPr/>
                    </wps:wsp>
                  </a:graphicData>
                </a:graphic>
              </wp:anchor>
            </w:drawing>
          </mc:Choice>
          <mc:Fallback>
            <w:pict>
              <v:rect id="shape_0" ID="Obrázok4" path="m0,0l-2147483645,0l-2147483645,-2147483646l0,-2147483646xe" fillcolor="black" stroked="f" style="position:absolute;margin-left:70.95pt;margin-top:14.95pt;width:144.05pt;height:0.65pt;mso-wrap-style:none;v-text-anchor:middle;mso-position-horizontal-relative:page">
                <v:fill o:detectmouseclick="t" type="solid" color2="white"/>
                <v:stroke color="#3465a4" joinstyle="round" endcap="flat"/>
                <w10:wrap type="topAndBottom"/>
              </v:rect>
            </w:pict>
          </mc:Fallback>
        </mc:AlternateContent>
      </w:r>
    </w:p>
    <w:p>
      <w:pPr>
        <w:sectPr>
          <w:footerReference w:type="default" r:id="rId3"/>
          <w:type w:val="nextPage"/>
          <w:pgSz w:w="11906" w:h="16850"/>
          <w:pgMar w:left="1280" w:right="840" w:header="0" w:top="1340" w:footer="897" w:bottom="1080" w:gutter="0"/>
          <w:pgNumType w:fmt="decimal"/>
          <w:formProt w:val="false"/>
          <w:textDirection w:val="lrTb"/>
          <w:docGrid w:type="default" w:linePitch="100" w:charSpace="4096"/>
        </w:sectPr>
        <w:pStyle w:val="Normal"/>
        <w:tabs>
          <w:tab w:val="clear" w:pos="720"/>
          <w:tab w:val="left" w:pos="426" w:leader="none"/>
          <w:tab w:val="left" w:pos="9781" w:leader="none"/>
        </w:tabs>
        <w:spacing w:before="76" w:after="0"/>
        <w:ind w:left="426" w:right="851" w:hanging="284"/>
        <w:jc w:val="both"/>
        <w:rPr>
          <w:sz w:val="20"/>
        </w:rPr>
      </w:pPr>
      <w:r>
        <w:rPr>
          <w:position w:val="5"/>
          <w:sz w:val="13"/>
        </w:rPr>
        <w:t xml:space="preserve">1e) </w:t>
      </w:r>
      <w:r>
        <w:rPr>
          <w:sz w:val="20"/>
        </w:rPr>
        <w:t>Sekcia C prílohy vyhlášky Štatistického úradu Slovenskej republiky č. 306/2007 Z. z., ktorou sa vydáva Štatistická klasifikácia ekonomických činností.</w:t>
      </w:r>
    </w:p>
    <w:p>
      <w:pPr>
        <w:pStyle w:val="ListParagraph"/>
        <w:numPr>
          <w:ilvl w:val="1"/>
          <w:numId w:val="7"/>
        </w:numPr>
        <w:tabs>
          <w:tab w:val="clear" w:pos="720"/>
          <w:tab w:val="left" w:pos="426" w:leader="none"/>
          <w:tab w:val="left" w:pos="9781" w:leader="none"/>
        </w:tabs>
        <w:spacing w:lineRule="exact" w:line="252" w:before="76" w:after="0"/>
        <w:ind w:left="426" w:hanging="284"/>
        <w:jc w:val="both"/>
        <w:rPr>
          <w:sz w:val="20"/>
        </w:rPr>
      </w:pPr>
      <w:r>
        <w:rPr/>
        <w:t>vzdaní sa dividend alebo podielov na</w:t>
      </w:r>
      <w:r>
        <w:rPr>
          <w:spacing w:val="-7"/>
        </w:rPr>
        <w:t xml:space="preserve"> </w:t>
      </w:r>
      <w:r>
        <w:rPr/>
        <w:t>zisku,</w:t>
      </w:r>
    </w:p>
    <w:p>
      <w:pPr>
        <w:pStyle w:val="ListParagraph"/>
        <w:numPr>
          <w:ilvl w:val="1"/>
          <w:numId w:val="7"/>
        </w:numPr>
        <w:tabs>
          <w:tab w:val="clear" w:pos="720"/>
          <w:tab w:val="left" w:pos="426" w:leader="none"/>
          <w:tab w:val="left" w:pos="9781" w:leader="none"/>
        </w:tabs>
        <w:spacing w:lineRule="exact" w:line="252"/>
        <w:ind w:left="426" w:hanging="284"/>
        <w:jc w:val="both"/>
        <w:rPr>
          <w:sz w:val="20"/>
        </w:rPr>
      </w:pPr>
      <w:r>
        <w:rPr/>
        <w:t>poskytnutých náhradách za finančné povinnosti uložené orgánom verejnej</w:t>
      </w:r>
      <w:r>
        <w:rPr>
          <w:spacing w:val="-9"/>
        </w:rPr>
        <w:t xml:space="preserve"> </w:t>
      </w:r>
      <w:r>
        <w:rPr/>
        <w:t>moci.</w:t>
      </w:r>
    </w:p>
    <w:p>
      <w:pPr>
        <w:pStyle w:val="Telotextu"/>
        <w:tabs>
          <w:tab w:val="clear" w:pos="720"/>
          <w:tab w:val="left" w:pos="9781" w:leader="none"/>
        </w:tabs>
        <w:spacing w:before="10" w:after="0"/>
        <w:jc w:val="both"/>
        <w:rPr>
          <w:sz w:val="21"/>
        </w:rPr>
      </w:pPr>
      <w:r>
        <w:rPr>
          <w:sz w:val="21"/>
        </w:rPr>
      </w:r>
    </w:p>
    <w:p>
      <w:pPr>
        <w:pStyle w:val="Nadpis1"/>
        <w:numPr>
          <w:ilvl w:val="0"/>
          <w:numId w:val="7"/>
        </w:numPr>
        <w:tabs>
          <w:tab w:val="clear" w:pos="720"/>
          <w:tab w:val="left" w:pos="284" w:leader="none"/>
          <w:tab w:val="left" w:pos="9781" w:leader="none"/>
        </w:tabs>
        <w:ind w:left="284" w:right="572" w:hanging="300"/>
        <w:jc w:val="both"/>
        <w:rPr>
          <w:sz w:val="24"/>
          <w:highlight w:val="yellow"/>
        </w:rPr>
      </w:pPr>
      <w:r>
        <w:rPr>
          <w:sz w:val="24"/>
          <w:highlight w:val="yellow"/>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pPr>
        <w:pStyle w:val="Telotextu"/>
        <w:tabs>
          <w:tab w:val="clear" w:pos="720"/>
          <w:tab w:val="left" w:pos="9781" w:leader="none"/>
        </w:tabs>
        <w:jc w:val="both"/>
        <w:rPr>
          <w:b/>
          <w:b/>
          <w:highlight w:val="yellow"/>
        </w:rPr>
      </w:pPr>
      <w:r>
        <w:rPr>
          <w:b/>
          <w:highlight w:val="yellow"/>
        </w:rPr>
      </w:r>
    </w:p>
    <w:p>
      <w:pPr>
        <w:pStyle w:val="ListParagraph"/>
        <w:numPr>
          <w:ilvl w:val="1"/>
          <w:numId w:val="7"/>
        </w:numPr>
        <w:tabs>
          <w:tab w:val="clear" w:pos="720"/>
          <w:tab w:val="left" w:pos="426" w:leader="none"/>
          <w:tab w:val="left" w:pos="9781" w:leader="none"/>
        </w:tabs>
        <w:spacing w:lineRule="exact" w:line="252"/>
        <w:ind w:left="426" w:hanging="284"/>
        <w:jc w:val="both"/>
        <w:rPr>
          <w:highlight w:val="yellow"/>
        </w:rPr>
      </w:pPr>
      <w:r>
        <w:rPr>
          <w:highlight w:val="yellow"/>
        </w:rPr>
        <w:t>všetkých formách prijatej</w:t>
      </w:r>
      <w:r>
        <w:rPr>
          <w:spacing w:val="-4"/>
          <w:highlight w:val="yellow"/>
        </w:rPr>
        <w:t xml:space="preserve"> </w:t>
      </w:r>
      <w:r>
        <w:rPr>
          <w:highlight w:val="yellow"/>
        </w:rPr>
        <w:t>náhrady,</w:t>
      </w:r>
    </w:p>
    <w:p>
      <w:pPr>
        <w:pStyle w:val="ListParagraph"/>
        <w:numPr>
          <w:ilvl w:val="1"/>
          <w:numId w:val="7"/>
        </w:numPr>
        <w:tabs>
          <w:tab w:val="clear" w:pos="720"/>
          <w:tab w:val="left" w:pos="426" w:leader="none"/>
          <w:tab w:val="left" w:pos="9781" w:leader="none"/>
        </w:tabs>
        <w:spacing w:lineRule="exact" w:line="252"/>
        <w:ind w:left="426" w:hanging="284"/>
        <w:jc w:val="both"/>
        <w:rPr>
          <w:highlight w:val="yellow"/>
        </w:rPr>
      </w:pPr>
      <w:r>
        <w:rPr>
          <w:highlight w:val="yellow"/>
        </w:rPr>
        <w:t>účtovných zásadách použitých pri priraďovaní nákladov a</w:t>
      </w:r>
      <w:r>
        <w:rPr>
          <w:spacing w:val="-27"/>
          <w:highlight w:val="yellow"/>
        </w:rPr>
        <w:t xml:space="preserve"> </w:t>
      </w:r>
      <w:r>
        <w:rPr>
          <w:highlight w:val="yellow"/>
        </w:rPr>
        <w:t>výnosov,</w:t>
      </w:r>
    </w:p>
    <w:p>
      <w:pPr>
        <w:pStyle w:val="ListParagraph"/>
        <w:numPr>
          <w:ilvl w:val="1"/>
          <w:numId w:val="7"/>
        </w:numPr>
        <w:tabs>
          <w:tab w:val="clear" w:pos="720"/>
          <w:tab w:val="left" w:pos="426" w:leader="none"/>
          <w:tab w:val="left" w:pos="9781" w:leader="none"/>
        </w:tabs>
        <w:spacing w:lineRule="exact" w:line="252" w:before="2" w:after="0"/>
        <w:ind w:left="426" w:hanging="284"/>
        <w:jc w:val="both"/>
        <w:rPr>
          <w:highlight w:val="yellow"/>
        </w:rPr>
      </w:pPr>
      <w:r>
        <w:rPr>
          <w:highlight w:val="yellow"/>
        </w:rPr>
        <w:t>organizačnej</w:t>
      </w:r>
      <w:r>
        <w:rPr>
          <w:spacing w:val="-7"/>
          <w:highlight w:val="yellow"/>
        </w:rPr>
        <w:t xml:space="preserve"> </w:t>
      </w:r>
      <w:r>
        <w:rPr>
          <w:highlight w:val="yellow"/>
        </w:rPr>
        <w:t>štruktúre</w:t>
      </w:r>
      <w:r>
        <w:rPr>
          <w:spacing w:val="-9"/>
          <w:highlight w:val="yellow"/>
        </w:rPr>
        <w:t xml:space="preserve"> </w:t>
      </w:r>
      <w:r>
        <w:rPr>
          <w:highlight w:val="yellow"/>
        </w:rPr>
        <w:t>účtovnej</w:t>
      </w:r>
      <w:r>
        <w:rPr>
          <w:spacing w:val="-6"/>
          <w:highlight w:val="yellow"/>
        </w:rPr>
        <w:t xml:space="preserve"> </w:t>
      </w:r>
      <w:r>
        <w:rPr>
          <w:highlight w:val="yellow"/>
        </w:rPr>
        <w:t>jednotky</w:t>
      </w:r>
      <w:r>
        <w:rPr>
          <w:spacing w:val="-6"/>
          <w:highlight w:val="yellow"/>
        </w:rPr>
        <w:t xml:space="preserve"> </w:t>
      </w:r>
      <w:r>
        <w:rPr>
          <w:highlight w:val="yellow"/>
        </w:rPr>
        <w:t>a</w:t>
      </w:r>
      <w:r>
        <w:rPr>
          <w:spacing w:val="-5"/>
          <w:highlight w:val="yellow"/>
        </w:rPr>
        <w:t xml:space="preserve"> </w:t>
      </w:r>
      <w:r>
        <w:rPr>
          <w:highlight w:val="yellow"/>
        </w:rPr>
        <w:t>jednotlivých</w:t>
      </w:r>
      <w:r>
        <w:rPr>
          <w:spacing w:val="-9"/>
          <w:highlight w:val="yellow"/>
        </w:rPr>
        <w:t xml:space="preserve"> </w:t>
      </w:r>
      <w:r>
        <w:rPr>
          <w:highlight w:val="yellow"/>
        </w:rPr>
        <w:t>činnostiach,</w:t>
      </w:r>
    </w:p>
    <w:p>
      <w:pPr>
        <w:pStyle w:val="ListParagraph"/>
        <w:numPr>
          <w:ilvl w:val="1"/>
          <w:numId w:val="7"/>
        </w:numPr>
        <w:tabs>
          <w:tab w:val="clear" w:pos="720"/>
          <w:tab w:val="left" w:pos="426" w:leader="none"/>
          <w:tab w:val="left" w:pos="9781" w:leader="none"/>
        </w:tabs>
        <w:spacing w:lineRule="exact" w:line="252"/>
        <w:ind w:left="426" w:hanging="284"/>
        <w:jc w:val="both"/>
        <w:rPr>
          <w:highlight w:val="yellow"/>
        </w:rPr>
      </w:pPr>
      <w:r>
        <w:rPr>
          <w:highlight w:val="yellow"/>
        </w:rPr>
        <w:t>všetkých druhoch činností účtovnej</w:t>
      </w:r>
      <w:r>
        <w:rPr>
          <w:spacing w:val="-6"/>
          <w:highlight w:val="yellow"/>
        </w:rPr>
        <w:t xml:space="preserve"> </w:t>
      </w:r>
      <w:r>
        <w:rPr>
          <w:highlight w:val="yellow"/>
        </w:rPr>
        <w:t>jednotky.</w:t>
      </w:r>
    </w:p>
    <w:p>
      <w:pPr>
        <w:pStyle w:val="Telotextu"/>
        <w:tabs>
          <w:tab w:val="clear" w:pos="720"/>
          <w:tab w:val="left" w:pos="9781" w:leader="none"/>
        </w:tabs>
        <w:jc w:val="both"/>
        <w:rPr>
          <w:sz w:val="20"/>
        </w:rPr>
      </w:pPr>
      <w:r>
        <w:rPr>
          <w:sz w:val="20"/>
        </w:rPr>
      </w:r>
    </w:p>
    <w:p>
      <w:pPr>
        <w:pStyle w:val="Telotextu"/>
        <w:tabs>
          <w:tab w:val="clear" w:pos="720"/>
          <w:tab w:val="left" w:pos="9781" w:leader="none"/>
        </w:tabs>
        <w:spacing w:before="2" w:after="0"/>
        <w:jc w:val="both"/>
        <w:rPr>
          <w:sz w:val="24"/>
        </w:rPr>
      </w:pPr>
      <w:r>
        <w:rPr>
          <w:sz w:val="24"/>
        </w:rPr>
      </w:r>
    </w:p>
    <w:tbl>
      <w:tblPr>
        <w:tblStyle w:val="TableNormal"/>
        <w:tblW w:w="9077" w:type="dxa"/>
        <w:jc w:val="left"/>
        <w:tblInd w:w="144" w:type="dxa"/>
        <w:tblLayout w:type="fixed"/>
        <w:tblCellMar>
          <w:top w:w="0" w:type="dxa"/>
          <w:left w:w="5" w:type="dxa"/>
          <w:bottom w:w="0" w:type="dxa"/>
          <w:right w:w="5" w:type="dxa"/>
        </w:tblCellMar>
        <w:tblLook w:firstRow="1" w:noVBand="0" w:lastRow="1" w:firstColumn="1" w:lastColumn="1" w:noHBand="0" w:val="01e0"/>
      </w:tblPr>
      <w:tblGrid>
        <w:gridCol w:w="2517"/>
        <w:gridCol w:w="2304"/>
        <w:gridCol w:w="2269"/>
        <w:gridCol w:w="1986"/>
      </w:tblGrid>
      <w:tr>
        <w:trPr>
          <w:trHeight w:val="796" w:hRule="atLeast"/>
        </w:trPr>
        <w:tc>
          <w:tcPr>
            <w:tcW w:w="2517"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9781" w:leader="none"/>
              </w:tabs>
              <w:suppressAutoHyphens w:val="true"/>
              <w:spacing w:before="0" w:after="0"/>
              <w:jc w:val="both"/>
              <w:rPr>
                <w:sz w:val="20"/>
              </w:rPr>
            </w:pPr>
            <w:r>
              <w:rPr>
                <w:kern w:val="0"/>
                <w:sz w:val="22"/>
                <w:szCs w:val="22"/>
                <w:lang w:eastAsia="en-US" w:bidi="ar-SA"/>
              </w:rPr>
              <w:t>Zostavené dňa:</w:t>
            </w:r>
          </w:p>
          <w:p>
            <w:pPr>
              <w:pStyle w:val="TableParagraph"/>
              <w:widowControl w:val="false"/>
              <w:tabs>
                <w:tab w:val="clear" w:pos="720"/>
                <w:tab w:val="left" w:pos="9781" w:leader="none"/>
              </w:tabs>
              <w:suppressAutoHyphens w:val="true"/>
              <w:spacing w:before="0" w:after="0"/>
              <w:jc w:val="both"/>
              <w:rPr>
                <w:sz w:val="20"/>
              </w:rPr>
            </w:pPr>
            <w:r>
              <w:rPr>
                <w:kern w:val="0"/>
                <w:sz w:val="20"/>
                <w:szCs w:val="22"/>
                <w:lang w:eastAsia="en-US" w:bidi="ar-SA"/>
              </w:rPr>
              <w:t>31</w:t>
            </w:r>
            <w:r>
              <w:rPr>
                <w:kern w:val="0"/>
                <w:sz w:val="20"/>
                <w:szCs w:val="22"/>
                <w:lang w:eastAsia="en-US" w:bidi="ar-SA"/>
              </w:rPr>
              <w:t>.03.202</w:t>
            </w:r>
            <w:r>
              <w:rPr>
                <w:rFonts w:eastAsia="Arial Narrow" w:cs="Arial Narrow"/>
                <w:color w:val="auto"/>
                <w:kern w:val="0"/>
                <w:sz w:val="20"/>
                <w:szCs w:val="22"/>
                <w:lang w:val="sk-SK" w:eastAsia="en-US" w:bidi="ar-SA"/>
              </w:rPr>
              <w:t>2</w:t>
            </w:r>
          </w:p>
        </w:tc>
        <w:tc>
          <w:tcPr>
            <w:tcW w:w="2304"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9781" w:leader="none"/>
              </w:tabs>
              <w:suppressAutoHyphens w:val="true"/>
              <w:spacing w:before="0" w:after="0"/>
              <w:ind w:left="71" w:right="206" w:hanging="0"/>
              <w:jc w:val="both"/>
              <w:rPr>
                <w:sz w:val="20"/>
              </w:rPr>
            </w:pPr>
            <w:r>
              <w:rPr>
                <w:kern w:val="0"/>
                <w:sz w:val="22"/>
                <w:szCs w:val="22"/>
                <w:lang w:eastAsia="en-US" w:bidi="ar-SA"/>
              </w:rPr>
              <w:t>Podpisový záznam člena štatutárneho orgánu účtovnej jednotky alebo fyzickej osoby, ktorá je účtovnou jednotkou:</w:t>
            </w:r>
          </w:p>
        </w:tc>
        <w:tc>
          <w:tcPr>
            <w:tcW w:w="2269"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9781" w:leader="none"/>
              </w:tabs>
              <w:suppressAutoHyphens w:val="true"/>
              <w:spacing w:before="0" w:after="0"/>
              <w:ind w:left="68" w:right="125" w:hanging="0"/>
              <w:jc w:val="both"/>
              <w:rPr>
                <w:sz w:val="20"/>
              </w:rPr>
            </w:pPr>
            <w:r>
              <w:rPr>
                <w:kern w:val="0"/>
                <w:sz w:val="22"/>
                <w:szCs w:val="22"/>
                <w:lang w:eastAsia="en-US" w:bidi="ar-SA"/>
              </w:rPr>
              <w:t>Podpisový záznam osoby zodpovednej za zostavenie účtovnej závierky:</w:t>
            </w:r>
          </w:p>
        </w:tc>
        <w:tc>
          <w:tcPr>
            <w:tcW w:w="1986"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9781" w:leader="none"/>
              </w:tabs>
              <w:suppressAutoHyphens w:val="true"/>
              <w:spacing w:before="0" w:after="0"/>
              <w:ind w:left="67" w:right="93" w:hanging="0"/>
              <w:jc w:val="both"/>
              <w:rPr>
                <w:sz w:val="20"/>
              </w:rPr>
            </w:pPr>
            <w:r>
              <w:rPr>
                <w:kern w:val="0"/>
                <w:sz w:val="22"/>
                <w:szCs w:val="22"/>
                <w:lang w:eastAsia="en-US" w:bidi="ar-SA"/>
              </w:rPr>
              <w:t>Podpisový záznam osoby zodpovednej za vedenie účtovníctva:</w:t>
            </w:r>
          </w:p>
        </w:tc>
      </w:tr>
      <w:tr>
        <w:trPr>
          <w:trHeight w:val="839" w:hRule="atLeast"/>
        </w:trPr>
        <w:tc>
          <w:tcPr>
            <w:tcW w:w="2517"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9781" w:leader="none"/>
              </w:tabs>
              <w:suppressAutoHyphens w:val="true"/>
              <w:spacing w:lineRule="exact" w:line="250" w:before="0" w:after="0"/>
              <w:jc w:val="both"/>
              <w:rPr>
                <w:sz w:val="20"/>
              </w:rPr>
            </w:pPr>
            <w:r>
              <w:rPr>
                <w:kern w:val="0"/>
                <w:sz w:val="22"/>
                <w:szCs w:val="22"/>
                <w:lang w:eastAsia="en-US" w:bidi="ar-SA"/>
              </w:rPr>
              <w:t>Schválené dňa:</w:t>
            </w:r>
          </w:p>
          <w:p>
            <w:pPr>
              <w:pStyle w:val="TableParagraph"/>
              <w:widowControl w:val="false"/>
              <w:tabs>
                <w:tab w:val="clear" w:pos="720"/>
                <w:tab w:val="left" w:pos="9781" w:leader="none"/>
              </w:tabs>
              <w:suppressAutoHyphens w:val="true"/>
              <w:spacing w:lineRule="exact" w:line="250" w:before="0" w:after="0"/>
              <w:jc w:val="both"/>
              <w:rPr>
                <w:sz w:val="20"/>
              </w:rPr>
            </w:pPr>
            <w:r>
              <w:rPr>
                <w:kern w:val="0"/>
                <w:sz w:val="20"/>
                <w:szCs w:val="22"/>
                <w:lang w:eastAsia="en-US" w:bidi="ar-SA"/>
              </w:rPr>
              <w:t>31</w:t>
            </w:r>
            <w:r>
              <w:rPr>
                <w:kern w:val="0"/>
                <w:sz w:val="20"/>
                <w:szCs w:val="22"/>
                <w:lang w:eastAsia="en-US" w:bidi="ar-SA"/>
              </w:rPr>
              <w:t>.03.202</w:t>
            </w:r>
            <w:r>
              <w:rPr>
                <w:rFonts w:eastAsia="Arial Narrow" w:cs="Arial Narrow"/>
                <w:color w:val="auto"/>
                <w:kern w:val="0"/>
                <w:sz w:val="20"/>
                <w:szCs w:val="22"/>
                <w:lang w:val="sk-SK" w:eastAsia="en-US" w:bidi="ar-SA"/>
              </w:rPr>
              <w:t>2</w:t>
            </w:r>
          </w:p>
        </w:tc>
        <w:tc>
          <w:tcPr>
            <w:tcW w:w="2304" w:type="dxa"/>
            <w:vMerge w:val="continue"/>
            <w:tcBorders>
              <w:left w:val="single" w:sz="4" w:space="0" w:color="000000"/>
              <w:bottom w:val="single" w:sz="4" w:space="0" w:color="000000"/>
              <w:right w:val="single" w:sz="4" w:space="0" w:color="000000"/>
            </w:tcBorders>
          </w:tcPr>
          <w:p>
            <w:pPr>
              <w:pStyle w:val="Normal"/>
              <w:widowControl w:val="false"/>
              <w:tabs>
                <w:tab w:val="clear" w:pos="720"/>
                <w:tab w:val="left" w:pos="9781" w:leader="none"/>
              </w:tabs>
              <w:suppressAutoHyphens w:val="true"/>
              <w:spacing w:before="0" w:after="0"/>
              <w:jc w:val="both"/>
              <w:rPr>
                <w:sz w:val="2"/>
                <w:szCs w:val="2"/>
              </w:rPr>
            </w:pPr>
            <w:r>
              <w:rPr>
                <w:sz w:val="22"/>
                <w:szCs w:val="2"/>
              </w:rPr>
            </w:r>
          </w:p>
        </w:tc>
        <w:tc>
          <w:tcPr>
            <w:tcW w:w="2269" w:type="dxa"/>
            <w:vMerge w:val="continue"/>
            <w:tcBorders>
              <w:left w:val="single" w:sz="4" w:space="0" w:color="000000"/>
              <w:bottom w:val="single" w:sz="4" w:space="0" w:color="000000"/>
              <w:right w:val="single" w:sz="4" w:space="0" w:color="000000"/>
            </w:tcBorders>
          </w:tcPr>
          <w:p>
            <w:pPr>
              <w:pStyle w:val="Normal"/>
              <w:widowControl w:val="false"/>
              <w:tabs>
                <w:tab w:val="clear" w:pos="720"/>
                <w:tab w:val="left" w:pos="9781" w:leader="none"/>
              </w:tabs>
              <w:suppressAutoHyphens w:val="true"/>
              <w:spacing w:before="0" w:after="0"/>
              <w:jc w:val="both"/>
              <w:rPr>
                <w:sz w:val="2"/>
                <w:szCs w:val="2"/>
              </w:rPr>
            </w:pPr>
            <w:r>
              <w:rPr>
                <w:sz w:val="22"/>
                <w:szCs w:val="2"/>
              </w:rPr>
            </w:r>
          </w:p>
        </w:tc>
        <w:tc>
          <w:tcPr>
            <w:tcW w:w="1986" w:type="dxa"/>
            <w:vMerge w:val="continue"/>
            <w:tcBorders>
              <w:left w:val="single" w:sz="4" w:space="0" w:color="000000"/>
              <w:bottom w:val="single" w:sz="4" w:space="0" w:color="000000"/>
              <w:right w:val="single" w:sz="4" w:space="0" w:color="000000"/>
            </w:tcBorders>
          </w:tcPr>
          <w:p>
            <w:pPr>
              <w:pStyle w:val="Normal"/>
              <w:widowControl w:val="false"/>
              <w:tabs>
                <w:tab w:val="clear" w:pos="720"/>
                <w:tab w:val="left" w:pos="9781" w:leader="none"/>
              </w:tabs>
              <w:suppressAutoHyphens w:val="true"/>
              <w:spacing w:before="0" w:after="0"/>
              <w:jc w:val="both"/>
              <w:rPr>
                <w:sz w:val="2"/>
                <w:szCs w:val="2"/>
              </w:rPr>
            </w:pPr>
            <w:r>
              <w:rPr>
                <w:sz w:val="22"/>
                <w:szCs w:val="2"/>
              </w:rPr>
            </w:r>
          </w:p>
        </w:tc>
      </w:tr>
    </w:tbl>
    <w:p>
      <w:pPr>
        <w:pStyle w:val="Telotextu"/>
        <w:tabs>
          <w:tab w:val="clear" w:pos="720"/>
          <w:tab w:val="left" w:pos="9781" w:leader="none"/>
        </w:tabs>
        <w:jc w:val="both"/>
        <w:rPr>
          <w:sz w:val="20"/>
        </w:rPr>
      </w:pPr>
      <w:r>
        <w:rPr>
          <w:sz w:val="20"/>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Telotextu"/>
        <w:tabs>
          <w:tab w:val="clear" w:pos="720"/>
          <w:tab w:val="left" w:pos="9781" w:leader="none"/>
        </w:tabs>
        <w:spacing w:before="10" w:after="0"/>
        <w:jc w:val="both"/>
        <w:rPr>
          <w:sz w:val="23"/>
        </w:rPr>
      </w:pPr>
      <w:r>
        <w:rPr>
          <w:sz w:val="23"/>
        </w:rPr>
      </w:r>
    </w:p>
    <w:p>
      <w:pPr>
        <w:pStyle w:val="Nadpis1"/>
        <w:tabs>
          <w:tab w:val="clear" w:pos="720"/>
          <w:tab w:val="left" w:pos="9781" w:leader="none"/>
        </w:tabs>
        <w:spacing w:before="1" w:after="0"/>
        <w:ind w:left="138" w:hanging="0"/>
        <w:jc w:val="both"/>
        <w:rPr>
          <w:sz w:val="20"/>
        </w:rPr>
      </w:pPr>
      <w:r>
        <w:rPr/>
        <w:t>Vysvetlivky k prehľadu peňažných tokov</w:t>
      </w:r>
    </w:p>
    <w:p>
      <w:pPr>
        <w:pStyle w:val="Telotextu"/>
        <w:tabs>
          <w:tab w:val="clear" w:pos="720"/>
          <w:tab w:val="left" w:pos="9781" w:leader="none"/>
        </w:tabs>
        <w:jc w:val="both"/>
        <w:rPr>
          <w:b/>
          <w:b/>
        </w:rPr>
      </w:pPr>
      <w:r>
        <w:rPr>
          <w:b/>
        </w:rPr>
      </w:r>
    </w:p>
    <w:p>
      <w:pPr>
        <w:pStyle w:val="ListParagraph"/>
        <w:numPr>
          <w:ilvl w:val="0"/>
          <w:numId w:val="2"/>
        </w:numPr>
        <w:tabs>
          <w:tab w:val="clear" w:pos="720"/>
          <w:tab w:val="left" w:pos="423" w:leader="none"/>
          <w:tab w:val="left" w:pos="9781" w:leader="none"/>
        </w:tabs>
        <w:spacing w:lineRule="auto" w:line="235"/>
        <w:ind w:left="422" w:right="577" w:hanging="284"/>
        <w:jc w:val="both"/>
        <w:rPr>
          <w:sz w:val="20"/>
        </w:rPr>
      </w:pPr>
      <w:r>
        <w:rPr/>
        <w:t>Výdavky na obstaranie dlhodobého nehmotného majetku, dlhodobého hmotného majetku a finančného majetku uvedeného v položke B. 3. sa</w:t>
      </w:r>
      <w:r>
        <w:rPr>
          <w:spacing w:val="-9"/>
        </w:rPr>
        <w:t xml:space="preserve"> </w:t>
      </w:r>
      <w:r>
        <w:rPr/>
        <w:t>zisťujú</w:t>
      </w:r>
    </w:p>
    <w:p>
      <w:pPr>
        <w:pStyle w:val="ListParagraph"/>
        <w:numPr>
          <w:ilvl w:val="1"/>
          <w:numId w:val="2"/>
        </w:numPr>
        <w:tabs>
          <w:tab w:val="clear" w:pos="720"/>
          <w:tab w:val="left" w:pos="1579" w:leader="none"/>
          <w:tab w:val="left" w:pos="9781" w:leader="none"/>
        </w:tabs>
        <w:ind w:left="1578" w:right="570" w:hanging="360"/>
        <w:jc w:val="both"/>
        <w:rPr>
          <w:sz w:val="20"/>
        </w:rPr>
      </w:pPr>
      <w:r>
        <w:rPr/>
        <w:t>netto spôsobom, pri ktorom sa z účtov peňažných prostriedkov zisťujú skutočné výdavky spojené s obstaraním dlhodobého majetku nákupom alebo vlastnou</w:t>
      </w:r>
      <w:r>
        <w:rPr>
          <w:spacing w:val="-16"/>
        </w:rPr>
        <w:t xml:space="preserve"> </w:t>
      </w:r>
      <w:r>
        <w:rPr/>
        <w:t>činnosťou,</w:t>
      </w:r>
    </w:p>
    <w:p>
      <w:pPr>
        <w:pStyle w:val="ListParagraph"/>
        <w:numPr>
          <w:ilvl w:val="1"/>
          <w:numId w:val="2"/>
        </w:numPr>
        <w:tabs>
          <w:tab w:val="clear" w:pos="720"/>
          <w:tab w:val="left" w:pos="1579" w:leader="none"/>
          <w:tab w:val="left" w:pos="9781" w:leader="none"/>
        </w:tabs>
        <w:ind w:left="1578" w:right="571" w:hanging="360"/>
        <w:jc w:val="both"/>
        <w:rPr>
          <w:sz w:val="20"/>
        </w:rPr>
      </w:pPr>
      <w:r>
        <w:rPr/>
        <w:t>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w:t>
      </w:r>
    </w:p>
    <w:p>
      <w:pPr>
        <w:pStyle w:val="Telotextu"/>
        <w:tabs>
          <w:tab w:val="clear" w:pos="720"/>
          <w:tab w:val="left" w:pos="9781" w:leader="none"/>
        </w:tabs>
        <w:spacing w:before="11" w:after="0"/>
        <w:jc w:val="both"/>
        <w:rPr>
          <w:sz w:val="21"/>
        </w:rPr>
      </w:pPr>
      <w:r>
        <w:rPr>
          <w:sz w:val="21"/>
        </w:rPr>
      </w:r>
    </w:p>
    <w:p>
      <w:pPr>
        <w:pStyle w:val="ListParagraph"/>
        <w:numPr>
          <w:ilvl w:val="0"/>
          <w:numId w:val="2"/>
        </w:numPr>
        <w:tabs>
          <w:tab w:val="clear" w:pos="720"/>
          <w:tab w:val="left" w:pos="423" w:leader="none"/>
          <w:tab w:val="left" w:pos="9781" w:leader="none"/>
        </w:tabs>
        <w:spacing w:lineRule="auto" w:line="235"/>
        <w:ind w:left="422" w:right="572" w:hanging="284"/>
        <w:jc w:val="both"/>
        <w:rPr>
          <w:sz w:val="20"/>
        </w:rPr>
      </w:pPr>
      <w:r>
        <w:rPr/>
        <w:t>Údaje na vykázanie stavov v častiach E., F., G., H. sa zisťujú z účtovníctva v súlade s vnútorným predpisom účtovnej</w:t>
      </w:r>
      <w:r>
        <w:rPr>
          <w:spacing w:val="-1"/>
        </w:rPr>
        <w:t xml:space="preserve"> </w:t>
      </w:r>
      <w:r>
        <w:rPr/>
        <w:t>jednotky.</w:t>
      </w:r>
    </w:p>
    <w:p>
      <w:pPr>
        <w:pStyle w:val="Telotextu"/>
        <w:tabs>
          <w:tab w:val="clear" w:pos="720"/>
          <w:tab w:val="left" w:pos="9781" w:leader="none"/>
        </w:tabs>
        <w:jc w:val="both"/>
        <w:rPr>
          <w:sz w:val="20"/>
        </w:rPr>
      </w:pPr>
      <w:r>
        <w:rPr>
          <w:sz w:val="20"/>
        </w:rPr>
      </w:r>
    </w:p>
    <w:p>
      <w:pPr>
        <w:pStyle w:val="ListParagraph"/>
        <w:numPr>
          <w:ilvl w:val="0"/>
          <w:numId w:val="2"/>
        </w:numPr>
        <w:tabs>
          <w:tab w:val="clear" w:pos="720"/>
          <w:tab w:val="left" w:pos="423" w:leader="none"/>
          <w:tab w:val="left" w:pos="9781" w:leader="none"/>
        </w:tabs>
        <w:spacing w:lineRule="auto" w:line="235"/>
        <w:ind w:left="422" w:right="570" w:hanging="284"/>
        <w:jc w:val="both"/>
        <w:rPr>
          <w:sz w:val="20"/>
        </w:rPr>
      </w:pPr>
      <w:r>
        <w:rPr/>
        <w:t>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w:t>
      </w:r>
      <w:r>
        <w:rPr>
          <w:spacing w:val="-1"/>
        </w:rPr>
        <w:t xml:space="preserve"> </w:t>
      </w:r>
      <w:r>
        <w:rPr/>
        <w:t>(-).</w:t>
      </w:r>
    </w:p>
    <w:p>
      <w:pPr>
        <w:pStyle w:val="Telotextu"/>
        <w:tabs>
          <w:tab w:val="clear" w:pos="720"/>
          <w:tab w:val="left" w:pos="9781" w:leader="none"/>
        </w:tabs>
        <w:spacing w:before="4" w:after="0"/>
        <w:jc w:val="both"/>
        <w:rPr>
          <w:sz w:val="20"/>
        </w:rPr>
      </w:pPr>
      <w:r>
        <w:rPr>
          <w:sz w:val="20"/>
        </w:rPr>
      </w:r>
    </w:p>
    <w:p>
      <w:pPr>
        <w:pStyle w:val="ListParagraph"/>
        <w:numPr>
          <w:ilvl w:val="0"/>
          <w:numId w:val="2"/>
        </w:numPr>
        <w:tabs>
          <w:tab w:val="clear" w:pos="720"/>
          <w:tab w:val="left" w:pos="423" w:leader="none"/>
          <w:tab w:val="left" w:pos="9781" w:leader="none"/>
        </w:tabs>
        <w:spacing w:lineRule="auto" w:line="235"/>
        <w:ind w:left="422" w:right="578" w:hanging="284"/>
        <w:jc w:val="both"/>
        <w:rPr>
          <w:sz w:val="20"/>
        </w:rPr>
      </w:pPr>
      <w:r>
        <w:rPr/>
        <w:t>V položke sa vykazujú účtovné odpisy dlhodobého nehmotného majetku a dlhodobého hmotného majetku, o ktorých sa účtuje na účte</w:t>
      </w:r>
      <w:r>
        <w:rPr>
          <w:spacing w:val="-9"/>
        </w:rPr>
        <w:t xml:space="preserve"> </w:t>
      </w:r>
      <w:r>
        <w:rPr/>
        <w:t>551.</w:t>
      </w:r>
    </w:p>
    <w:p>
      <w:pPr>
        <w:pStyle w:val="Telotextu"/>
        <w:tabs>
          <w:tab w:val="clear" w:pos="720"/>
          <w:tab w:val="left" w:pos="9781" w:leader="none"/>
        </w:tabs>
        <w:spacing w:before="11" w:after="0"/>
        <w:jc w:val="both"/>
        <w:rPr>
          <w:sz w:val="21"/>
        </w:rPr>
      </w:pPr>
      <w:r>
        <w:rPr>
          <w:sz w:val="21"/>
        </w:rPr>
      </w:r>
    </w:p>
    <w:p>
      <w:pPr>
        <w:pStyle w:val="ListParagraph"/>
        <w:numPr>
          <w:ilvl w:val="0"/>
          <w:numId w:val="2"/>
        </w:numPr>
        <w:tabs>
          <w:tab w:val="clear" w:pos="720"/>
          <w:tab w:val="left" w:pos="423" w:leader="none"/>
          <w:tab w:val="left" w:pos="9781" w:leader="none"/>
        </w:tabs>
        <w:spacing w:lineRule="auto" w:line="235"/>
        <w:ind w:left="422" w:right="576" w:hanging="284"/>
        <w:jc w:val="both"/>
        <w:rPr>
          <w:sz w:val="20"/>
        </w:rPr>
      </w:pPr>
      <w:r>
        <w:rPr/>
        <w:t>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w:t>
      </w:r>
      <w:r>
        <w:rPr>
          <w:spacing w:val="-2"/>
        </w:rPr>
        <w:t xml:space="preserve"> </w:t>
      </w:r>
      <w:r>
        <w:rPr/>
        <w:t>549.</w:t>
      </w:r>
    </w:p>
    <w:p>
      <w:pPr>
        <w:pStyle w:val="Telotextu"/>
        <w:tabs>
          <w:tab w:val="clear" w:pos="720"/>
          <w:tab w:val="left" w:pos="9781" w:leader="none"/>
        </w:tabs>
        <w:spacing w:before="9" w:after="0"/>
        <w:jc w:val="both"/>
        <w:rPr>
          <w:sz w:val="20"/>
        </w:rPr>
      </w:pPr>
      <w:r>
        <w:rPr>
          <w:sz w:val="20"/>
        </w:rPr>
      </w:r>
    </w:p>
    <w:p>
      <w:pPr>
        <w:pStyle w:val="ListParagraph"/>
        <w:numPr>
          <w:ilvl w:val="0"/>
          <w:numId w:val="2"/>
        </w:numPr>
        <w:tabs>
          <w:tab w:val="clear" w:pos="720"/>
          <w:tab w:val="left" w:pos="423" w:leader="none"/>
          <w:tab w:val="left" w:pos="9781" w:leader="none"/>
        </w:tabs>
        <w:spacing w:lineRule="auto" w:line="235"/>
        <w:ind w:left="422" w:right="572" w:hanging="284"/>
        <w:jc w:val="both"/>
        <w:rPr>
          <w:sz w:val="20"/>
        </w:rPr>
      </w:pPr>
      <w:r>
        <w:rPr/>
        <w:t>Údaj sa vykazuje z účtu 557, pričom konečný stav tohto účtu sa pripočítava a z účtu 657, pričom konečný stav tohto účtu sa</w:t>
      </w:r>
      <w:r>
        <w:rPr>
          <w:spacing w:val="-3"/>
        </w:rPr>
        <w:t xml:space="preserve"> </w:t>
      </w:r>
      <w:r>
        <w:rPr/>
        <w:t>odpočítava.</w:t>
      </w:r>
    </w:p>
    <w:p>
      <w:pPr>
        <w:pStyle w:val="Telotextu"/>
        <w:tabs>
          <w:tab w:val="clear" w:pos="720"/>
          <w:tab w:val="left" w:pos="9781" w:leader="none"/>
        </w:tabs>
        <w:spacing w:before="5" w:after="0"/>
        <w:jc w:val="both"/>
        <w:rPr>
          <w:sz w:val="20"/>
        </w:rPr>
      </w:pPr>
      <w:r>
        <w:rPr>
          <w:sz w:val="20"/>
        </w:rPr>
      </w:r>
    </w:p>
    <w:p>
      <w:pPr>
        <w:pStyle w:val="ListParagraph"/>
        <w:numPr>
          <w:ilvl w:val="0"/>
          <w:numId w:val="2"/>
        </w:numPr>
        <w:tabs>
          <w:tab w:val="clear" w:pos="720"/>
          <w:tab w:val="left" w:pos="423" w:leader="none"/>
          <w:tab w:val="left" w:pos="9781" w:leader="none"/>
        </w:tabs>
        <w:spacing w:lineRule="auto" w:line="235"/>
        <w:ind w:left="422" w:right="576" w:hanging="284"/>
        <w:jc w:val="both"/>
        <w:rPr>
          <w:sz w:val="20"/>
        </w:rPr>
      </w:pPr>
      <w:r>
        <w:rPr/>
        <w:t>Údaje sa vykazujú z účtov účtovej skupiny 45, pričom zmena stavu rezerv sa vykazuje ako rozdiel konečného zostatku účtov účtovej skupiny 45 a začiatočného stavu účtov účtovej skupiny 45. Kladný rozdiel</w:t>
      </w:r>
      <w:r>
        <w:rPr>
          <w:spacing w:val="4"/>
        </w:rPr>
        <w:t xml:space="preserve"> </w:t>
      </w:r>
      <w:r>
        <w:rPr/>
        <w:t>sa vykazuje 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w:t>
      </w:r>
    </w:p>
    <w:p>
      <w:pPr>
        <w:pStyle w:val="Telotextu"/>
        <w:tabs>
          <w:tab w:val="clear" w:pos="720"/>
          <w:tab w:val="left" w:pos="9781" w:leader="none"/>
        </w:tabs>
        <w:spacing w:before="9" w:after="0"/>
        <w:jc w:val="both"/>
        <w:rPr>
          <w:sz w:val="21"/>
        </w:rPr>
      </w:pPr>
      <w:r>
        <w:rPr>
          <w:sz w:val="21"/>
        </w:rPr>
      </w:r>
    </w:p>
    <w:p>
      <w:pPr>
        <w:pStyle w:val="ListParagraph"/>
        <w:numPr>
          <w:ilvl w:val="0"/>
          <w:numId w:val="2"/>
        </w:numPr>
        <w:tabs>
          <w:tab w:val="clear" w:pos="720"/>
          <w:tab w:val="left" w:pos="423" w:leader="none"/>
          <w:tab w:val="left" w:pos="9781" w:leader="none"/>
        </w:tabs>
        <w:spacing w:before="1" w:after="0"/>
        <w:ind w:left="422" w:right="572" w:hanging="284"/>
        <w:jc w:val="both"/>
        <w:rPr>
          <w:sz w:val="20"/>
        </w:rPr>
      </w:pPr>
      <w:r>
        <w:rPr/>
        <w:t>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w:t>
      </w:r>
      <w:r>
        <w:rPr>
          <w:spacing w:val="-7"/>
        </w:rPr>
        <w:t xml:space="preserve"> </w:t>
      </w:r>
      <w:r>
        <w:rPr/>
        <w:t>znamienkom.</w:t>
      </w:r>
    </w:p>
    <w:p>
      <w:pPr>
        <w:pStyle w:val="Telotextu"/>
        <w:tabs>
          <w:tab w:val="clear" w:pos="720"/>
          <w:tab w:val="left" w:pos="9781" w:leader="none"/>
        </w:tabs>
        <w:spacing w:before="7" w:after="0"/>
        <w:jc w:val="both"/>
        <w:rPr>
          <w:sz w:val="21"/>
        </w:rPr>
      </w:pPr>
      <w:r>
        <w:rPr>
          <w:sz w:val="21"/>
        </w:rPr>
      </w:r>
    </w:p>
    <w:p>
      <w:pPr>
        <w:pStyle w:val="ListParagraph"/>
        <w:numPr>
          <w:ilvl w:val="0"/>
          <w:numId w:val="2"/>
        </w:numPr>
        <w:tabs>
          <w:tab w:val="clear" w:pos="720"/>
          <w:tab w:val="left" w:pos="473" w:leader="none"/>
          <w:tab w:val="left" w:pos="9781" w:leader="none"/>
        </w:tabs>
        <w:ind w:left="422" w:right="574" w:hanging="284"/>
        <w:jc w:val="both"/>
        <w:rPr>
          <w:sz w:val="20"/>
        </w:rPr>
      </w:pPr>
      <w:r>
        <w:rPr/>
        <w:tab/>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rPr/>
        <w:t>. Osobitne sa zohľadňujú účty majetku 381, 382, 385, pri ktorých sa vykazuje zmena ich stavu s opačným znamienkom a účty záväzkov 383, 384, pri ktorých sa vykazuje zmena stavu s príslušným</w:t>
      </w:r>
      <w:r>
        <w:rPr>
          <w:spacing w:val="-8"/>
        </w:rPr>
        <w:t xml:space="preserve"> </w:t>
      </w:r>
      <w:r>
        <w:rPr/>
        <w:t>znamienkom.</w:t>
      </w:r>
    </w:p>
    <w:p>
      <w:pPr>
        <w:pStyle w:val="Telotextu"/>
        <w:tabs>
          <w:tab w:val="clear" w:pos="720"/>
          <w:tab w:val="left" w:pos="9781" w:leader="none"/>
        </w:tabs>
        <w:spacing w:before="4" w:after="0"/>
        <w:jc w:val="both"/>
        <w:rPr>
          <w:sz w:val="21"/>
        </w:rPr>
      </w:pPr>
      <w:r>
        <w:rPr>
          <w:sz w:val="21"/>
        </w:rPr>
      </w:r>
    </w:p>
    <w:p>
      <w:pPr>
        <w:pStyle w:val="ListParagraph"/>
        <w:numPr>
          <w:ilvl w:val="0"/>
          <w:numId w:val="2"/>
        </w:numPr>
        <w:tabs>
          <w:tab w:val="clear" w:pos="720"/>
          <w:tab w:val="left" w:pos="473" w:leader="none"/>
          <w:tab w:val="left" w:pos="9781" w:leader="none"/>
        </w:tabs>
        <w:ind w:left="472" w:hanging="335"/>
        <w:jc w:val="both"/>
        <w:rPr>
          <w:sz w:val="20"/>
        </w:rPr>
      </w:pPr>
      <w:r>
        <w:rPr/>
        <w:t>Údaje sa vykazujú z príslušného účtu účtovej skupiny</w:t>
      </w:r>
      <w:r>
        <w:rPr>
          <w:spacing w:val="-13"/>
        </w:rPr>
        <w:t xml:space="preserve"> </w:t>
      </w:r>
      <w:r>
        <w:rPr/>
        <w:t>66.</w:t>
      </w:r>
    </w:p>
    <w:p>
      <w:pPr>
        <w:pStyle w:val="Telotextu"/>
        <w:tabs>
          <w:tab w:val="clear" w:pos="720"/>
          <w:tab w:val="left" w:pos="9781" w:leader="none"/>
        </w:tabs>
        <w:spacing w:before="6" w:after="0"/>
        <w:jc w:val="both"/>
        <w:rPr>
          <w:sz w:val="21"/>
        </w:rPr>
      </w:pPr>
      <w:r>
        <w:rPr>
          <w:sz w:val="21"/>
        </w:rPr>
      </w:r>
    </w:p>
    <w:p>
      <w:pPr>
        <w:pStyle w:val="ListParagraph"/>
        <w:numPr>
          <w:ilvl w:val="0"/>
          <w:numId w:val="2"/>
        </w:numPr>
        <w:tabs>
          <w:tab w:val="clear" w:pos="720"/>
          <w:tab w:val="left" w:pos="473" w:leader="none"/>
          <w:tab w:val="left" w:pos="9781" w:leader="none"/>
        </w:tabs>
        <w:ind w:left="472" w:hanging="335"/>
        <w:jc w:val="both"/>
        <w:rPr>
          <w:sz w:val="20"/>
        </w:rPr>
      </w:pPr>
      <w:r>
        <w:rPr/>
        <w:t>Údaj sa vykazuje z účtu</w:t>
      </w:r>
      <w:r>
        <w:rPr>
          <w:spacing w:val="-17"/>
        </w:rPr>
        <w:t xml:space="preserve"> </w:t>
      </w:r>
      <w:r>
        <w:rPr/>
        <w:t>562.</w:t>
      </w:r>
    </w:p>
    <w:p>
      <w:pPr>
        <w:pStyle w:val="Telotextu"/>
        <w:tabs>
          <w:tab w:val="clear" w:pos="720"/>
          <w:tab w:val="left" w:pos="9781" w:leader="none"/>
        </w:tabs>
        <w:spacing w:before="7" w:after="0"/>
        <w:jc w:val="both"/>
        <w:rPr>
          <w:sz w:val="21"/>
        </w:rPr>
      </w:pPr>
      <w:r>
        <w:rPr>
          <w:sz w:val="21"/>
        </w:rPr>
      </w:r>
    </w:p>
    <w:p>
      <w:pPr>
        <w:pStyle w:val="ListParagraph"/>
        <w:numPr>
          <w:ilvl w:val="0"/>
          <w:numId w:val="2"/>
        </w:numPr>
        <w:tabs>
          <w:tab w:val="clear" w:pos="720"/>
          <w:tab w:val="left" w:pos="473" w:leader="none"/>
          <w:tab w:val="left" w:pos="9781" w:leader="none"/>
        </w:tabs>
        <w:ind w:left="472" w:hanging="335"/>
        <w:jc w:val="both"/>
        <w:rPr>
          <w:sz w:val="20"/>
        </w:rPr>
      </w:pPr>
      <w:r>
        <w:rPr/>
        <w:t>Údaj sa vykazuje z účtu</w:t>
      </w:r>
      <w:r>
        <w:rPr>
          <w:spacing w:val="-13"/>
        </w:rPr>
        <w:t xml:space="preserve"> </w:t>
      </w:r>
      <w:r>
        <w:rPr/>
        <w:t>662.</w:t>
      </w:r>
    </w:p>
    <w:p>
      <w:pPr>
        <w:pStyle w:val="Telotextu"/>
        <w:tabs>
          <w:tab w:val="clear" w:pos="720"/>
          <w:tab w:val="left" w:pos="9781" w:leader="none"/>
        </w:tabs>
        <w:spacing w:before="6" w:after="0"/>
        <w:jc w:val="both"/>
        <w:rPr>
          <w:sz w:val="21"/>
        </w:rPr>
      </w:pPr>
      <w:r>
        <w:rPr>
          <w:sz w:val="21"/>
        </w:rPr>
      </w:r>
    </w:p>
    <w:p>
      <w:pPr>
        <w:pStyle w:val="ListParagraph"/>
        <w:numPr>
          <w:ilvl w:val="0"/>
          <w:numId w:val="2"/>
        </w:numPr>
        <w:tabs>
          <w:tab w:val="clear" w:pos="720"/>
          <w:tab w:val="left" w:pos="473" w:leader="none"/>
          <w:tab w:val="left" w:pos="9781" w:leader="none"/>
        </w:tabs>
        <w:spacing w:lineRule="auto" w:line="451"/>
        <w:ind w:left="138" w:right="600" w:hanging="0"/>
        <w:jc w:val="both"/>
        <w:rPr>
          <w:sz w:val="20"/>
        </w:rPr>
      </w:pPr>
      <w:r>
        <w:rPr/>
        <w:t xml:space="preserve">Údaj sa vykazuje z tej časti účtu 663, ktorá bola vyčíslená ku dňu, ku ktorému sa zostavuje účtovná závierka. </w:t>
      </w:r>
      <w:r>
        <w:rPr>
          <w:rFonts w:ascii="Times New Roman" w:hAnsi="Times New Roman"/>
          <w:i/>
          <w:sz w:val="24"/>
        </w:rPr>
        <w:t xml:space="preserve">14 </w:t>
      </w:r>
      <w:r>
        <w:rPr/>
        <w:t xml:space="preserve">Údaj sa vykazuje z tej časti účtu 563, ktorá bola vyčíslená ku dňu, ku ktorému sa zostavuje účtovná závierka. </w:t>
      </w:r>
      <w:r>
        <w:rPr>
          <w:rFonts w:ascii="Times New Roman" w:hAnsi="Times New Roman"/>
          <w:i/>
          <w:sz w:val="24"/>
        </w:rPr>
        <w:t xml:space="preserve">15 </w:t>
      </w:r>
      <w:r>
        <w:rPr/>
        <w:t>Údaj sa vykazuje ako súčet rozdielov účtov 641 a 541 a príslušnej časti účtov 661 a</w:t>
      </w:r>
      <w:r>
        <w:rPr>
          <w:spacing w:val="-9"/>
        </w:rPr>
        <w:t xml:space="preserve"> </w:t>
      </w:r>
      <w:r>
        <w:rPr/>
        <w:t>561.</w:t>
      </w:r>
    </w:p>
    <w:p>
      <w:pPr>
        <w:pStyle w:val="Telotextu"/>
        <w:tabs>
          <w:tab w:val="clear" w:pos="720"/>
          <w:tab w:val="left" w:pos="9781" w:leader="none"/>
        </w:tabs>
        <w:spacing w:before="3" w:after="0"/>
        <w:ind w:left="422" w:right="569" w:hanging="284"/>
        <w:jc w:val="both"/>
        <w:rPr>
          <w:sz w:val="20"/>
        </w:rPr>
      </w:pPr>
      <w:r>
        <w:rPr>
          <w:rFonts w:ascii="Times New Roman" w:hAnsi="Times New Roman"/>
          <w:i/>
          <w:sz w:val="24"/>
        </w:rPr>
        <w:t xml:space="preserve">16 </w:t>
      </w:r>
      <w:r>
        <w:rPr/>
        <w:t>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w:t>
      </w:r>
      <w:r>
        <w:rPr>
          <w:spacing w:val="-8"/>
        </w:rPr>
        <w:t xml:space="preserve"> </w:t>
      </w:r>
      <w:r>
        <w:rPr/>
        <w:t>znamienkom.</w:t>
      </w:r>
    </w:p>
    <w:p>
      <w:pPr>
        <w:pStyle w:val="Telotextu"/>
        <w:tabs>
          <w:tab w:val="clear" w:pos="720"/>
          <w:tab w:val="left" w:pos="9781" w:leader="none"/>
        </w:tabs>
        <w:spacing w:before="76" w:after="0"/>
        <w:ind w:right="101" w:hanging="0"/>
        <w:jc w:val="both"/>
        <w:rPr>
          <w:sz w:val="20"/>
        </w:rPr>
      </w:pPr>
      <w:r>
        <w:rPr>
          <w:sz w:val="20"/>
        </w:rPr>
      </w:r>
    </w:p>
    <w:p>
      <w:pPr>
        <w:pStyle w:val="Telotextu"/>
        <w:tabs>
          <w:tab w:val="clear" w:pos="720"/>
          <w:tab w:val="left" w:pos="9781" w:leader="none"/>
        </w:tabs>
        <w:spacing w:before="76" w:after="0"/>
        <w:ind w:right="101" w:hanging="0"/>
        <w:jc w:val="both"/>
        <w:rPr>
          <w:sz w:val="20"/>
        </w:rPr>
      </w:pPr>
      <w:r>
        <w:rPr>
          <w:sz w:val="20"/>
        </w:rPr>
      </w:r>
    </w:p>
    <w:p>
      <w:pPr>
        <w:pStyle w:val="Telotextu"/>
        <w:tabs>
          <w:tab w:val="clear" w:pos="720"/>
          <w:tab w:val="left" w:pos="9781" w:leader="none"/>
        </w:tabs>
        <w:spacing w:before="76" w:after="0"/>
        <w:ind w:right="101" w:hanging="0"/>
        <w:jc w:val="both"/>
        <w:rPr>
          <w:sz w:val="20"/>
        </w:rPr>
      </w:pPr>
      <w:r>
        <w:rPr>
          <w:sz w:val="20"/>
        </w:rPr>
      </w:r>
    </w:p>
    <w:p>
      <w:pPr>
        <w:pStyle w:val="Telotextu"/>
        <w:tabs>
          <w:tab w:val="clear" w:pos="720"/>
          <w:tab w:val="left" w:pos="9781" w:leader="none"/>
        </w:tabs>
        <w:spacing w:before="76" w:after="0"/>
        <w:ind w:right="101" w:hanging="0"/>
        <w:jc w:val="both"/>
        <w:rPr>
          <w:sz w:val="20"/>
        </w:rPr>
      </w:pPr>
      <w:r>
        <w:rPr>
          <w:sz w:val="20"/>
        </w:rPr>
      </w:r>
    </w:p>
    <w:p>
      <w:pPr>
        <w:pStyle w:val="Telotextu"/>
        <w:tabs>
          <w:tab w:val="clear" w:pos="720"/>
          <w:tab w:val="left" w:pos="9781" w:leader="none"/>
        </w:tabs>
        <w:spacing w:before="76" w:after="0"/>
        <w:ind w:right="101" w:hanging="0"/>
        <w:jc w:val="both"/>
        <w:rPr>
          <w:sz w:val="20"/>
        </w:rPr>
      </w:pPr>
      <w:r>
        <w:rPr>
          <w:sz w:val="20"/>
        </w:rPr>
      </w:r>
    </w:p>
    <w:p>
      <w:pPr>
        <w:pStyle w:val="Telotextu"/>
        <w:tabs>
          <w:tab w:val="clear" w:pos="720"/>
          <w:tab w:val="left" w:pos="9781" w:leader="none"/>
        </w:tabs>
        <w:spacing w:before="76" w:after="0"/>
        <w:ind w:right="101" w:hanging="0"/>
        <w:jc w:val="both"/>
        <w:rPr>
          <w:sz w:val="20"/>
        </w:rPr>
      </w:pPr>
      <w:r>
        <w:rPr>
          <w:sz w:val="20"/>
        </w:rPr>
      </w:r>
    </w:p>
    <w:p>
      <w:pPr>
        <w:pStyle w:val="Telotextu"/>
        <w:tabs>
          <w:tab w:val="clear" w:pos="720"/>
          <w:tab w:val="left" w:pos="9781" w:leader="none"/>
        </w:tabs>
        <w:spacing w:before="76" w:after="0"/>
        <w:ind w:right="101" w:hanging="0"/>
        <w:jc w:val="both"/>
        <w:rPr>
          <w:sz w:val="20"/>
        </w:rPr>
      </w:pPr>
      <w:r>
        <w:rPr>
          <w:sz w:val="20"/>
        </w:rPr>
      </w:r>
    </w:p>
    <w:p>
      <w:pPr>
        <w:pStyle w:val="Telotextu"/>
        <w:tabs>
          <w:tab w:val="clear" w:pos="720"/>
          <w:tab w:val="left" w:pos="9781" w:leader="none"/>
        </w:tabs>
        <w:spacing w:before="76" w:after="0"/>
        <w:ind w:right="101" w:hanging="0"/>
        <w:jc w:val="both"/>
        <w:rPr>
          <w:sz w:val="20"/>
        </w:rPr>
      </w:pPr>
      <w:r>
        <w:rPr/>
        <w:t>Príloha č. 4 k opatreniu 4455/2003-92</w:t>
      </w:r>
    </w:p>
    <w:p>
      <w:pPr>
        <w:pStyle w:val="Telotextu"/>
        <w:tabs>
          <w:tab w:val="clear" w:pos="720"/>
          <w:tab w:val="left" w:pos="9781" w:leader="none"/>
        </w:tabs>
        <w:spacing w:before="10" w:after="0"/>
        <w:jc w:val="both"/>
        <w:rPr>
          <w:sz w:val="21"/>
        </w:rPr>
      </w:pPr>
      <w:r>
        <w:rPr>
          <w:sz w:val="21"/>
        </w:rPr>
      </w:r>
    </w:p>
    <w:p>
      <w:pPr>
        <w:pStyle w:val="Nadpis1"/>
        <w:tabs>
          <w:tab w:val="clear" w:pos="720"/>
          <w:tab w:val="left" w:pos="9781" w:leader="none"/>
        </w:tabs>
        <w:ind w:left="2022" w:right="2454" w:hanging="0"/>
        <w:jc w:val="both"/>
        <w:rPr>
          <w:sz w:val="20"/>
        </w:rPr>
      </w:pPr>
      <w:r>
        <w:rPr/>
        <w:t>Zoznam preberaných právne záväzných aktov Európskej únie</w:t>
      </w:r>
    </w:p>
    <w:p>
      <w:pPr>
        <w:pStyle w:val="Telotextu"/>
        <w:tabs>
          <w:tab w:val="clear" w:pos="720"/>
          <w:tab w:val="left" w:pos="9781" w:leader="none"/>
        </w:tabs>
        <w:spacing w:before="10" w:after="0"/>
        <w:jc w:val="both"/>
        <w:rPr>
          <w:b/>
          <w:b/>
          <w:sz w:val="20"/>
        </w:rPr>
      </w:pPr>
      <w:r>
        <w:rPr>
          <w:b/>
          <w:sz w:val="20"/>
        </w:rPr>
      </w:r>
    </w:p>
    <w:p>
      <w:pPr>
        <w:pStyle w:val="ListParagraph"/>
        <w:numPr>
          <w:ilvl w:val="0"/>
          <w:numId w:val="1"/>
        </w:numPr>
        <w:tabs>
          <w:tab w:val="clear" w:pos="720"/>
          <w:tab w:val="left" w:pos="423" w:leader="none"/>
          <w:tab w:val="left" w:pos="9781" w:leader="none"/>
        </w:tabs>
        <w:ind w:left="422" w:right="571" w:hanging="284"/>
        <w:jc w:val="both"/>
        <w:rPr>
          <w:sz w:val="20"/>
        </w:rPr>
      </w:pPr>
      <w:r>
        <w:rPr/>
        <w:t>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w:t>
      </w:r>
      <w:r>
        <w:rPr>
          <w:spacing w:val="-19"/>
        </w:rPr>
        <w:t xml:space="preserve"> </w:t>
      </w:r>
      <w:r>
        <w:rPr/>
        <w:t>26.6.2009).</w:t>
      </w:r>
    </w:p>
    <w:p>
      <w:pPr>
        <w:pStyle w:val="Telotextu"/>
        <w:tabs>
          <w:tab w:val="clear" w:pos="720"/>
          <w:tab w:val="left" w:pos="9781" w:leader="none"/>
        </w:tabs>
        <w:spacing w:before="2" w:after="0"/>
        <w:jc w:val="both"/>
        <w:rPr>
          <w:sz w:val="21"/>
        </w:rPr>
      </w:pPr>
      <w:r>
        <w:rPr>
          <w:sz w:val="21"/>
        </w:rPr>
      </w:r>
    </w:p>
    <w:p>
      <w:pPr>
        <w:pStyle w:val="ListParagraph"/>
        <w:numPr>
          <w:ilvl w:val="0"/>
          <w:numId w:val="1"/>
        </w:numPr>
        <w:tabs>
          <w:tab w:val="clear" w:pos="720"/>
          <w:tab w:val="left" w:pos="423" w:leader="none"/>
          <w:tab w:val="left" w:pos="9781" w:leader="none"/>
        </w:tabs>
        <w:ind w:left="422" w:right="573" w:hanging="284"/>
        <w:jc w:val="both"/>
        <w:rPr>
          <w:sz w:val="20"/>
        </w:rPr>
      </w:pPr>
      <w:r>
        <w:rPr/>
        <w:t>Smernica Komisie 2006/111/ES zo 16. novembra 2006 o transparentnosti finančných vzťahov členských štátov a verejných podnikov a o finančnej transparentnosti v niektorých podnikoch (kodifikované znenie) (Ú. v. EÚ L 318,</w:t>
      </w:r>
      <w:r>
        <w:rPr>
          <w:spacing w:val="-2"/>
        </w:rPr>
        <w:t xml:space="preserve"> </w:t>
      </w:r>
      <w:r>
        <w:rPr/>
        <w:t>17.11.2006).</w:t>
      </w:r>
    </w:p>
    <w:p>
      <w:pPr>
        <w:pStyle w:val="Telotextu"/>
        <w:tabs>
          <w:tab w:val="clear" w:pos="720"/>
          <w:tab w:val="left" w:pos="9781" w:leader="none"/>
        </w:tabs>
        <w:spacing w:before="9" w:after="0"/>
        <w:jc w:val="both"/>
        <w:rPr>
          <w:sz w:val="20"/>
        </w:rPr>
      </w:pPr>
      <w:r>
        <w:rPr>
          <w:sz w:val="20"/>
        </w:rPr>
      </w:r>
    </w:p>
    <w:p>
      <w:pPr>
        <w:pStyle w:val="ListParagraph"/>
        <w:numPr>
          <w:ilvl w:val="0"/>
          <w:numId w:val="1"/>
        </w:numPr>
        <w:tabs>
          <w:tab w:val="clear" w:pos="720"/>
          <w:tab w:val="left" w:pos="423" w:leader="none"/>
          <w:tab w:val="left" w:pos="9781" w:leader="none"/>
        </w:tabs>
        <w:ind w:left="422" w:right="569" w:hanging="284"/>
        <w:jc w:val="both"/>
        <w:rPr>
          <w:sz w:val="20"/>
        </w:rPr>
      </w:pPr>
      <w:r>
        <w:rP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w:t>
      </w:r>
      <w:r>
        <w:rPr>
          <w:spacing w:val="-2"/>
        </w:rPr>
        <w:t xml:space="preserve">EÚ,  </w:t>
      </w:r>
      <w:r>
        <w:rPr/>
        <w:t>17/zv. 1), smernice Európskeho parlamentu        a Rady 2006/46/ES zo 14. júna 2006 (Ú. v. EÚ L 224, 16.8.2006) a smernice Európskeho parlamentu a Rady 2009/49/ES z 18. júna 2009 (Ú. v. EÚ L 164,</w:t>
      </w:r>
      <w:r>
        <w:rPr>
          <w:spacing w:val="-9"/>
        </w:rPr>
        <w:t xml:space="preserve"> </w:t>
      </w:r>
      <w:r>
        <w:rPr/>
        <w:t>26.6.2009).</w:t>
      </w:r>
    </w:p>
    <w:p>
      <w:pPr>
        <w:pStyle w:val="Telotextu"/>
        <w:tabs>
          <w:tab w:val="clear" w:pos="720"/>
          <w:tab w:val="left" w:pos="9781" w:leader="none"/>
        </w:tabs>
        <w:jc w:val="both"/>
        <w:rPr>
          <w:sz w:val="21"/>
        </w:rPr>
      </w:pPr>
      <w:r>
        <w:rPr>
          <w:sz w:val="21"/>
        </w:rPr>
      </w:r>
    </w:p>
    <w:p>
      <w:pPr>
        <w:pStyle w:val="ListParagraph"/>
        <w:numPr>
          <w:ilvl w:val="0"/>
          <w:numId w:val="1"/>
        </w:numPr>
        <w:tabs>
          <w:tab w:val="clear" w:pos="720"/>
          <w:tab w:val="left" w:pos="423" w:leader="none"/>
          <w:tab w:val="left" w:pos="9781" w:leader="none"/>
        </w:tabs>
        <w:ind w:left="422" w:right="572" w:hanging="284"/>
        <w:jc w:val="both"/>
        <w:rPr>
          <w:sz w:val="20"/>
        </w:rPr>
      </w:pPr>
      <w:r>
        <w:rPr/>
        <w:t>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w:t>
      </w:r>
      <w:r>
        <w:rPr>
          <w:spacing w:val="-2"/>
        </w:rPr>
        <w:t xml:space="preserve"> </w:t>
      </w:r>
      <w:r>
        <w:rPr/>
        <w:t>29.6.2013).</w:t>
      </w:r>
    </w:p>
    <w:p>
      <w:pPr>
        <w:pStyle w:val="ListParagraph"/>
        <w:rPr>
          <w:sz w:val="20"/>
        </w:rPr>
      </w:pPr>
      <w:r>
        <w:rPr>
          <w:sz w:val="20"/>
        </w:rPr>
      </w:r>
    </w:p>
    <w:p>
      <w:pPr>
        <w:pStyle w:val="Normal"/>
        <w:tabs>
          <w:tab w:val="clear" w:pos="720"/>
          <w:tab w:val="left" w:pos="423" w:leader="none"/>
          <w:tab w:val="left" w:pos="9781" w:leader="none"/>
        </w:tabs>
        <w:ind w:right="572" w:hanging="0"/>
        <w:jc w:val="both"/>
        <w:rPr>
          <w:sz w:val="20"/>
        </w:rPr>
      </w:pPr>
      <w:r>
        <w:rPr>
          <w:sz w:val="20"/>
        </w:rPr>
      </w:r>
    </w:p>
    <w:p>
      <w:pPr>
        <w:pStyle w:val="Normal"/>
        <w:tabs>
          <w:tab w:val="clear" w:pos="720"/>
          <w:tab w:val="left" w:pos="423" w:leader="none"/>
          <w:tab w:val="left" w:pos="9781" w:leader="none"/>
        </w:tabs>
        <w:ind w:right="572" w:hanging="0"/>
        <w:jc w:val="both"/>
        <w:rPr>
          <w:sz w:val="20"/>
        </w:rPr>
      </w:pPr>
      <w:r>
        <w:rPr>
          <w:sz w:val="20"/>
        </w:rPr>
      </w:r>
    </w:p>
    <w:p>
      <w:pPr>
        <w:pStyle w:val="Normal"/>
        <w:tabs>
          <w:tab w:val="clear" w:pos="720"/>
          <w:tab w:val="left" w:pos="423" w:leader="none"/>
          <w:tab w:val="left" w:pos="9781" w:leader="none"/>
        </w:tabs>
        <w:ind w:right="572" w:hanging="0"/>
        <w:jc w:val="both"/>
        <w:rPr>
          <w:sz w:val="20"/>
        </w:rPr>
      </w:pPr>
      <w:r>
        <w:rPr>
          <w:sz w:val="20"/>
        </w:rPr>
      </w:r>
    </w:p>
    <w:p>
      <w:pPr>
        <w:pStyle w:val="Normal"/>
        <w:tabs>
          <w:tab w:val="clear" w:pos="720"/>
          <w:tab w:val="left" w:pos="423" w:leader="none"/>
          <w:tab w:val="left" w:pos="9781" w:leader="none"/>
        </w:tabs>
        <w:ind w:right="572" w:hanging="0"/>
        <w:jc w:val="both"/>
        <w:rPr>
          <w:sz w:val="20"/>
        </w:rPr>
      </w:pPr>
      <w:r>
        <w:rPr>
          <w:sz w:val="20"/>
        </w:rPr>
      </w:r>
    </w:p>
    <w:p>
      <w:pPr>
        <w:pStyle w:val="Normal"/>
        <w:tabs>
          <w:tab w:val="clear" w:pos="720"/>
          <w:tab w:val="left" w:pos="9781" w:leader="none"/>
        </w:tabs>
        <w:spacing w:before="76" w:after="0"/>
        <w:ind w:left="138" w:right="575" w:hanging="0"/>
        <w:jc w:val="both"/>
        <w:rPr>
          <w:sz w:val="20"/>
        </w:rPr>
      </w:pPr>
      <w:r>
        <w:rPr>
          <w:sz w:val="20"/>
        </w:rPr>
      </w:r>
    </w:p>
    <w:p>
      <w:pPr>
        <w:pStyle w:val="Normal"/>
        <w:tabs>
          <w:tab w:val="clear" w:pos="720"/>
          <w:tab w:val="left" w:pos="9214" w:leader="none"/>
        </w:tabs>
        <w:spacing w:before="76" w:after="0"/>
        <w:ind w:left="138" w:right="575" w:hanging="0"/>
        <w:jc w:val="both"/>
        <w:rPr>
          <w:sz w:val="18"/>
          <w:szCs w:val="18"/>
        </w:rPr>
      </w:pPr>
      <w:r>
        <mc:AlternateContent>
          <mc:Choice Requires="wps">
            <w:drawing>
              <wp:anchor behindDoc="0" distT="0" distB="0" distL="0" distR="0" simplePos="0" locked="0" layoutInCell="0" allowOverlap="1" relativeHeight="55">
                <wp:simplePos x="0" y="0"/>
                <wp:positionH relativeFrom="column">
                  <wp:posOffset>48260</wp:posOffset>
                </wp:positionH>
                <wp:positionV relativeFrom="paragraph">
                  <wp:posOffset>27305</wp:posOffset>
                </wp:positionV>
                <wp:extent cx="6166485" cy="2540"/>
                <wp:effectExtent l="0" t="0" r="0" b="0"/>
                <wp:wrapNone/>
                <wp:docPr id="14" name="Obrázok6"/>
                <a:graphic xmlns:a="http://schemas.openxmlformats.org/drawingml/2006/main">
                  <a:graphicData uri="http://schemas.microsoft.com/office/word/2010/wordprocessingShape">
                    <wps:wsp>
                      <wps:cNvSpPr/>
                      <wps:spPr>
                        <a:xfrm>
                          <a:off x="0" y="0"/>
                          <a:ext cx="6165720" cy="1800"/>
                        </a:xfrm>
                        <a:custGeom>
                          <a:avLst/>
                          <a:gdLst/>
                          <a:ahLst/>
                          <a:rect l="l" t="t" r="r" b="b"/>
                          <a:pathLst>
                            <a:path w="21600" h="21600">
                              <a:moveTo>
                                <a:pt x="0" y="0"/>
                              </a:moveTo>
                              <a:lnTo>
                                <a:pt x="21600" y="21600"/>
                              </a:lnTo>
                            </a:path>
                          </a:pathLst>
                        </a:custGeom>
                        <a:noFill/>
                        <a:ln w="0">
                          <a:solidFill>
                            <a:srgbClr val="7f7f7f"/>
                          </a:solidFill>
                        </a:ln>
                      </wps:spPr>
                      <wps:style>
                        <a:lnRef idx="0"/>
                        <a:fillRef idx="0"/>
                        <a:effectRef idx="0"/>
                        <a:fontRef idx="minor"/>
                      </wps:style>
                      <wps:bodyPr/>
                    </wps:wsp>
                  </a:graphicData>
                </a:graphic>
              </wp:anchor>
            </w:drawing>
          </mc:Choice>
          <mc:Fallback>
            <w:pict/>
          </mc:Fallback>
        </mc:AlternateContent>
      </w:r>
      <w:r>
        <w:rPr>
          <w:position w:val="5"/>
          <w:sz w:val="18"/>
          <w:szCs w:val="18"/>
        </w:rPr>
        <w:t xml:space="preserve">1ca) </w:t>
      </w:r>
      <w:r>
        <w:rPr>
          <w:sz w:val="18"/>
          <w:szCs w:val="18"/>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w:t>
      </w:r>
      <w:r>
        <w:rPr>
          <w:spacing w:val="-8"/>
          <w:sz w:val="18"/>
          <w:szCs w:val="18"/>
        </w:rPr>
        <w:t xml:space="preserve"> </w:t>
      </w:r>
      <w:r>
        <w:rPr>
          <w:sz w:val="18"/>
          <w:szCs w:val="18"/>
        </w:rPr>
        <w:t>znení.</w:t>
      </w:r>
    </w:p>
    <w:sectPr>
      <w:headerReference w:type="default" r:id="rId4"/>
      <w:footerReference w:type="default" r:id="rId5"/>
      <w:type w:val="nextPage"/>
      <w:pgSz w:w="11906" w:h="16850"/>
      <w:pgMar w:left="1280" w:right="840" w:header="0" w:top="1340" w:footer="897" w:bottom="1080"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Arial Narrow">
    <w:charset w:val="ee"/>
    <w:family w:val="roman"/>
    <w:pitch w:val="variable"/>
  </w:font>
  <w:font w:name="Liberation Sans">
    <w:altName w:val="Arial"/>
    <w:charset w:val="ee"/>
    <w:family w:val="roman"/>
    <w:pitch w:val="variable"/>
  </w:font>
  <w:font w:name="Arial">
    <w:charset w:val="ee"/>
    <w:family w:val="roman"/>
    <w:pitch w:val="variable"/>
  </w:font>
  <w:font w:name="Times New Roman">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Telotextu"/>
      <w:spacing w:lineRule="auto" w:line="7"/>
      <w:rPr>
        <w:sz w:val="20"/>
      </w:rPr>
    </w:pPr>
    <w:r>
      <w:rPr>
        <w:sz w:val="20"/>
      </w:rPr>
      <mc:AlternateContent>
        <mc:Choice Requires="wps">
          <w:drawing>
            <wp:anchor behindDoc="1" distT="0" distB="0" distL="0" distR="0" simplePos="0" locked="0" layoutInCell="0" allowOverlap="1" relativeHeight="20">
              <wp:simplePos x="0" y="0"/>
              <wp:positionH relativeFrom="page">
                <wp:posOffset>6496685</wp:posOffset>
              </wp:positionH>
              <wp:positionV relativeFrom="page">
                <wp:posOffset>9984740</wp:posOffset>
              </wp:positionV>
              <wp:extent cx="205740" cy="187960"/>
              <wp:effectExtent l="0" t="0" r="0" b="0"/>
              <wp:wrapNone/>
              <wp:docPr id="2" name="Obrázok2"/>
              <a:graphic xmlns:a="http://schemas.openxmlformats.org/drawingml/2006/main">
                <a:graphicData uri="http://schemas.microsoft.com/office/word/2010/wordprocessingShape">
                  <wps:wsp>
                    <wps:cNvSpPr/>
                    <wps:spPr>
                      <a:xfrm>
                        <a:off x="0" y="0"/>
                        <a:ext cx="205200" cy="187200"/>
                      </a:xfrm>
                      <a:prstGeom prst="rect">
                        <a:avLst/>
                      </a:prstGeom>
                      <a:noFill/>
                      <a:ln w="0">
                        <a:noFill/>
                      </a:ln>
                    </wps:spPr>
                    <wps:style>
                      <a:lnRef idx="0"/>
                      <a:fillRef idx="0"/>
                      <a:effectRef idx="0"/>
                      <a:fontRef idx="minor"/>
                    </wps:style>
                    <wps:txbx>
                      <w:txbxContent>
                        <w:p>
                          <w:pPr>
                            <w:pStyle w:val="Telotextu"/>
                            <w:spacing w:before="20" w:after="0"/>
                            <w:ind w:left="60" w:hanging="0"/>
                            <w:rPr>
                              <w:color w:val="000000"/>
                            </w:rPr>
                          </w:pPr>
                          <w:r>
                            <w:rPr>
                              <w:color w:val="000000"/>
                            </w:rPr>
                          </w:r>
                        </w:p>
                      </w:txbxContent>
                    </wps:txbx>
                    <wps:bodyPr lIns="0" rIns="0" tIns="0" bIns="0">
                      <a:noAutofit/>
                    </wps:bodyPr>
                  </wps:wsp>
                </a:graphicData>
              </a:graphic>
            </wp:anchor>
          </w:drawing>
        </mc:Choice>
        <mc:Fallback>
          <w:pict>
            <v:rect id="shape_0" ID="Obrázok2" path="m0,0l-2147483645,0l-2147483645,-2147483646l0,-2147483646xe" stroked="f" style="position:absolute;margin-left:511.55pt;margin-top:786.2pt;width:16.1pt;height:14.7pt;mso-wrap-style:none;v-text-anchor:middle;mso-position-horizontal-relative:page;mso-position-vertical-relative:page">
              <v:fill o:detectmouseclick="t" on="false"/>
              <v:stroke color="#3465a4" joinstyle="round" endcap="flat"/>
              <v:textbox>
                <w:txbxContent>
                  <w:p>
                    <w:pPr>
                      <w:pStyle w:val="Telotextu"/>
                      <w:spacing w:before="20" w:after="0"/>
                      <w:ind w:left="60" w:hanging="0"/>
                      <w:rPr>
                        <w:color w:val="000000"/>
                      </w:rPr>
                    </w:pPr>
                    <w:r>
                      <w:rPr>
                        <w:color w:val="000000"/>
                      </w:rPr>
                    </w:r>
                  </w:p>
                </w:txbxContent>
              </v:textbox>
              <w10:wrap type="none"/>
            </v:rect>
          </w:pict>
        </mc:Fallback>
      </mc:AlternateConten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Telotextu"/>
      <w:spacing w:lineRule="auto" w:line="7"/>
      <w:rPr>
        <w:sz w:val="20"/>
      </w:rPr>
    </w:pPr>
    <w:r>
      <w:rPr>
        <w:sz w:val="20"/>
      </w:rPr>
      <mc:AlternateContent>
        <mc:Choice Requires="wps">
          <w:drawing>
            <wp:anchor behindDoc="1" distT="0" distB="0" distL="0" distR="0" simplePos="0" locked="0" layoutInCell="0" allowOverlap="1" relativeHeight="49">
              <wp:simplePos x="0" y="0"/>
              <wp:positionH relativeFrom="page">
                <wp:posOffset>6496685</wp:posOffset>
              </wp:positionH>
              <wp:positionV relativeFrom="page">
                <wp:posOffset>9984740</wp:posOffset>
              </wp:positionV>
              <wp:extent cx="205740" cy="187960"/>
              <wp:effectExtent l="0" t="0" r="0" b="0"/>
              <wp:wrapNone/>
              <wp:docPr id="12" name="Obrázok5"/>
              <a:graphic xmlns:a="http://schemas.openxmlformats.org/drawingml/2006/main">
                <a:graphicData uri="http://schemas.microsoft.com/office/word/2010/wordprocessingShape">
                  <wps:wsp>
                    <wps:cNvSpPr/>
                    <wps:spPr>
                      <a:xfrm>
                        <a:off x="0" y="0"/>
                        <a:ext cx="205200" cy="187200"/>
                      </a:xfrm>
                      <a:prstGeom prst="rect">
                        <a:avLst/>
                      </a:prstGeom>
                      <a:noFill/>
                      <a:ln w="0">
                        <a:noFill/>
                      </a:ln>
                    </wps:spPr>
                    <wps:style>
                      <a:lnRef idx="0"/>
                      <a:fillRef idx="0"/>
                      <a:effectRef idx="0"/>
                      <a:fontRef idx="minor"/>
                    </wps:style>
                    <wps:txbx>
                      <w:txbxContent>
                        <w:p>
                          <w:pPr>
                            <w:pStyle w:val="Telotextu"/>
                            <w:spacing w:before="20" w:after="0"/>
                            <w:ind w:left="60" w:hanging="0"/>
                            <w:rPr>
                              <w:color w:val="000000"/>
                            </w:rPr>
                          </w:pPr>
                          <w:r>
                            <w:rPr>
                              <w:color w:val="000000"/>
                            </w:rPr>
                          </w:r>
                        </w:p>
                      </w:txbxContent>
                    </wps:txbx>
                    <wps:bodyPr lIns="0" rIns="0" tIns="0" bIns="0">
                      <a:noAutofit/>
                    </wps:bodyPr>
                  </wps:wsp>
                </a:graphicData>
              </a:graphic>
            </wp:anchor>
          </w:drawing>
        </mc:Choice>
        <mc:Fallback>
          <w:pict>
            <v:rect id="shape_0" ID="Obrázok5" path="m0,0l-2147483645,0l-2147483645,-2147483646l0,-2147483646xe" stroked="f" style="position:absolute;margin-left:511.55pt;margin-top:786.2pt;width:16.1pt;height:14.7pt;mso-wrap-style:none;v-text-anchor:middle;mso-position-horizontal-relative:page;mso-position-vertical-relative:page">
              <v:fill o:detectmouseclick="t" on="false"/>
              <v:stroke color="#3465a4" joinstyle="round" endcap="flat"/>
              <v:textbox>
                <w:txbxContent>
                  <w:p>
                    <w:pPr>
                      <w:pStyle w:val="Telotextu"/>
                      <w:spacing w:before="20" w:after="0"/>
                      <w:ind w:left="60" w:hanging="0"/>
                      <w:rPr>
                        <w:color w:val="000000"/>
                      </w:rPr>
                    </w:pPr>
                    <w:r>
                      <w:rPr>
                        <w:color w:val="000000"/>
                      </w:rPr>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710065212"/>
    </w:sdtPr>
    <w:sdtContent>
      <w:p>
        <w:pPr>
          <w:pStyle w:val="Pta"/>
          <w:rPr/>
        </w:pPr>
        <w:r>
          <mc:AlternateContent>
            <mc:Choice Requires="wps">
              <w:drawing>
                <wp:anchor behindDoc="1" distT="0" distB="0" distL="0" distR="0" simplePos="0" locked="0" layoutInCell="0" allowOverlap="1" relativeHeight="28">
                  <wp:simplePos x="0" y="0"/>
                  <wp:positionH relativeFrom="column">
                    <wp:posOffset>33020</wp:posOffset>
                  </wp:positionH>
                  <wp:positionV relativeFrom="paragraph">
                    <wp:posOffset>635</wp:posOffset>
                  </wp:positionV>
                  <wp:extent cx="6174105" cy="2540"/>
                  <wp:effectExtent l="0" t="0" r="0" b="0"/>
                  <wp:wrapNone/>
                  <wp:docPr id="15" name="Obrázok7"/>
                  <a:graphic xmlns:a="http://schemas.openxmlformats.org/drawingml/2006/main">
                    <a:graphicData uri="http://schemas.microsoft.com/office/word/2010/wordprocessingShape">
                      <wps:wsp>
                        <wps:cNvSpPr/>
                        <wps:spPr>
                          <a:xfrm>
                            <a:off x="0" y="0"/>
                            <a:ext cx="6173640" cy="1800"/>
                          </a:xfrm>
                          <a:custGeom>
                            <a:avLst/>
                            <a:gdLst/>
                            <a:ahLst/>
                            <a:rect l="l" t="t" r="r" b="b"/>
                            <a:pathLst>
                              <a:path w="21600" h="21600">
                                <a:moveTo>
                                  <a:pt x="0" y="0"/>
                                </a:moveTo>
                                <a:lnTo>
                                  <a:pt x="21600" y="21600"/>
                                </a:lnTo>
                              </a:path>
                            </a:pathLst>
                          </a:custGeom>
                          <a:noFill/>
                          <a:ln w="0">
                            <a:solidFill>
                              <a:srgbClr val="808080"/>
                            </a:solidFill>
                          </a:ln>
                        </wps:spPr>
                        <wps:style>
                          <a:lnRef idx="0"/>
                          <a:fillRef idx="0"/>
                          <a:effectRef idx="0"/>
                          <a:fontRef idx="minor"/>
                        </wps:style>
                        <wps:bodyPr/>
                      </wps:wsp>
                    </a:graphicData>
                  </a:graphic>
                </wp:anchor>
              </w:drawing>
            </mc:Choice>
            <mc:Fallback>
              <w:pict/>
            </mc:Fallback>
          </mc:AlternateContent>
        </w:r>
        <w:r>
          <w:rPr/>
          <w:t>* vyberte z uvedených variant</w:t>
          <w:tab/>
          <w:tab/>
        </w:r>
        <w:r>
          <w:rPr/>
          <w:fldChar w:fldCharType="begin"/>
        </w:r>
        <w:r>
          <w:rPr/>
          <w:instrText> PAGE </w:instrText>
        </w:r>
        <w:r>
          <w:rPr/>
          <w:fldChar w:fldCharType="separate"/>
        </w:r>
        <w:r>
          <w:rPr/>
          <w:t>24</w:t>
        </w:r>
        <w:r>
          <w:rPr/>
          <w:fldChar w:fldCharType="end"/>
        </w:r>
      </w:p>
      <w:p>
        <w:pPr>
          <w:pStyle w:val="Pta"/>
          <w:rPr/>
        </w:pPr>
        <w:r>
          <w:rPr/>
        </w:r>
      </w:p>
    </w:sdtContent>
  </w:sdt>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Zhlavie"/>
      <w:jc w:val="right"/>
      <w:rPr>
        <w:b/>
        <w:b/>
        <w:bCs/>
      </w:rPr>
    </w:pPr>
    <w:r>
      <w:rPr>
        <w:b/>
        <w:bCs/>
      </w:rPr>
      <w:t xml:space="preserve">Príloha č. 3 k opatreniu 4455/2003-92 </w:t>
    </w:r>
  </w:p>
  <w:p>
    <w:pPr>
      <w:pStyle w:val="Zhlavie"/>
      <w:jc w:val="right"/>
      <w:rPr/>
    </w:pPr>
    <w:r>
      <w:rPr>
        <w:b/>
        <w:bCs/>
      </w:rPr>
      <w:t>doplnená o povinnosti a obmedzenia registrovaného sociálneho podniku podľa osobitného predpisu, ktorým je  Zákon 112/2018 o sociálnej ekonomike a sociálnych podnikoch a o zmene a doplnení niektorých zákonov</w:t>
    </w:r>
  </w:p>
  <w:p>
    <w:pPr>
      <w:pStyle w:val="Zhlavie"/>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422" w:hanging="284"/>
      </w:pPr>
      <w:rPr>
        <w:sz w:val="22"/>
        <w:szCs w:val="22"/>
        <w:w w:val="100"/>
        <w:rFonts w:ascii="Arial Narrow" w:hAnsi="Arial Narrow" w:eastAsia="Arial Narrow" w:cs="Arial Narrow"/>
        <w:lang w:val="sk-SK" w:eastAsia="en-US" w:bidi="ar-SA"/>
      </w:rPr>
    </w:lvl>
    <w:lvl w:ilvl="1">
      <w:start w:val="0"/>
      <w:numFmt w:val="bullet"/>
      <w:lvlText w:val=""/>
      <w:lvlJc w:val="left"/>
      <w:pPr>
        <w:tabs>
          <w:tab w:val="num" w:pos="0"/>
        </w:tabs>
        <w:ind w:left="1356" w:hanging="284"/>
      </w:pPr>
      <w:rPr>
        <w:rFonts w:ascii="Symbol" w:hAnsi="Symbol" w:cs="Symbol" w:hint="default"/>
      </w:rPr>
    </w:lvl>
    <w:lvl w:ilvl="2">
      <w:start w:val="0"/>
      <w:numFmt w:val="bullet"/>
      <w:lvlText w:val=""/>
      <w:lvlJc w:val="left"/>
      <w:pPr>
        <w:tabs>
          <w:tab w:val="num" w:pos="0"/>
        </w:tabs>
        <w:ind w:left="2293" w:hanging="284"/>
      </w:pPr>
      <w:rPr>
        <w:rFonts w:ascii="Symbol" w:hAnsi="Symbol" w:cs="Symbol" w:hint="default"/>
      </w:rPr>
    </w:lvl>
    <w:lvl w:ilvl="3">
      <w:start w:val="0"/>
      <w:numFmt w:val="bullet"/>
      <w:lvlText w:val=""/>
      <w:lvlJc w:val="left"/>
      <w:pPr>
        <w:tabs>
          <w:tab w:val="num" w:pos="0"/>
        </w:tabs>
        <w:ind w:left="3229" w:hanging="284"/>
      </w:pPr>
      <w:rPr>
        <w:rFonts w:ascii="Symbol" w:hAnsi="Symbol" w:cs="Symbol" w:hint="default"/>
      </w:rPr>
    </w:lvl>
    <w:lvl w:ilvl="4">
      <w:start w:val="0"/>
      <w:numFmt w:val="bullet"/>
      <w:lvlText w:val=""/>
      <w:lvlJc w:val="left"/>
      <w:pPr>
        <w:tabs>
          <w:tab w:val="num" w:pos="0"/>
        </w:tabs>
        <w:ind w:left="4166" w:hanging="284"/>
      </w:pPr>
      <w:rPr>
        <w:rFonts w:ascii="Symbol" w:hAnsi="Symbol" w:cs="Symbol" w:hint="default"/>
      </w:rPr>
    </w:lvl>
    <w:lvl w:ilvl="5">
      <w:start w:val="0"/>
      <w:numFmt w:val="bullet"/>
      <w:lvlText w:val=""/>
      <w:lvlJc w:val="left"/>
      <w:pPr>
        <w:tabs>
          <w:tab w:val="num" w:pos="0"/>
        </w:tabs>
        <w:ind w:left="5103" w:hanging="284"/>
      </w:pPr>
      <w:rPr>
        <w:rFonts w:ascii="Symbol" w:hAnsi="Symbol" w:cs="Symbol" w:hint="default"/>
      </w:rPr>
    </w:lvl>
    <w:lvl w:ilvl="6">
      <w:start w:val="0"/>
      <w:numFmt w:val="bullet"/>
      <w:lvlText w:val=""/>
      <w:lvlJc w:val="left"/>
      <w:pPr>
        <w:tabs>
          <w:tab w:val="num" w:pos="0"/>
        </w:tabs>
        <w:ind w:left="6039" w:hanging="284"/>
      </w:pPr>
      <w:rPr>
        <w:rFonts w:ascii="Symbol" w:hAnsi="Symbol" w:cs="Symbol" w:hint="default"/>
      </w:rPr>
    </w:lvl>
    <w:lvl w:ilvl="7">
      <w:start w:val="0"/>
      <w:numFmt w:val="bullet"/>
      <w:lvlText w:val=""/>
      <w:lvlJc w:val="left"/>
      <w:pPr>
        <w:tabs>
          <w:tab w:val="num" w:pos="0"/>
        </w:tabs>
        <w:ind w:left="6976" w:hanging="284"/>
      </w:pPr>
      <w:rPr>
        <w:rFonts w:ascii="Symbol" w:hAnsi="Symbol" w:cs="Symbol" w:hint="default"/>
      </w:rPr>
    </w:lvl>
    <w:lvl w:ilvl="8">
      <w:start w:val="0"/>
      <w:numFmt w:val="bullet"/>
      <w:lvlText w:val=""/>
      <w:lvlJc w:val="left"/>
      <w:pPr>
        <w:tabs>
          <w:tab w:val="num" w:pos="0"/>
        </w:tabs>
        <w:ind w:left="7913" w:hanging="284"/>
      </w:pPr>
      <w:rPr>
        <w:rFonts w:ascii="Symbol" w:hAnsi="Symbol" w:cs="Symbol" w:hint="default"/>
      </w:rPr>
    </w:lvl>
  </w:abstractNum>
  <w:abstractNum w:abstractNumId="2">
    <w:lvl w:ilvl="0">
      <w:start w:val="1"/>
      <w:numFmt w:val="decimal"/>
      <w:lvlText w:val="%1"/>
      <w:lvlJc w:val="left"/>
      <w:pPr>
        <w:tabs>
          <w:tab w:val="num" w:pos="0"/>
        </w:tabs>
        <w:ind w:left="422" w:hanging="284"/>
      </w:pPr>
      <w:rPr>
        <w:sz w:val="24"/>
        <w:i/>
        <w:szCs w:val="24"/>
        <w:w w:val="100"/>
        <w:rFonts w:ascii="Times New Roman" w:hAnsi="Times New Roman" w:eastAsia="Times New Roman" w:cs="Times New Roman"/>
        <w:lang w:val="sk-SK" w:eastAsia="en-US" w:bidi="ar-SA"/>
      </w:rPr>
    </w:lvl>
    <w:lvl w:ilvl="1">
      <w:start w:val="1"/>
      <w:numFmt w:val="lowerLetter"/>
      <w:lvlText w:val="%2."/>
      <w:lvlJc w:val="left"/>
      <w:pPr>
        <w:tabs>
          <w:tab w:val="num" w:pos="0"/>
        </w:tabs>
        <w:ind w:left="1578" w:hanging="360"/>
      </w:pPr>
      <w:rPr>
        <w:sz w:val="22"/>
        <w:szCs w:val="22"/>
        <w:w w:val="100"/>
        <w:rFonts w:ascii="Arial Narrow" w:hAnsi="Arial Narrow" w:eastAsia="Arial Narrow" w:cs="Arial Narrow"/>
        <w:lang w:val="sk-SK" w:eastAsia="en-US" w:bidi="ar-SA"/>
      </w:rPr>
    </w:lvl>
    <w:lvl w:ilvl="2">
      <w:start w:val="0"/>
      <w:numFmt w:val="bullet"/>
      <w:lvlText w:val=""/>
      <w:lvlJc w:val="left"/>
      <w:pPr>
        <w:tabs>
          <w:tab w:val="num" w:pos="0"/>
        </w:tabs>
        <w:ind w:left="2491" w:hanging="360"/>
      </w:pPr>
      <w:rPr>
        <w:rFonts w:ascii="Symbol" w:hAnsi="Symbol" w:cs="Symbol" w:hint="default"/>
      </w:rPr>
    </w:lvl>
    <w:lvl w:ilvl="3">
      <w:start w:val="0"/>
      <w:numFmt w:val="bullet"/>
      <w:lvlText w:val=""/>
      <w:lvlJc w:val="left"/>
      <w:pPr>
        <w:tabs>
          <w:tab w:val="num" w:pos="0"/>
        </w:tabs>
        <w:ind w:left="3403" w:hanging="360"/>
      </w:pPr>
      <w:rPr>
        <w:rFonts w:ascii="Symbol" w:hAnsi="Symbol" w:cs="Symbol" w:hint="default"/>
      </w:rPr>
    </w:lvl>
    <w:lvl w:ilvl="4">
      <w:start w:val="0"/>
      <w:numFmt w:val="bullet"/>
      <w:lvlText w:val=""/>
      <w:lvlJc w:val="left"/>
      <w:pPr>
        <w:tabs>
          <w:tab w:val="num" w:pos="0"/>
        </w:tabs>
        <w:ind w:left="4315" w:hanging="360"/>
      </w:pPr>
      <w:rPr>
        <w:rFonts w:ascii="Symbol" w:hAnsi="Symbol" w:cs="Symbol" w:hint="default"/>
      </w:rPr>
    </w:lvl>
    <w:lvl w:ilvl="5">
      <w:start w:val="0"/>
      <w:numFmt w:val="bullet"/>
      <w:lvlText w:val=""/>
      <w:lvlJc w:val="left"/>
      <w:pPr>
        <w:tabs>
          <w:tab w:val="num" w:pos="0"/>
        </w:tabs>
        <w:ind w:left="5227" w:hanging="360"/>
      </w:pPr>
      <w:rPr>
        <w:rFonts w:ascii="Symbol" w:hAnsi="Symbol" w:cs="Symbol" w:hint="default"/>
      </w:rPr>
    </w:lvl>
    <w:lvl w:ilvl="6">
      <w:start w:val="0"/>
      <w:numFmt w:val="bullet"/>
      <w:lvlText w:val=""/>
      <w:lvlJc w:val="left"/>
      <w:pPr>
        <w:tabs>
          <w:tab w:val="num" w:pos="0"/>
        </w:tabs>
        <w:ind w:left="6139" w:hanging="360"/>
      </w:pPr>
      <w:rPr>
        <w:rFonts w:ascii="Symbol" w:hAnsi="Symbol" w:cs="Symbol" w:hint="default"/>
      </w:rPr>
    </w:lvl>
    <w:lvl w:ilvl="7">
      <w:start w:val="0"/>
      <w:numFmt w:val="bullet"/>
      <w:lvlText w:val=""/>
      <w:lvlJc w:val="left"/>
      <w:pPr>
        <w:tabs>
          <w:tab w:val="num" w:pos="0"/>
        </w:tabs>
        <w:ind w:left="7050" w:hanging="360"/>
      </w:pPr>
      <w:rPr>
        <w:rFonts w:ascii="Symbol" w:hAnsi="Symbol" w:cs="Symbol" w:hint="default"/>
      </w:rPr>
    </w:lvl>
    <w:lvl w:ilvl="8">
      <w:start w:val="0"/>
      <w:numFmt w:val="bullet"/>
      <w:lvlText w:val=""/>
      <w:lvlJc w:val="left"/>
      <w:pPr>
        <w:tabs>
          <w:tab w:val="num" w:pos="0"/>
        </w:tabs>
        <w:ind w:left="7962" w:hanging="360"/>
      </w:pPr>
      <w:rPr>
        <w:rFonts w:ascii="Symbol" w:hAnsi="Symbol" w:cs="Symbol" w:hint="default"/>
      </w:rPr>
    </w:lvl>
  </w:abstractNum>
  <w:abstractNum w:abstractNumId="3">
    <w:lvl w:ilvl="0">
      <w:start w:val="3"/>
      <w:numFmt w:val="upperLetter"/>
      <w:lvlText w:val="%1."/>
      <w:lvlJc w:val="left"/>
      <w:pPr>
        <w:tabs>
          <w:tab w:val="num" w:pos="0"/>
        </w:tabs>
        <w:ind w:left="2265" w:hanging="1421"/>
      </w:pPr>
      <w:rPr>
        <w:spacing w:val="-2"/>
        <w:i/>
        <w:b/>
        <w:bCs/>
        <w:w w:val="100"/>
        <w:lang w:val="sk-SK" w:eastAsia="en-US" w:bidi="ar-SA"/>
      </w:rPr>
    </w:lvl>
    <w:lvl w:ilvl="1">
      <w:start w:val="0"/>
      <w:numFmt w:val="bullet"/>
      <w:lvlText w:val=""/>
      <w:lvlJc w:val="left"/>
      <w:pPr>
        <w:tabs>
          <w:tab w:val="num" w:pos="0"/>
        </w:tabs>
        <w:ind w:left="3012" w:hanging="1421"/>
      </w:pPr>
      <w:rPr>
        <w:rFonts w:ascii="Symbol" w:hAnsi="Symbol" w:cs="Symbol" w:hint="default"/>
      </w:rPr>
    </w:lvl>
    <w:lvl w:ilvl="2">
      <w:start w:val="0"/>
      <w:numFmt w:val="bullet"/>
      <w:lvlText w:val=""/>
      <w:lvlJc w:val="left"/>
      <w:pPr>
        <w:tabs>
          <w:tab w:val="num" w:pos="0"/>
        </w:tabs>
        <w:ind w:left="3765" w:hanging="1421"/>
      </w:pPr>
      <w:rPr>
        <w:rFonts w:ascii="Symbol" w:hAnsi="Symbol" w:cs="Symbol" w:hint="default"/>
      </w:rPr>
    </w:lvl>
    <w:lvl w:ilvl="3">
      <w:start w:val="0"/>
      <w:numFmt w:val="bullet"/>
      <w:lvlText w:val=""/>
      <w:lvlJc w:val="left"/>
      <w:pPr>
        <w:tabs>
          <w:tab w:val="num" w:pos="0"/>
        </w:tabs>
        <w:ind w:left="4517" w:hanging="1421"/>
      </w:pPr>
      <w:rPr>
        <w:rFonts w:ascii="Symbol" w:hAnsi="Symbol" w:cs="Symbol" w:hint="default"/>
      </w:rPr>
    </w:lvl>
    <w:lvl w:ilvl="4">
      <w:start w:val="0"/>
      <w:numFmt w:val="bullet"/>
      <w:lvlText w:val=""/>
      <w:lvlJc w:val="left"/>
      <w:pPr>
        <w:tabs>
          <w:tab w:val="num" w:pos="0"/>
        </w:tabs>
        <w:ind w:left="5270" w:hanging="1421"/>
      </w:pPr>
      <w:rPr>
        <w:rFonts w:ascii="Symbol" w:hAnsi="Symbol" w:cs="Symbol" w:hint="default"/>
      </w:rPr>
    </w:lvl>
    <w:lvl w:ilvl="5">
      <w:start w:val="0"/>
      <w:numFmt w:val="bullet"/>
      <w:lvlText w:val=""/>
      <w:lvlJc w:val="left"/>
      <w:pPr>
        <w:tabs>
          <w:tab w:val="num" w:pos="0"/>
        </w:tabs>
        <w:ind w:left="6023" w:hanging="1421"/>
      </w:pPr>
      <w:rPr>
        <w:rFonts w:ascii="Symbol" w:hAnsi="Symbol" w:cs="Symbol" w:hint="default"/>
      </w:rPr>
    </w:lvl>
    <w:lvl w:ilvl="6">
      <w:start w:val="0"/>
      <w:numFmt w:val="bullet"/>
      <w:lvlText w:val=""/>
      <w:lvlJc w:val="left"/>
      <w:pPr>
        <w:tabs>
          <w:tab w:val="num" w:pos="0"/>
        </w:tabs>
        <w:ind w:left="6775" w:hanging="1421"/>
      </w:pPr>
      <w:rPr>
        <w:rFonts w:ascii="Symbol" w:hAnsi="Symbol" w:cs="Symbol" w:hint="default"/>
      </w:rPr>
    </w:lvl>
    <w:lvl w:ilvl="7">
      <w:start w:val="0"/>
      <w:numFmt w:val="bullet"/>
      <w:lvlText w:val=""/>
      <w:lvlJc w:val="left"/>
      <w:pPr>
        <w:tabs>
          <w:tab w:val="num" w:pos="0"/>
        </w:tabs>
        <w:ind w:left="7528" w:hanging="1421"/>
      </w:pPr>
      <w:rPr>
        <w:rFonts w:ascii="Symbol" w:hAnsi="Symbol" w:cs="Symbol" w:hint="default"/>
      </w:rPr>
    </w:lvl>
    <w:lvl w:ilvl="8">
      <w:start w:val="0"/>
      <w:numFmt w:val="bullet"/>
      <w:lvlText w:val=""/>
      <w:lvlJc w:val="left"/>
      <w:pPr>
        <w:tabs>
          <w:tab w:val="num" w:pos="0"/>
        </w:tabs>
        <w:ind w:left="8281" w:hanging="1421"/>
      </w:pPr>
      <w:rPr>
        <w:rFonts w:ascii="Symbol" w:hAnsi="Symbol" w:cs="Symbol" w:hint="default"/>
      </w:rPr>
    </w:lvl>
  </w:abstractNum>
  <w:abstractNum w:abstractNumId="4">
    <w:lvl w:ilvl="0">
      <w:start w:val="1"/>
      <w:numFmt w:val="upperLetter"/>
      <w:lvlText w:val="%1."/>
      <w:lvlJc w:val="left"/>
      <w:pPr>
        <w:tabs>
          <w:tab w:val="num" w:pos="0"/>
        </w:tabs>
        <w:ind w:left="2262" w:hanging="221"/>
      </w:pPr>
      <w:rPr>
        <w:sz w:val="22"/>
        <w:spacing w:val="-1"/>
        <w:szCs w:val="22"/>
        <w:w w:val="100"/>
        <w:rFonts w:ascii="Arial Narrow" w:hAnsi="Arial Narrow" w:eastAsia="Arial Narrow" w:cs="Arial Narrow"/>
        <w:lang w:val="sk-SK" w:eastAsia="en-US" w:bidi="ar-SA"/>
      </w:rPr>
    </w:lvl>
    <w:lvl w:ilvl="1">
      <w:start w:val="0"/>
      <w:numFmt w:val="bullet"/>
      <w:lvlText w:val=""/>
      <w:lvlJc w:val="left"/>
      <w:pPr>
        <w:tabs>
          <w:tab w:val="num" w:pos="0"/>
        </w:tabs>
        <w:ind w:left="3012" w:hanging="221"/>
      </w:pPr>
      <w:rPr>
        <w:rFonts w:ascii="Symbol" w:hAnsi="Symbol" w:cs="Symbol" w:hint="default"/>
      </w:rPr>
    </w:lvl>
    <w:lvl w:ilvl="2">
      <w:start w:val="0"/>
      <w:numFmt w:val="bullet"/>
      <w:lvlText w:val=""/>
      <w:lvlJc w:val="left"/>
      <w:pPr>
        <w:tabs>
          <w:tab w:val="num" w:pos="0"/>
        </w:tabs>
        <w:ind w:left="3765" w:hanging="221"/>
      </w:pPr>
      <w:rPr>
        <w:rFonts w:ascii="Symbol" w:hAnsi="Symbol" w:cs="Symbol" w:hint="default"/>
      </w:rPr>
    </w:lvl>
    <w:lvl w:ilvl="3">
      <w:start w:val="0"/>
      <w:numFmt w:val="bullet"/>
      <w:lvlText w:val=""/>
      <w:lvlJc w:val="left"/>
      <w:pPr>
        <w:tabs>
          <w:tab w:val="num" w:pos="0"/>
        </w:tabs>
        <w:ind w:left="4517" w:hanging="221"/>
      </w:pPr>
      <w:rPr>
        <w:rFonts w:ascii="Symbol" w:hAnsi="Symbol" w:cs="Symbol" w:hint="default"/>
      </w:rPr>
    </w:lvl>
    <w:lvl w:ilvl="4">
      <w:start w:val="0"/>
      <w:numFmt w:val="bullet"/>
      <w:lvlText w:val=""/>
      <w:lvlJc w:val="left"/>
      <w:pPr>
        <w:tabs>
          <w:tab w:val="num" w:pos="0"/>
        </w:tabs>
        <w:ind w:left="5270" w:hanging="221"/>
      </w:pPr>
      <w:rPr>
        <w:rFonts w:ascii="Symbol" w:hAnsi="Symbol" w:cs="Symbol" w:hint="default"/>
      </w:rPr>
    </w:lvl>
    <w:lvl w:ilvl="5">
      <w:start w:val="0"/>
      <w:numFmt w:val="bullet"/>
      <w:lvlText w:val=""/>
      <w:lvlJc w:val="left"/>
      <w:pPr>
        <w:tabs>
          <w:tab w:val="num" w:pos="0"/>
        </w:tabs>
        <w:ind w:left="6023" w:hanging="221"/>
      </w:pPr>
      <w:rPr>
        <w:rFonts w:ascii="Symbol" w:hAnsi="Symbol" w:cs="Symbol" w:hint="default"/>
      </w:rPr>
    </w:lvl>
    <w:lvl w:ilvl="6">
      <w:start w:val="0"/>
      <w:numFmt w:val="bullet"/>
      <w:lvlText w:val=""/>
      <w:lvlJc w:val="left"/>
      <w:pPr>
        <w:tabs>
          <w:tab w:val="num" w:pos="0"/>
        </w:tabs>
        <w:ind w:left="6775" w:hanging="221"/>
      </w:pPr>
      <w:rPr>
        <w:rFonts w:ascii="Symbol" w:hAnsi="Symbol" w:cs="Symbol" w:hint="default"/>
      </w:rPr>
    </w:lvl>
    <w:lvl w:ilvl="7">
      <w:start w:val="0"/>
      <w:numFmt w:val="bullet"/>
      <w:lvlText w:val=""/>
      <w:lvlJc w:val="left"/>
      <w:pPr>
        <w:tabs>
          <w:tab w:val="num" w:pos="0"/>
        </w:tabs>
        <w:ind w:left="7528" w:hanging="221"/>
      </w:pPr>
      <w:rPr>
        <w:rFonts w:ascii="Symbol" w:hAnsi="Symbol" w:cs="Symbol" w:hint="default"/>
      </w:rPr>
    </w:lvl>
    <w:lvl w:ilvl="8">
      <w:start w:val="0"/>
      <w:numFmt w:val="bullet"/>
      <w:lvlText w:val=""/>
      <w:lvlJc w:val="left"/>
      <w:pPr>
        <w:tabs>
          <w:tab w:val="num" w:pos="0"/>
        </w:tabs>
        <w:ind w:left="8281" w:hanging="221"/>
      </w:pPr>
      <w:rPr>
        <w:rFonts w:ascii="Symbol" w:hAnsi="Symbol" w:cs="Symbol" w:hint="default"/>
      </w:rPr>
    </w:lvl>
  </w:abstractNum>
  <w:abstractNum w:abstractNumId="5">
    <w:lvl w:ilvl="0">
      <w:start w:val="3"/>
      <w:numFmt w:val="upperLetter"/>
      <w:lvlText w:val="%1."/>
      <w:lvlJc w:val="left"/>
      <w:pPr>
        <w:tabs>
          <w:tab w:val="num" w:pos="0"/>
        </w:tabs>
        <w:ind w:left="2262" w:hanging="1416"/>
      </w:pPr>
      <w:rPr>
        <w:spacing w:val="-2"/>
        <w:i/>
        <w:b/>
        <w:bCs/>
        <w:w w:val="100"/>
        <w:lang w:val="sk-SK" w:eastAsia="en-US" w:bidi="ar-SA"/>
      </w:rPr>
    </w:lvl>
    <w:lvl w:ilvl="1">
      <w:start w:val="0"/>
      <w:numFmt w:val="bullet"/>
      <w:lvlText w:val=""/>
      <w:lvlJc w:val="left"/>
      <w:pPr>
        <w:tabs>
          <w:tab w:val="num" w:pos="0"/>
        </w:tabs>
        <w:ind w:left="3012" w:hanging="1416"/>
      </w:pPr>
      <w:rPr>
        <w:rFonts w:ascii="Symbol" w:hAnsi="Symbol" w:cs="Symbol" w:hint="default"/>
      </w:rPr>
    </w:lvl>
    <w:lvl w:ilvl="2">
      <w:start w:val="0"/>
      <w:numFmt w:val="bullet"/>
      <w:lvlText w:val=""/>
      <w:lvlJc w:val="left"/>
      <w:pPr>
        <w:tabs>
          <w:tab w:val="num" w:pos="0"/>
        </w:tabs>
        <w:ind w:left="3765" w:hanging="1416"/>
      </w:pPr>
      <w:rPr>
        <w:rFonts w:ascii="Symbol" w:hAnsi="Symbol" w:cs="Symbol" w:hint="default"/>
      </w:rPr>
    </w:lvl>
    <w:lvl w:ilvl="3">
      <w:start w:val="0"/>
      <w:numFmt w:val="bullet"/>
      <w:lvlText w:val=""/>
      <w:lvlJc w:val="left"/>
      <w:pPr>
        <w:tabs>
          <w:tab w:val="num" w:pos="0"/>
        </w:tabs>
        <w:ind w:left="4517" w:hanging="1416"/>
      </w:pPr>
      <w:rPr>
        <w:rFonts w:ascii="Symbol" w:hAnsi="Symbol" w:cs="Symbol" w:hint="default"/>
      </w:rPr>
    </w:lvl>
    <w:lvl w:ilvl="4">
      <w:start w:val="0"/>
      <w:numFmt w:val="bullet"/>
      <w:lvlText w:val=""/>
      <w:lvlJc w:val="left"/>
      <w:pPr>
        <w:tabs>
          <w:tab w:val="num" w:pos="0"/>
        </w:tabs>
        <w:ind w:left="5270" w:hanging="1416"/>
      </w:pPr>
      <w:rPr>
        <w:rFonts w:ascii="Symbol" w:hAnsi="Symbol" w:cs="Symbol" w:hint="default"/>
      </w:rPr>
    </w:lvl>
    <w:lvl w:ilvl="5">
      <w:start w:val="0"/>
      <w:numFmt w:val="bullet"/>
      <w:lvlText w:val=""/>
      <w:lvlJc w:val="left"/>
      <w:pPr>
        <w:tabs>
          <w:tab w:val="num" w:pos="0"/>
        </w:tabs>
        <w:ind w:left="6023" w:hanging="1416"/>
      </w:pPr>
      <w:rPr>
        <w:rFonts w:ascii="Symbol" w:hAnsi="Symbol" w:cs="Symbol" w:hint="default"/>
      </w:rPr>
    </w:lvl>
    <w:lvl w:ilvl="6">
      <w:start w:val="0"/>
      <w:numFmt w:val="bullet"/>
      <w:lvlText w:val=""/>
      <w:lvlJc w:val="left"/>
      <w:pPr>
        <w:tabs>
          <w:tab w:val="num" w:pos="0"/>
        </w:tabs>
        <w:ind w:left="6775" w:hanging="1416"/>
      </w:pPr>
      <w:rPr>
        <w:rFonts w:ascii="Symbol" w:hAnsi="Symbol" w:cs="Symbol" w:hint="default"/>
      </w:rPr>
    </w:lvl>
    <w:lvl w:ilvl="7">
      <w:start w:val="0"/>
      <w:numFmt w:val="bullet"/>
      <w:lvlText w:val=""/>
      <w:lvlJc w:val="left"/>
      <w:pPr>
        <w:tabs>
          <w:tab w:val="num" w:pos="0"/>
        </w:tabs>
        <w:ind w:left="7528" w:hanging="1416"/>
      </w:pPr>
      <w:rPr>
        <w:rFonts w:ascii="Symbol" w:hAnsi="Symbol" w:cs="Symbol" w:hint="default"/>
      </w:rPr>
    </w:lvl>
    <w:lvl w:ilvl="8">
      <w:start w:val="0"/>
      <w:numFmt w:val="bullet"/>
      <w:lvlText w:val=""/>
      <w:lvlJc w:val="left"/>
      <w:pPr>
        <w:tabs>
          <w:tab w:val="num" w:pos="0"/>
        </w:tabs>
        <w:ind w:left="8281" w:hanging="1416"/>
      </w:pPr>
      <w:rPr>
        <w:rFonts w:ascii="Symbol" w:hAnsi="Symbol" w:cs="Symbol" w:hint="default"/>
      </w:rPr>
    </w:lvl>
  </w:abstractNum>
  <w:abstractNum w:abstractNumId="6">
    <w:lvl w:ilvl="0">
      <w:start w:val="1"/>
      <w:numFmt w:val="upperLetter"/>
      <w:lvlText w:val="%1."/>
      <w:lvlJc w:val="left"/>
      <w:pPr>
        <w:tabs>
          <w:tab w:val="num" w:pos="0"/>
        </w:tabs>
        <w:ind w:left="2234" w:hanging="1388"/>
      </w:pPr>
      <w:rPr>
        <w:spacing w:val="-2"/>
        <w:i/>
        <w:b/>
        <w:bCs/>
        <w:w w:val="100"/>
        <w:lang w:val="sk-SK" w:eastAsia="en-US" w:bidi="ar-SA"/>
      </w:rPr>
    </w:lvl>
    <w:lvl w:ilvl="1">
      <w:start w:val="0"/>
      <w:numFmt w:val="bullet"/>
      <w:lvlText w:val=""/>
      <w:lvlJc w:val="left"/>
      <w:pPr>
        <w:tabs>
          <w:tab w:val="num" w:pos="0"/>
        </w:tabs>
        <w:ind w:left="2994" w:hanging="1388"/>
      </w:pPr>
      <w:rPr>
        <w:rFonts w:ascii="Symbol" w:hAnsi="Symbol" w:cs="Symbol" w:hint="default"/>
      </w:rPr>
    </w:lvl>
    <w:lvl w:ilvl="2">
      <w:start w:val="0"/>
      <w:numFmt w:val="bullet"/>
      <w:lvlText w:val=""/>
      <w:lvlJc w:val="left"/>
      <w:pPr>
        <w:tabs>
          <w:tab w:val="num" w:pos="0"/>
        </w:tabs>
        <w:ind w:left="3749" w:hanging="1388"/>
      </w:pPr>
      <w:rPr>
        <w:rFonts w:ascii="Symbol" w:hAnsi="Symbol" w:cs="Symbol" w:hint="default"/>
      </w:rPr>
    </w:lvl>
    <w:lvl w:ilvl="3">
      <w:start w:val="0"/>
      <w:numFmt w:val="bullet"/>
      <w:lvlText w:val=""/>
      <w:lvlJc w:val="left"/>
      <w:pPr>
        <w:tabs>
          <w:tab w:val="num" w:pos="0"/>
        </w:tabs>
        <w:ind w:left="4503" w:hanging="1388"/>
      </w:pPr>
      <w:rPr>
        <w:rFonts w:ascii="Symbol" w:hAnsi="Symbol" w:cs="Symbol" w:hint="default"/>
      </w:rPr>
    </w:lvl>
    <w:lvl w:ilvl="4">
      <w:start w:val="0"/>
      <w:numFmt w:val="bullet"/>
      <w:lvlText w:val=""/>
      <w:lvlJc w:val="left"/>
      <w:pPr>
        <w:tabs>
          <w:tab w:val="num" w:pos="0"/>
        </w:tabs>
        <w:ind w:left="5258" w:hanging="1388"/>
      </w:pPr>
      <w:rPr>
        <w:rFonts w:ascii="Symbol" w:hAnsi="Symbol" w:cs="Symbol" w:hint="default"/>
      </w:rPr>
    </w:lvl>
    <w:lvl w:ilvl="5">
      <w:start w:val="0"/>
      <w:numFmt w:val="bullet"/>
      <w:lvlText w:val=""/>
      <w:lvlJc w:val="left"/>
      <w:pPr>
        <w:tabs>
          <w:tab w:val="num" w:pos="0"/>
        </w:tabs>
        <w:ind w:left="6013" w:hanging="1388"/>
      </w:pPr>
      <w:rPr>
        <w:rFonts w:ascii="Symbol" w:hAnsi="Symbol" w:cs="Symbol" w:hint="default"/>
      </w:rPr>
    </w:lvl>
    <w:lvl w:ilvl="6">
      <w:start w:val="0"/>
      <w:numFmt w:val="bullet"/>
      <w:lvlText w:val=""/>
      <w:lvlJc w:val="left"/>
      <w:pPr>
        <w:tabs>
          <w:tab w:val="num" w:pos="0"/>
        </w:tabs>
        <w:ind w:left="6767" w:hanging="1388"/>
      </w:pPr>
      <w:rPr>
        <w:rFonts w:ascii="Symbol" w:hAnsi="Symbol" w:cs="Symbol" w:hint="default"/>
      </w:rPr>
    </w:lvl>
    <w:lvl w:ilvl="7">
      <w:start w:val="0"/>
      <w:numFmt w:val="bullet"/>
      <w:lvlText w:val=""/>
      <w:lvlJc w:val="left"/>
      <w:pPr>
        <w:tabs>
          <w:tab w:val="num" w:pos="0"/>
        </w:tabs>
        <w:ind w:left="7522" w:hanging="1388"/>
      </w:pPr>
      <w:rPr>
        <w:rFonts w:ascii="Symbol" w:hAnsi="Symbol" w:cs="Symbol" w:hint="default"/>
      </w:rPr>
    </w:lvl>
    <w:lvl w:ilvl="8">
      <w:start w:val="0"/>
      <w:numFmt w:val="bullet"/>
      <w:lvlText w:val=""/>
      <w:lvlJc w:val="left"/>
      <w:pPr>
        <w:tabs>
          <w:tab w:val="num" w:pos="0"/>
        </w:tabs>
        <w:ind w:left="8277" w:hanging="1388"/>
      </w:pPr>
      <w:rPr>
        <w:rFonts w:ascii="Symbol" w:hAnsi="Symbol" w:cs="Symbol" w:hint="default"/>
      </w:rPr>
    </w:lvl>
  </w:abstractNum>
  <w:abstractNum w:abstractNumId="7">
    <w:lvl w:ilvl="0">
      <w:start w:val="18"/>
      <w:numFmt w:val="upperLetter"/>
      <w:lvlText w:val="%1."/>
      <w:lvlJc w:val="left"/>
      <w:pPr>
        <w:tabs>
          <w:tab w:val="num" w:pos="0"/>
        </w:tabs>
        <w:ind w:left="438" w:hanging="300"/>
      </w:pPr>
      <w:rPr>
        <w:sz w:val="22"/>
        <w:spacing w:val="-2"/>
        <w:b/>
        <w:szCs w:val="22"/>
        <w:bCs/>
        <w:w w:val="100"/>
        <w:rFonts w:ascii="Arial Narrow" w:hAnsi="Arial Narrow" w:eastAsia="Arial Narrow" w:cs="Arial Narrow"/>
        <w:lang w:val="sk-SK" w:eastAsia="en-US" w:bidi="ar-SA"/>
      </w:rPr>
    </w:lvl>
    <w:lvl w:ilvl="1">
      <w:start w:val="1"/>
      <w:numFmt w:val="lowerLetter"/>
      <w:lvlText w:val="%2)"/>
      <w:lvlJc w:val="left"/>
      <w:pPr>
        <w:tabs>
          <w:tab w:val="num" w:pos="0"/>
        </w:tabs>
        <w:ind w:left="1038" w:hanging="360"/>
      </w:pPr>
      <w:rPr>
        <w:w w:val="100"/>
        <w:lang w:val="sk-SK" w:eastAsia="en-US" w:bidi="ar-SA"/>
      </w:rPr>
    </w:lvl>
    <w:lvl w:ilvl="2">
      <w:start w:val="1"/>
      <w:numFmt w:val="decimal"/>
      <w:lvlText w:val="%3."/>
      <w:lvlJc w:val="left"/>
      <w:pPr>
        <w:tabs>
          <w:tab w:val="num" w:pos="0"/>
        </w:tabs>
        <w:ind w:left="1936" w:hanging="360"/>
      </w:pPr>
      <w:rPr>
        <w:sz w:val="22"/>
        <w:szCs w:val="22"/>
        <w:w w:val="100"/>
        <w:rFonts w:ascii="Arial Narrow" w:hAnsi="Arial Narrow" w:eastAsia="Arial Narrow" w:cs="Arial Narrow"/>
        <w:lang w:val="sk-SK" w:eastAsia="en-US" w:bidi="ar-SA"/>
      </w:rPr>
    </w:lvl>
    <w:lvl w:ilvl="3">
      <w:start w:val="0"/>
      <w:numFmt w:val="bullet"/>
      <w:lvlText w:val=""/>
      <w:lvlJc w:val="left"/>
      <w:pPr>
        <w:tabs>
          <w:tab w:val="num" w:pos="0"/>
        </w:tabs>
        <w:ind w:left="1840" w:hanging="360"/>
      </w:pPr>
      <w:rPr>
        <w:rFonts w:ascii="Symbol" w:hAnsi="Symbol" w:cs="Symbol" w:hint="default"/>
      </w:rPr>
    </w:lvl>
    <w:lvl w:ilvl="4">
      <w:start w:val="0"/>
      <w:numFmt w:val="bullet"/>
      <w:lvlText w:val=""/>
      <w:lvlJc w:val="left"/>
      <w:pPr>
        <w:tabs>
          <w:tab w:val="num" w:pos="0"/>
        </w:tabs>
        <w:ind w:left="1900" w:hanging="360"/>
      </w:pPr>
      <w:rPr>
        <w:rFonts w:ascii="Symbol" w:hAnsi="Symbol" w:cs="Symbol" w:hint="default"/>
      </w:rPr>
    </w:lvl>
    <w:lvl w:ilvl="5">
      <w:start w:val="0"/>
      <w:numFmt w:val="bullet"/>
      <w:lvlText w:val=""/>
      <w:lvlJc w:val="left"/>
      <w:pPr>
        <w:tabs>
          <w:tab w:val="num" w:pos="0"/>
        </w:tabs>
        <w:ind w:left="1940" w:hanging="360"/>
      </w:pPr>
      <w:rPr>
        <w:rFonts w:ascii="Symbol" w:hAnsi="Symbol" w:cs="Symbol" w:hint="default"/>
      </w:rPr>
    </w:lvl>
    <w:lvl w:ilvl="6">
      <w:start w:val="0"/>
      <w:numFmt w:val="bullet"/>
      <w:lvlText w:val=""/>
      <w:lvlJc w:val="left"/>
      <w:pPr>
        <w:tabs>
          <w:tab w:val="num" w:pos="0"/>
        </w:tabs>
        <w:ind w:left="3509" w:hanging="360"/>
      </w:pPr>
      <w:rPr>
        <w:rFonts w:ascii="Symbol" w:hAnsi="Symbol" w:cs="Symbol" w:hint="default"/>
      </w:rPr>
    </w:lvl>
    <w:lvl w:ilvl="7">
      <w:start w:val="0"/>
      <w:numFmt w:val="bullet"/>
      <w:lvlText w:val=""/>
      <w:lvlJc w:val="left"/>
      <w:pPr>
        <w:tabs>
          <w:tab w:val="num" w:pos="0"/>
        </w:tabs>
        <w:ind w:left="5078" w:hanging="360"/>
      </w:pPr>
      <w:rPr>
        <w:rFonts w:ascii="Symbol" w:hAnsi="Symbol" w:cs="Symbol" w:hint="default"/>
      </w:rPr>
    </w:lvl>
    <w:lvl w:ilvl="8">
      <w:start w:val="0"/>
      <w:numFmt w:val="bullet"/>
      <w:lvlText w:val=""/>
      <w:lvlJc w:val="left"/>
      <w:pPr>
        <w:tabs>
          <w:tab w:val="num" w:pos="0"/>
        </w:tabs>
        <w:ind w:left="6647" w:hanging="360"/>
      </w:pPr>
      <w:rPr>
        <w:rFonts w:ascii="Symbol" w:hAnsi="Symbol" w:cs="Symbol" w:hint="default"/>
      </w:rPr>
    </w:lvl>
  </w:abstractNum>
  <w:abstractNum w:abstractNumId="8">
    <w:lvl w:ilvl="0">
      <w:start w:val="1"/>
      <w:numFmt w:val="decimal"/>
      <w:lvlText w:val="%1."/>
      <w:lvlJc w:val="left"/>
      <w:pPr>
        <w:tabs>
          <w:tab w:val="num" w:pos="0"/>
        </w:tabs>
        <w:ind w:left="1936" w:hanging="358"/>
      </w:pPr>
      <w:rPr>
        <w:sz w:val="22"/>
        <w:szCs w:val="22"/>
        <w:w w:val="100"/>
        <w:rFonts w:ascii="Arial Narrow" w:hAnsi="Arial Narrow" w:eastAsia="Arial Narrow" w:cs="Arial Narrow"/>
        <w:lang w:val="sk-SK" w:eastAsia="en-US" w:bidi="ar-SA"/>
      </w:rPr>
    </w:lvl>
    <w:lvl w:ilvl="1">
      <w:start w:val="0"/>
      <w:numFmt w:val="bullet"/>
      <w:lvlText w:val=""/>
      <w:lvlJc w:val="left"/>
      <w:pPr>
        <w:tabs>
          <w:tab w:val="num" w:pos="0"/>
        </w:tabs>
        <w:ind w:left="2724" w:hanging="358"/>
      </w:pPr>
      <w:rPr>
        <w:rFonts w:ascii="Symbol" w:hAnsi="Symbol" w:cs="Symbol" w:hint="default"/>
      </w:rPr>
    </w:lvl>
    <w:lvl w:ilvl="2">
      <w:start w:val="0"/>
      <w:numFmt w:val="bullet"/>
      <w:lvlText w:val=""/>
      <w:lvlJc w:val="left"/>
      <w:pPr>
        <w:tabs>
          <w:tab w:val="num" w:pos="0"/>
        </w:tabs>
        <w:ind w:left="3509" w:hanging="358"/>
      </w:pPr>
      <w:rPr>
        <w:rFonts w:ascii="Symbol" w:hAnsi="Symbol" w:cs="Symbol" w:hint="default"/>
      </w:rPr>
    </w:lvl>
    <w:lvl w:ilvl="3">
      <w:start w:val="0"/>
      <w:numFmt w:val="bullet"/>
      <w:lvlText w:val=""/>
      <w:lvlJc w:val="left"/>
      <w:pPr>
        <w:tabs>
          <w:tab w:val="num" w:pos="0"/>
        </w:tabs>
        <w:ind w:left="4293" w:hanging="358"/>
      </w:pPr>
      <w:rPr>
        <w:rFonts w:ascii="Symbol" w:hAnsi="Symbol" w:cs="Symbol" w:hint="default"/>
      </w:rPr>
    </w:lvl>
    <w:lvl w:ilvl="4">
      <w:start w:val="0"/>
      <w:numFmt w:val="bullet"/>
      <w:lvlText w:val=""/>
      <w:lvlJc w:val="left"/>
      <w:pPr>
        <w:tabs>
          <w:tab w:val="num" w:pos="0"/>
        </w:tabs>
        <w:ind w:left="5078" w:hanging="358"/>
      </w:pPr>
      <w:rPr>
        <w:rFonts w:ascii="Symbol" w:hAnsi="Symbol" w:cs="Symbol" w:hint="default"/>
      </w:rPr>
    </w:lvl>
    <w:lvl w:ilvl="5">
      <w:start w:val="0"/>
      <w:numFmt w:val="bullet"/>
      <w:lvlText w:val=""/>
      <w:lvlJc w:val="left"/>
      <w:pPr>
        <w:tabs>
          <w:tab w:val="num" w:pos="0"/>
        </w:tabs>
        <w:ind w:left="5863" w:hanging="358"/>
      </w:pPr>
      <w:rPr>
        <w:rFonts w:ascii="Symbol" w:hAnsi="Symbol" w:cs="Symbol" w:hint="default"/>
      </w:rPr>
    </w:lvl>
    <w:lvl w:ilvl="6">
      <w:start w:val="0"/>
      <w:numFmt w:val="bullet"/>
      <w:lvlText w:val=""/>
      <w:lvlJc w:val="left"/>
      <w:pPr>
        <w:tabs>
          <w:tab w:val="num" w:pos="0"/>
        </w:tabs>
        <w:ind w:left="6647" w:hanging="358"/>
      </w:pPr>
      <w:rPr>
        <w:rFonts w:ascii="Symbol" w:hAnsi="Symbol" w:cs="Symbol" w:hint="default"/>
      </w:rPr>
    </w:lvl>
    <w:lvl w:ilvl="7">
      <w:start w:val="0"/>
      <w:numFmt w:val="bullet"/>
      <w:lvlText w:val=""/>
      <w:lvlJc w:val="left"/>
      <w:pPr>
        <w:tabs>
          <w:tab w:val="num" w:pos="0"/>
        </w:tabs>
        <w:ind w:left="7432" w:hanging="358"/>
      </w:pPr>
      <w:rPr>
        <w:rFonts w:ascii="Symbol" w:hAnsi="Symbol" w:cs="Symbol" w:hint="default"/>
      </w:rPr>
    </w:lvl>
    <w:lvl w:ilvl="8">
      <w:start w:val="0"/>
      <w:numFmt w:val="bullet"/>
      <w:lvlText w:val=""/>
      <w:lvlJc w:val="left"/>
      <w:pPr>
        <w:tabs>
          <w:tab w:val="num" w:pos="0"/>
        </w:tabs>
        <w:ind w:left="8217" w:hanging="358"/>
      </w:pPr>
      <w:rPr>
        <w:rFonts w:ascii="Symbol" w:hAnsi="Symbol" w:cs="Symbol" w:hint="default"/>
      </w:rPr>
    </w:lvl>
  </w:abstractNum>
  <w:abstractNum w:abstractNumId="9">
    <w:lvl w:ilvl="0">
      <w:start w:val="1"/>
      <w:numFmt w:val="upperLetter"/>
      <w:lvlText w:val="%1."/>
      <w:lvlJc w:val="left"/>
      <w:pPr>
        <w:tabs>
          <w:tab w:val="num" w:pos="0"/>
        </w:tabs>
        <w:ind w:left="438" w:hanging="288"/>
      </w:pPr>
      <w:rPr>
        <w:sz w:val="24"/>
        <w:spacing w:val="-2"/>
        <w:b/>
        <w:szCs w:val="24"/>
        <w:bCs/>
        <w:w w:val="94"/>
        <w:rFonts w:ascii="Arial Narrow" w:hAnsi="Arial Narrow" w:eastAsia="Arial Narrow" w:cs="Arial Narrow"/>
        <w:lang w:val="sk-SK" w:eastAsia="en-US" w:bidi="ar-SA"/>
      </w:rPr>
    </w:lvl>
    <w:lvl w:ilvl="1">
      <w:start w:val="1"/>
      <w:numFmt w:val="lowerLetter"/>
      <w:lvlText w:val="%2)"/>
      <w:lvlJc w:val="left"/>
      <w:pPr>
        <w:tabs>
          <w:tab w:val="num" w:pos="0"/>
        </w:tabs>
        <w:ind w:left="1103" w:hanging="286"/>
      </w:pPr>
      <w:rPr>
        <w:w w:val="100"/>
        <w:color w:val="auto"/>
        <w:lang w:val="sk-SK" w:eastAsia="en-US" w:bidi="ar-SA"/>
      </w:rPr>
    </w:lvl>
    <w:lvl w:ilvl="2">
      <w:start w:val="1"/>
      <w:numFmt w:val="decimal"/>
      <w:lvlText w:val="%3."/>
      <w:lvlJc w:val="left"/>
      <w:pPr>
        <w:tabs>
          <w:tab w:val="num" w:pos="0"/>
        </w:tabs>
        <w:ind w:left="1936" w:hanging="286"/>
      </w:pPr>
      <w:rPr>
        <w:sz w:val="22"/>
        <w:szCs w:val="22"/>
        <w:w w:val="100"/>
        <w:rFonts w:ascii="Arial Narrow" w:hAnsi="Arial Narrow" w:eastAsia="Arial Narrow" w:cs="Arial Narrow"/>
        <w:lang w:val="sk-SK" w:eastAsia="en-US" w:bidi="ar-SA"/>
      </w:rPr>
    </w:lvl>
    <w:lvl w:ilvl="3">
      <w:start w:val="0"/>
      <w:numFmt w:val="bullet"/>
      <w:lvlText w:val=""/>
      <w:lvlJc w:val="left"/>
      <w:pPr>
        <w:tabs>
          <w:tab w:val="num" w:pos="0"/>
        </w:tabs>
        <w:ind w:left="1920" w:hanging="286"/>
      </w:pPr>
      <w:rPr>
        <w:rFonts w:ascii="Symbol" w:hAnsi="Symbol" w:cs="Symbol" w:hint="default"/>
      </w:rPr>
    </w:lvl>
    <w:lvl w:ilvl="4">
      <w:start w:val="0"/>
      <w:numFmt w:val="bullet"/>
      <w:lvlText w:val=""/>
      <w:lvlJc w:val="left"/>
      <w:pPr>
        <w:tabs>
          <w:tab w:val="num" w:pos="0"/>
        </w:tabs>
        <w:ind w:left="1940" w:hanging="286"/>
      </w:pPr>
      <w:rPr>
        <w:rFonts w:ascii="Symbol" w:hAnsi="Symbol" w:cs="Symbol" w:hint="default"/>
      </w:rPr>
    </w:lvl>
    <w:lvl w:ilvl="5">
      <w:start w:val="0"/>
      <w:numFmt w:val="bullet"/>
      <w:lvlText w:val=""/>
      <w:lvlJc w:val="left"/>
      <w:pPr>
        <w:tabs>
          <w:tab w:val="num" w:pos="0"/>
        </w:tabs>
        <w:ind w:left="3247" w:hanging="286"/>
      </w:pPr>
      <w:rPr>
        <w:rFonts w:ascii="Symbol" w:hAnsi="Symbol" w:cs="Symbol" w:hint="default"/>
      </w:rPr>
    </w:lvl>
    <w:lvl w:ilvl="6">
      <w:start w:val="0"/>
      <w:numFmt w:val="bullet"/>
      <w:lvlText w:val=""/>
      <w:lvlJc w:val="left"/>
      <w:pPr>
        <w:tabs>
          <w:tab w:val="num" w:pos="0"/>
        </w:tabs>
        <w:ind w:left="4555" w:hanging="286"/>
      </w:pPr>
      <w:rPr>
        <w:rFonts w:ascii="Symbol" w:hAnsi="Symbol" w:cs="Symbol" w:hint="default"/>
      </w:rPr>
    </w:lvl>
    <w:lvl w:ilvl="7">
      <w:start w:val="0"/>
      <w:numFmt w:val="bullet"/>
      <w:lvlText w:val=""/>
      <w:lvlJc w:val="left"/>
      <w:pPr>
        <w:tabs>
          <w:tab w:val="num" w:pos="0"/>
        </w:tabs>
        <w:ind w:left="5863" w:hanging="286"/>
      </w:pPr>
      <w:rPr>
        <w:rFonts w:ascii="Symbol" w:hAnsi="Symbol" w:cs="Symbol" w:hint="default"/>
      </w:rPr>
    </w:lvl>
    <w:lvl w:ilvl="8">
      <w:start w:val="0"/>
      <w:numFmt w:val="bullet"/>
      <w:lvlText w:val=""/>
      <w:lvlJc w:val="left"/>
      <w:pPr>
        <w:tabs>
          <w:tab w:val="num" w:pos="0"/>
        </w:tabs>
        <w:ind w:left="7170" w:hanging="286"/>
      </w:pPr>
      <w:rPr>
        <w:rFonts w:ascii="Symbol" w:hAnsi="Symbol" w:cs="Symbol" w:hint="default"/>
      </w:rPr>
    </w:lvl>
  </w:abstractNum>
  <w:abstractNum w:abstractNumId="10">
    <w:lvl w:ilvl="0">
      <w:start w:val="1"/>
      <w:numFmt w:val="taiwaneseCountingThousand"/>
      <w:lvlText w:val=""/>
      <w:lvlJc w:val="left"/>
      <w:pPr>
        <w:tabs>
          <w:tab w:val="num" w:pos="0"/>
        </w:tabs>
        <w:ind w:left="438" w:hanging="288"/>
      </w:pPr>
      <w:rPr>
        <w:sz w:val="22"/>
        <w:spacing w:val="-2"/>
        <w:b/>
        <w:szCs w:val="22"/>
        <w:bCs/>
        <w:w w:val="94"/>
        <w:lang w:val="sk-SK" w:eastAsia="en-US" w:bidi="ar-SA"/>
      </w:rPr>
    </w:lvl>
    <w:lvl w:ilvl="1">
      <w:start w:val="1"/>
      <w:numFmt w:val="lowerLetter"/>
      <w:lvlText w:val="%2)"/>
      <w:lvlJc w:val="left"/>
      <w:pPr>
        <w:tabs>
          <w:tab w:val="num" w:pos="0"/>
        </w:tabs>
        <w:ind w:left="1103" w:hanging="286"/>
      </w:pPr>
      <w:rPr>
        <w:w w:val="100"/>
        <w:lang w:val="sk-SK" w:eastAsia="en-US" w:bidi="ar-SA"/>
      </w:rPr>
    </w:lvl>
    <w:lvl w:ilvl="2">
      <w:start w:val="1"/>
      <w:numFmt w:val="decimal"/>
      <w:lvlText w:val="%3."/>
      <w:lvlJc w:val="left"/>
      <w:pPr>
        <w:tabs>
          <w:tab w:val="num" w:pos="0"/>
        </w:tabs>
        <w:ind w:left="1936" w:hanging="286"/>
      </w:pPr>
      <w:rPr>
        <w:sz w:val="22"/>
        <w:szCs w:val="22"/>
        <w:w w:val="100"/>
        <w:rFonts w:ascii="Arial Narrow" w:hAnsi="Arial Narrow" w:eastAsia="Arial Narrow" w:cs="Arial Narrow"/>
        <w:lang w:val="sk-SK" w:eastAsia="en-US" w:bidi="ar-SA"/>
      </w:rPr>
    </w:lvl>
    <w:lvl w:ilvl="3">
      <w:start w:val="0"/>
      <w:numFmt w:val="bullet"/>
      <w:lvlText w:val=""/>
      <w:lvlJc w:val="left"/>
      <w:pPr>
        <w:tabs>
          <w:tab w:val="num" w:pos="0"/>
        </w:tabs>
        <w:ind w:left="1920" w:hanging="286"/>
      </w:pPr>
      <w:rPr>
        <w:rFonts w:ascii="Symbol" w:hAnsi="Symbol" w:cs="Symbol" w:hint="default"/>
      </w:rPr>
    </w:lvl>
    <w:lvl w:ilvl="4">
      <w:start w:val="0"/>
      <w:numFmt w:val="bullet"/>
      <w:lvlText w:val=""/>
      <w:lvlJc w:val="left"/>
      <w:pPr>
        <w:tabs>
          <w:tab w:val="num" w:pos="0"/>
        </w:tabs>
        <w:ind w:left="1940" w:hanging="286"/>
      </w:pPr>
      <w:rPr>
        <w:rFonts w:ascii="Symbol" w:hAnsi="Symbol" w:cs="Symbol" w:hint="default"/>
      </w:rPr>
    </w:lvl>
    <w:lvl w:ilvl="5">
      <w:start w:val="0"/>
      <w:numFmt w:val="bullet"/>
      <w:lvlText w:val=""/>
      <w:lvlJc w:val="left"/>
      <w:pPr>
        <w:tabs>
          <w:tab w:val="num" w:pos="0"/>
        </w:tabs>
        <w:ind w:left="3247" w:hanging="286"/>
      </w:pPr>
      <w:rPr>
        <w:rFonts w:ascii="Symbol" w:hAnsi="Symbol" w:cs="Symbol" w:hint="default"/>
      </w:rPr>
    </w:lvl>
    <w:lvl w:ilvl="6">
      <w:start w:val="0"/>
      <w:numFmt w:val="bullet"/>
      <w:lvlText w:val=""/>
      <w:lvlJc w:val="left"/>
      <w:pPr>
        <w:tabs>
          <w:tab w:val="num" w:pos="0"/>
        </w:tabs>
        <w:ind w:left="4555" w:hanging="286"/>
      </w:pPr>
      <w:rPr>
        <w:rFonts w:ascii="Symbol" w:hAnsi="Symbol" w:cs="Symbol" w:hint="default"/>
      </w:rPr>
    </w:lvl>
    <w:lvl w:ilvl="7">
      <w:start w:val="0"/>
      <w:numFmt w:val="bullet"/>
      <w:lvlText w:val=""/>
      <w:lvlJc w:val="left"/>
      <w:pPr>
        <w:tabs>
          <w:tab w:val="num" w:pos="0"/>
        </w:tabs>
        <w:ind w:left="5863" w:hanging="286"/>
      </w:pPr>
      <w:rPr>
        <w:rFonts w:ascii="Symbol" w:hAnsi="Symbol" w:cs="Symbol" w:hint="default"/>
      </w:rPr>
    </w:lvl>
    <w:lvl w:ilvl="8">
      <w:start w:val="0"/>
      <w:numFmt w:val="bullet"/>
      <w:lvlText w:val=""/>
      <w:lvlJc w:val="left"/>
      <w:pPr>
        <w:tabs>
          <w:tab w:val="num" w:pos="0"/>
        </w:tabs>
        <w:ind w:left="7170" w:hanging="286"/>
      </w:pPr>
      <w:rPr>
        <w:rFonts w:ascii="Symbol" w:hAnsi="Symbol" w:cs="Symbol" w:hint="default"/>
      </w:rPr>
    </w:lvl>
  </w:abstractNum>
  <w:abstractNum w:abstractNumId="11">
    <w:lvl w:ilvl="0">
      <w:start w:val="1"/>
      <w:numFmt w:val="bullet"/>
      <w:lvlText w:val=""/>
      <w:lvlJc w:val="left"/>
      <w:pPr>
        <w:tabs>
          <w:tab w:val="num" w:pos="0"/>
        </w:tabs>
        <w:ind w:left="1004" w:hanging="360"/>
      </w:pPr>
      <w:rPr>
        <w:rFonts w:ascii="Symbol" w:hAnsi="Symbol" w:cs="Symbol" w:hint="default"/>
      </w:rPr>
    </w:lvl>
    <w:lvl w:ilvl="1">
      <w:start w:val="1"/>
      <w:numFmt w:val="bullet"/>
      <w:lvlText w:val="o"/>
      <w:lvlJc w:val="left"/>
      <w:pPr>
        <w:tabs>
          <w:tab w:val="num" w:pos="0"/>
        </w:tabs>
        <w:ind w:left="1724" w:hanging="360"/>
      </w:pPr>
      <w:rPr>
        <w:rFonts w:ascii="Courier New" w:hAnsi="Courier New" w:cs="Courier New" w:hint="default"/>
      </w:rPr>
    </w:lvl>
    <w:lvl w:ilvl="2">
      <w:start w:val="1"/>
      <w:numFmt w:val="bullet"/>
      <w:lvlText w:val=""/>
      <w:lvlJc w:val="left"/>
      <w:pPr>
        <w:tabs>
          <w:tab w:val="num" w:pos="0"/>
        </w:tabs>
        <w:ind w:left="2444" w:hanging="360"/>
      </w:pPr>
      <w:rPr>
        <w:rFonts w:ascii="Wingdings" w:hAnsi="Wingdings" w:cs="Wingdings" w:hint="default"/>
      </w:rPr>
    </w:lvl>
    <w:lvl w:ilvl="3">
      <w:start w:val="1"/>
      <w:numFmt w:val="bullet"/>
      <w:lvlText w:val=""/>
      <w:lvlJc w:val="left"/>
      <w:pPr>
        <w:tabs>
          <w:tab w:val="num" w:pos="0"/>
        </w:tabs>
        <w:ind w:left="3164" w:hanging="360"/>
      </w:pPr>
      <w:rPr>
        <w:rFonts w:ascii="Symbol" w:hAnsi="Symbol" w:cs="Symbol" w:hint="default"/>
      </w:rPr>
    </w:lvl>
    <w:lvl w:ilvl="4">
      <w:start w:val="1"/>
      <w:numFmt w:val="bullet"/>
      <w:lvlText w:val="o"/>
      <w:lvlJc w:val="left"/>
      <w:pPr>
        <w:tabs>
          <w:tab w:val="num" w:pos="0"/>
        </w:tabs>
        <w:ind w:left="3884" w:hanging="360"/>
      </w:pPr>
      <w:rPr>
        <w:rFonts w:ascii="Courier New" w:hAnsi="Courier New" w:cs="Courier New" w:hint="default"/>
      </w:rPr>
    </w:lvl>
    <w:lvl w:ilvl="5">
      <w:start w:val="1"/>
      <w:numFmt w:val="bullet"/>
      <w:lvlText w:val=""/>
      <w:lvlJc w:val="left"/>
      <w:pPr>
        <w:tabs>
          <w:tab w:val="num" w:pos="0"/>
        </w:tabs>
        <w:ind w:left="4604" w:hanging="360"/>
      </w:pPr>
      <w:rPr>
        <w:rFonts w:ascii="Wingdings" w:hAnsi="Wingdings" w:cs="Wingdings" w:hint="default"/>
      </w:rPr>
    </w:lvl>
    <w:lvl w:ilvl="6">
      <w:start w:val="1"/>
      <w:numFmt w:val="bullet"/>
      <w:lvlText w:val=""/>
      <w:lvlJc w:val="left"/>
      <w:pPr>
        <w:tabs>
          <w:tab w:val="num" w:pos="0"/>
        </w:tabs>
        <w:ind w:left="5324" w:hanging="360"/>
      </w:pPr>
      <w:rPr>
        <w:rFonts w:ascii="Symbol" w:hAnsi="Symbol" w:cs="Symbol" w:hint="default"/>
      </w:rPr>
    </w:lvl>
    <w:lvl w:ilvl="7">
      <w:start w:val="1"/>
      <w:numFmt w:val="bullet"/>
      <w:lvlText w:val="o"/>
      <w:lvlJc w:val="left"/>
      <w:pPr>
        <w:tabs>
          <w:tab w:val="num" w:pos="0"/>
        </w:tabs>
        <w:ind w:left="6044" w:hanging="360"/>
      </w:pPr>
      <w:rPr>
        <w:rFonts w:ascii="Courier New" w:hAnsi="Courier New" w:cs="Courier New" w:hint="default"/>
      </w:rPr>
    </w:lvl>
    <w:lvl w:ilvl="8">
      <w:start w:val="1"/>
      <w:numFmt w:val="bullet"/>
      <w:lvlText w:val=""/>
      <w:lvlJc w:val="left"/>
      <w:pPr>
        <w:tabs>
          <w:tab w:val="num" w:pos="0"/>
        </w:tabs>
        <w:ind w:left="6764" w:hanging="360"/>
      </w:pPr>
      <w:rPr>
        <w:rFonts w:ascii="Wingdings" w:hAnsi="Wingdings" w:cs="Wingdings" w:hint="default"/>
      </w:rPr>
    </w:lvl>
  </w:abstractNum>
  <w:abstractNum w:abstractNumId="12">
    <w:lvl w:ilvl="0">
      <w:start w:val="18"/>
      <w:numFmt w:val="upperLetter"/>
      <w:lvlText w:val="%1."/>
      <w:lvlJc w:val="left"/>
      <w:pPr>
        <w:tabs>
          <w:tab w:val="num" w:pos="0"/>
        </w:tabs>
        <w:ind w:left="438" w:hanging="288"/>
      </w:pPr>
      <w:rPr>
        <w:sz w:val="22"/>
        <w:spacing w:val="-2"/>
        <w:b/>
        <w:szCs w:val="22"/>
        <w:bCs/>
        <w:w w:val="94"/>
        <w:rFonts w:ascii="Arial Narrow" w:hAnsi="Arial Narrow" w:eastAsia="Arial Narrow" w:cs="Arial Narrow"/>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lvl w:ilvl="0">
      <w:start w:val="1"/>
      <w:numFmt w:val="lowerRoman"/>
      <w:lvlText w:val="%1."/>
      <w:lvlJc w:val="righ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2"/>
  </w:compat>
  <w:hyphenationZone w:val="425"/>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1"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val="false"/>
      <w:suppressAutoHyphens w:val="true"/>
      <w:bidi w:val="0"/>
      <w:spacing w:before="0" w:after="0"/>
      <w:jc w:val="left"/>
    </w:pPr>
    <w:rPr>
      <w:rFonts w:ascii="Arial Narrow" w:hAnsi="Arial Narrow" w:eastAsia="Arial Narrow" w:cs="Arial Narrow"/>
      <w:color w:val="auto"/>
      <w:kern w:val="0"/>
      <w:sz w:val="22"/>
      <w:szCs w:val="22"/>
      <w:lang w:val="sk-SK" w:eastAsia="en-US" w:bidi="ar-SA"/>
    </w:rPr>
  </w:style>
  <w:style w:type="paragraph" w:styleId="Nadpis1">
    <w:name w:val="Heading 1"/>
    <w:basedOn w:val="Normal"/>
    <w:uiPriority w:val="9"/>
    <w:qFormat/>
    <w:pPr>
      <w:ind w:left="438" w:hanging="0"/>
      <w:outlineLvl w:val="0"/>
    </w:pPr>
    <w:rPr>
      <w:b/>
      <w:bCs/>
    </w:rPr>
  </w:style>
  <w:style w:type="character" w:styleId="DefaultParagraphFont" w:default="1">
    <w:name w:val="Default Paragraph Font"/>
    <w:uiPriority w:val="1"/>
    <w:semiHidden/>
    <w:unhideWhenUsed/>
    <w:qFormat/>
    <w:rPr/>
  </w:style>
  <w:style w:type="character" w:styleId="HlavikaChar" w:customStyle="1">
    <w:name w:val="Hlavička Char"/>
    <w:basedOn w:val="DefaultParagraphFont"/>
    <w:link w:val="Hlavika"/>
    <w:uiPriority w:val="99"/>
    <w:qFormat/>
    <w:rsid w:val="00871650"/>
    <w:rPr>
      <w:rFonts w:ascii="Arial Narrow" w:hAnsi="Arial Narrow" w:eastAsia="Arial Narrow" w:cs="Arial Narrow"/>
      <w:lang w:val="sk-SK"/>
    </w:rPr>
  </w:style>
  <w:style w:type="character" w:styleId="PtaChar" w:customStyle="1">
    <w:name w:val="Päta Char"/>
    <w:basedOn w:val="DefaultParagraphFont"/>
    <w:link w:val="Pta"/>
    <w:uiPriority w:val="99"/>
    <w:qFormat/>
    <w:rsid w:val="00871650"/>
    <w:rPr>
      <w:rFonts w:ascii="Arial Narrow" w:hAnsi="Arial Narrow" w:eastAsia="Arial Narrow" w:cs="Arial Narrow"/>
      <w:lang w:val="sk-SK"/>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uiPriority w:val="1"/>
    <w:qFormat/>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1"/>
    <w:qFormat/>
    <w:pPr>
      <w:ind w:left="1141" w:hanging="284"/>
    </w:pPr>
    <w:rPr/>
  </w:style>
  <w:style w:type="paragraph" w:styleId="TableParagraph" w:customStyle="1">
    <w:name w:val="Table Paragraph"/>
    <w:basedOn w:val="Normal"/>
    <w:uiPriority w:val="1"/>
    <w:qFormat/>
    <w:pPr>
      <w:ind w:left="119" w:hanging="0"/>
    </w:pPr>
    <w:rPr/>
  </w:style>
  <w:style w:type="paragraph" w:styleId="Hlavikaapta">
    <w:name w:val="Hlavička a päta"/>
    <w:basedOn w:val="Normal"/>
    <w:qFormat/>
    <w:pPr/>
    <w:rPr/>
  </w:style>
  <w:style w:type="paragraph" w:styleId="Zhlavie">
    <w:name w:val="Header"/>
    <w:basedOn w:val="Normal"/>
    <w:link w:val="HlavikaChar"/>
    <w:uiPriority w:val="99"/>
    <w:unhideWhenUsed/>
    <w:rsid w:val="00871650"/>
    <w:pPr>
      <w:tabs>
        <w:tab w:val="clear" w:pos="720"/>
        <w:tab w:val="center" w:pos="4513" w:leader="none"/>
        <w:tab w:val="right" w:pos="9026" w:leader="none"/>
      </w:tabs>
    </w:pPr>
    <w:rPr/>
  </w:style>
  <w:style w:type="paragraph" w:styleId="Pta">
    <w:name w:val="Footer"/>
    <w:basedOn w:val="Normal"/>
    <w:link w:val="PtaChar"/>
    <w:uiPriority w:val="99"/>
    <w:unhideWhenUsed/>
    <w:rsid w:val="00871650"/>
    <w:pPr>
      <w:tabs>
        <w:tab w:val="clear" w:pos="720"/>
        <w:tab w:val="center" w:pos="4513" w:leader="none"/>
        <w:tab w:val="right" w:pos="9026" w:leader="none"/>
      </w:tabs>
    </w:pPr>
    <w:rPr/>
  </w:style>
  <w:style w:type="paragraph" w:styleId="Default" w:customStyle="1">
    <w:name w:val="Default"/>
    <w:qFormat/>
    <w:rsid w:val="00f3570b"/>
    <w:pPr>
      <w:widowControl/>
      <w:suppressAutoHyphens w:val="true"/>
      <w:bidi w:val="0"/>
      <w:spacing w:before="0" w:after="0"/>
      <w:jc w:val="left"/>
    </w:pPr>
    <w:rPr>
      <w:rFonts w:ascii="Arial" w:hAnsi="Arial" w:eastAsia="Calibri" w:cs="Arial"/>
      <w:color w:val="000000"/>
      <w:kern w:val="0"/>
      <w:sz w:val="24"/>
      <w:szCs w:val="24"/>
      <w:lang w:val="sk-SK" w:eastAsia="en-US" w:bidi="ar-SA"/>
    </w:rPr>
  </w:style>
  <w:style w:type="paragraph" w:styleId="Obsahrmca">
    <w:name w:val="Obsah rámca"/>
    <w:basedOn w:val="Normal"/>
    <w:qFormat/>
    <w:pPr/>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 w:type="table" w:customStyle="1" w:styleId="TableNormal">
    <w:name w:val="Table Normal"/>
    <w:uiPriority w:val="2"/>
    <w:semiHidden/>
    <w:unhideWhenUsed/>
    <w:qFormat/>
    <w:tblPr>
      <w:tblCellMar>
        <w:top w:w="0" w:type="dxa"/>
        <w:left w:w="0" w:type="dxa"/>
        <w:bottom w:w="0" w:type="dxa"/>
        <w:right w:w="0" w:type="dxa"/>
      </w:tblCellMar>
    </w:tblPr>
  </w:style>
  <w:style w:type="table" w:styleId="Mriekatabuky">
    <w:name w:val="Table Grid"/>
    <w:basedOn w:val="Normlnatabuka"/>
    <w:uiPriority w:val="59"/>
    <w:rsid w:val="00f3570b"/>
    <w:rPr>
      <w:lang w:val="sk-SK"/>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header" Target="header1.xml"/><Relationship Id="rId5" Type="http://schemas.openxmlformats.org/officeDocument/2006/relationships/footer" Target="footer3.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5C47E4-6EEB-40CD-993B-96BCA20B1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2373</TotalTime>
  <Application>LibreOffice/7.1.5.2$Windows_X86_64 LibreOffice_project/85f04e9f809797b8199d13c421bd8a2b025d52b5</Application>
  <AppVersion>15.0000</AppVersion>
  <Pages>24</Pages>
  <Words>11213</Words>
  <Characters>64583</Characters>
  <CharactersWithSpaces>75549</CharactersWithSpaces>
  <Paragraphs>634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2021-01-19T17:25:00Z</dcterms:created>
  <dc:creator>Matulova Silvia</dc:creator>
  <dc:description/>
  <dc:language>sk-SK</dc:language>
  <cp:lastModifiedBy>V H</cp:lastModifiedBy>
  <dcterms:modified xsi:type="dcterms:W3CDTF">2022-04-26T10:59:19Z</dcterms:modified>
  <cp:revision>81</cp:revision>
  <dc:subject/>
  <dc:title>Opatrenie</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