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-45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62"/>
        <w:gridCol w:w="307"/>
        <w:gridCol w:w="513"/>
        <w:gridCol w:w="308"/>
        <w:gridCol w:w="292"/>
        <w:gridCol w:w="293"/>
        <w:gridCol w:w="293"/>
        <w:gridCol w:w="293"/>
        <w:gridCol w:w="293"/>
        <w:gridCol w:w="292"/>
        <w:gridCol w:w="293"/>
        <w:gridCol w:w="293"/>
        <w:gridCol w:w="307"/>
        <w:gridCol w:w="504"/>
        <w:gridCol w:w="307"/>
        <w:gridCol w:w="293"/>
        <w:gridCol w:w="293"/>
        <w:gridCol w:w="293"/>
        <w:gridCol w:w="293"/>
        <w:gridCol w:w="292"/>
        <w:gridCol w:w="293"/>
        <w:gridCol w:w="293"/>
        <w:gridCol w:w="293"/>
        <w:gridCol w:w="293"/>
        <w:gridCol w:w="292"/>
      </w:tblGrid>
      <w:tr w:rsidR="00A47E2E" w:rsidTr="00A47E2E">
        <w:trPr>
          <w:trHeight w:val="298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Poznámky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Úč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Múj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3-01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04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DIČ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</w:tr>
    </w:tbl>
    <w:p w:rsidR="00F225A1" w:rsidRDefault="00F225A1"/>
    <w:p w:rsidR="00A47E2E" w:rsidRDefault="00A47E2E" w:rsidP="00A47E2E">
      <w:pPr>
        <w:pStyle w:val="Default"/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Čl. 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Všeobecné údaje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A47E2E" w:rsidRDefault="00A47E2E" w:rsidP="00A47E2E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KRIS  s. r. o. , Rozkvet 2051/105, 017 01 Považská Bystrica</w:t>
      </w: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Priemerný prepočítaný počet zamestnancov – </w:t>
      </w:r>
      <w:r w:rsidR="009B284A">
        <w:rPr>
          <w:sz w:val="23"/>
          <w:szCs w:val="23"/>
        </w:rPr>
        <w:t xml:space="preserve">2 </w:t>
      </w:r>
      <w:r w:rsidR="002F31E6">
        <w:rPr>
          <w:sz w:val="23"/>
          <w:szCs w:val="23"/>
        </w:rPr>
        <w:t>konatelia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Čl. II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Informácie o prijatých postupoch - účtovná závierka zostavená - účtovná jednotka bude nepretržite pokračovať vo svojej činnosti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Spôsob oceňovania jednotlivých položiek majetku a záväzkov, a to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finančného majetku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dlhodobý hmotný majetok– obstarávacou cenou súčasťou ceny je montáž, preprava, inštalácia, náklady na prípravu a zabezpečenie výstavby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kúpou– obstarávacou cenou súčasťou môže byť preprava, clo, provízia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c) pohľadávok- menovitou hodnotou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 – menovitou hodnotou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 úverov menovitou pri ich vzniku, </w:t>
      </w: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 v cudzej mene sa prepočítajú referenčným kurzom na EUR určeným ECB deň predchádzajúci dňu účtovného prípadu.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Zostatky záväzkov v cudzej mene sa na konci účtovného obdobia prepočítajú kurzom k 31.12.20</w:t>
      </w:r>
      <w:r w:rsidR="002F31E6">
        <w:rPr>
          <w:sz w:val="23"/>
          <w:szCs w:val="23"/>
        </w:rPr>
        <w:t>21</w:t>
      </w:r>
      <w:bookmarkStart w:id="0" w:name="_GoBack"/>
      <w:bookmarkEnd w:id="0"/>
      <w:r>
        <w:rPr>
          <w:sz w:val="23"/>
          <w:szCs w:val="23"/>
        </w:rPr>
        <w:t xml:space="preserve"> určeným ECB. </w:t>
      </w:r>
    </w:p>
    <w:p w:rsidR="00310542" w:rsidRDefault="00310542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Účtovné odpisy sa rovnajú daňovým odpisom. </w:t>
      </w:r>
    </w:p>
    <w:p w:rsidR="000B6C17" w:rsidRDefault="000B6C17" w:rsidP="000B6C17">
      <w:pPr>
        <w:pStyle w:val="Default"/>
        <w:rPr>
          <w:sz w:val="23"/>
          <w:szCs w:val="23"/>
        </w:rPr>
      </w:pPr>
    </w:p>
    <w:p w:rsidR="00C47577" w:rsidRDefault="00C47577" w:rsidP="000B6C17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pageBreakBefore/>
      </w:pPr>
    </w:p>
    <w:sectPr w:rsidR="00A47E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E62B64"/>
    <w:multiLevelType w:val="hybridMultilevel"/>
    <w:tmpl w:val="ADDEC2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E2E"/>
    <w:rsid w:val="000B6C17"/>
    <w:rsid w:val="001B230E"/>
    <w:rsid w:val="002F31E6"/>
    <w:rsid w:val="00310542"/>
    <w:rsid w:val="005B55A9"/>
    <w:rsid w:val="009B284A"/>
    <w:rsid w:val="00A47E2E"/>
    <w:rsid w:val="00BB60D3"/>
    <w:rsid w:val="00C47577"/>
    <w:rsid w:val="00C502C6"/>
    <w:rsid w:val="00D57CE8"/>
    <w:rsid w:val="00F225A1"/>
    <w:rsid w:val="00F95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026AB3-1A12-48E2-944F-C52423AE5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47E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210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Hajkova</dc:creator>
  <cp:keywords/>
  <dc:description/>
  <cp:lastModifiedBy>Renáta Hájková</cp:lastModifiedBy>
  <cp:revision>2</cp:revision>
  <dcterms:created xsi:type="dcterms:W3CDTF">2022-06-24T11:35:00Z</dcterms:created>
  <dcterms:modified xsi:type="dcterms:W3CDTF">2022-06-24T11:35:00Z</dcterms:modified>
</cp:coreProperties>
</file>