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4CFE" w:rsidRDefault="00674CFE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bookmarkStart w:id="0" w:name="_gjdgxs" w:colFirst="0" w:colLast="0"/>
      <w:bookmarkEnd w:id="0"/>
    </w:p>
    <w:p w:rsidR="00674CFE" w:rsidRDefault="00A53DA6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účtovnej jednotke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keepNext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Založenie spoločnosti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Spoločnosť:</w:t>
      </w:r>
      <w:r w:rsidR="003275FE">
        <w:rPr>
          <w:color w:val="000000"/>
          <w:sz w:val="18"/>
          <w:szCs w:val="18"/>
        </w:rPr>
        <w:t xml:space="preserve"> </w:t>
      </w:r>
      <w:r w:rsidR="003D3483">
        <w:rPr>
          <w:color w:val="000000"/>
          <w:sz w:val="18"/>
          <w:szCs w:val="18"/>
        </w:rPr>
        <w:t>COM</w:t>
      </w:r>
      <w:r w:rsidR="007D2615">
        <w:rPr>
          <w:color w:val="000000"/>
          <w:sz w:val="18"/>
          <w:szCs w:val="18"/>
        </w:rPr>
        <w:t>I</w:t>
      </w:r>
      <w:r>
        <w:rPr>
          <w:color w:val="000000"/>
          <w:sz w:val="18"/>
          <w:szCs w:val="18"/>
        </w:rPr>
        <w:t>, s.r.o. (ďalej len Spoločnosť)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Sídlo: </w:t>
      </w:r>
      <w:r w:rsidR="007D2615">
        <w:rPr>
          <w:color w:val="000000"/>
          <w:sz w:val="18"/>
          <w:szCs w:val="18"/>
        </w:rPr>
        <w:t>Chotčanská</w:t>
      </w:r>
      <w:r>
        <w:rPr>
          <w:color w:val="000000"/>
          <w:sz w:val="18"/>
          <w:szCs w:val="18"/>
        </w:rPr>
        <w:t xml:space="preserve"> 2, 091 01  Stropkov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Založená dňa:  </w:t>
      </w:r>
      <w:r w:rsidR="00AA0C7F">
        <w:rPr>
          <w:color w:val="000000"/>
          <w:sz w:val="18"/>
          <w:szCs w:val="18"/>
        </w:rPr>
        <w:t>27</w:t>
      </w:r>
      <w:r>
        <w:rPr>
          <w:color w:val="000000"/>
          <w:sz w:val="18"/>
          <w:szCs w:val="18"/>
        </w:rPr>
        <w:t>.</w:t>
      </w:r>
      <w:r w:rsidR="00AA0C7F">
        <w:rPr>
          <w:color w:val="000000"/>
          <w:sz w:val="18"/>
          <w:szCs w:val="18"/>
        </w:rPr>
        <w:t>09</w:t>
      </w:r>
      <w:r>
        <w:rPr>
          <w:color w:val="000000"/>
          <w:sz w:val="18"/>
          <w:szCs w:val="18"/>
        </w:rPr>
        <w:t>.199</w:t>
      </w:r>
      <w:r w:rsidR="00AA0C7F">
        <w:rPr>
          <w:color w:val="000000"/>
          <w:sz w:val="18"/>
          <w:szCs w:val="18"/>
        </w:rPr>
        <w:t>6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Do obchodného registra bola zapísaná dňa: </w:t>
      </w:r>
      <w:r w:rsidR="00AA0C7F">
        <w:rPr>
          <w:color w:val="000000"/>
          <w:sz w:val="18"/>
          <w:szCs w:val="18"/>
        </w:rPr>
        <w:t>27.09</w:t>
      </w:r>
      <w:r>
        <w:rPr>
          <w:color w:val="000000"/>
          <w:sz w:val="18"/>
          <w:szCs w:val="18"/>
        </w:rPr>
        <w:t>.199</w:t>
      </w:r>
      <w:r w:rsidR="00AA0C7F">
        <w:rPr>
          <w:color w:val="000000"/>
          <w:sz w:val="18"/>
          <w:szCs w:val="18"/>
        </w:rPr>
        <w:t>6</w:t>
      </w:r>
      <w:r>
        <w:rPr>
          <w:color w:val="000000"/>
          <w:sz w:val="18"/>
          <w:szCs w:val="18"/>
        </w:rPr>
        <w:t xml:space="preserve"> 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(Obchodný register Okresného súdu Prešov, oddiel s.r.o., vložka </w:t>
      </w:r>
      <w:r w:rsidR="00AA0C7F">
        <w:rPr>
          <w:color w:val="000000"/>
          <w:sz w:val="18"/>
          <w:szCs w:val="18"/>
        </w:rPr>
        <w:t>3314</w:t>
      </w:r>
      <w:r>
        <w:rPr>
          <w:color w:val="000000"/>
          <w:sz w:val="18"/>
          <w:szCs w:val="18"/>
        </w:rPr>
        <w:t xml:space="preserve">/P). </w:t>
      </w:r>
    </w:p>
    <w:p w:rsidR="00674CFE" w:rsidRDefault="00674CFE">
      <w:pPr>
        <w:pStyle w:val="normal"/>
        <w:rPr>
          <w:sz w:val="18"/>
          <w:szCs w:val="18"/>
        </w:rPr>
      </w:pPr>
    </w:p>
    <w:p w:rsidR="00674CFE" w:rsidRDefault="00A53DA6">
      <w:pPr>
        <w:pStyle w:val="normal"/>
        <w:keepNext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</w:rPr>
      </w:pPr>
      <w:bookmarkStart w:id="1" w:name="_30j0zll" w:colFirst="0" w:colLast="0"/>
      <w:bookmarkEnd w:id="1"/>
      <w:r>
        <w:rPr>
          <w:b/>
          <w:color w:val="000000"/>
          <w:sz w:val="18"/>
          <w:szCs w:val="18"/>
        </w:rPr>
        <w:t xml:space="preserve">Hlavnými činnosťami Spoločnosti sú: </w:t>
      </w:r>
      <w:r w:rsidR="00F17219">
        <w:rPr>
          <w:b/>
          <w:color w:val="000000"/>
          <w:sz w:val="18"/>
          <w:szCs w:val="18"/>
        </w:rPr>
        <w:t xml:space="preserve"> Maloobchod s pohonnými  látkami</w:t>
      </w:r>
    </w:p>
    <w:p w:rsidR="00674CFE" w:rsidRDefault="00674CFE" w:rsidP="00F17219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keepNext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Údaje o neobmedzenom ručení</w:t>
      </w:r>
    </w:p>
    <w:p w:rsidR="00674CFE" w:rsidRDefault="00A53DA6">
      <w:pPr>
        <w:pStyle w:val="normal"/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keepNext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Právny dôvod na zostavenie účtovnej závierky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426" w:hanging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  <w:t>Účtovná závierka Spoločnosti k 31. decembru 20</w:t>
      </w:r>
      <w:r w:rsidR="00AA0C7F">
        <w:rPr>
          <w:color w:val="000000"/>
          <w:sz w:val="18"/>
          <w:szCs w:val="18"/>
        </w:rPr>
        <w:t>21</w:t>
      </w:r>
      <w:r>
        <w:rPr>
          <w:color w:val="000000"/>
          <w:sz w:val="18"/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AA0C7F">
        <w:rPr>
          <w:color w:val="000000"/>
          <w:sz w:val="18"/>
          <w:szCs w:val="18"/>
        </w:rPr>
        <w:t>21</w:t>
      </w:r>
      <w:r>
        <w:rPr>
          <w:color w:val="000000"/>
          <w:sz w:val="18"/>
          <w:szCs w:val="18"/>
        </w:rPr>
        <w:t xml:space="preserve"> do 31. decembra 20</w:t>
      </w:r>
      <w:r w:rsidR="00AA0C7F">
        <w:rPr>
          <w:color w:val="000000"/>
          <w:sz w:val="18"/>
          <w:szCs w:val="18"/>
        </w:rPr>
        <w:t>21</w:t>
      </w:r>
      <w:r>
        <w:rPr>
          <w:color w:val="000000"/>
          <w:sz w:val="18"/>
          <w:szCs w:val="18"/>
        </w:rPr>
        <w:t>.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 w:hanging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keepNext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Dátum schválenia účtovnej závierky za predchádzajúce účtovné obdobie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426" w:hanging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</w:p>
    <w:p w:rsidR="00674CFE" w:rsidRDefault="00A53DA6">
      <w:pPr>
        <w:pStyle w:val="normal"/>
        <w:keepNext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Počet zamestnancov 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Údaje o počte zamestnancov za bežné účtovné obdobie sú uvedené v nasledujúcom prehľade: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  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18"/>
          <w:szCs w:val="18"/>
        </w:rPr>
      </w:pPr>
    </w:p>
    <w:tbl>
      <w:tblPr>
        <w:tblStyle w:val="a"/>
        <w:tblW w:w="6511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793"/>
        <w:gridCol w:w="2718"/>
      </w:tblGrid>
      <w:tr w:rsidR="00674CFE">
        <w:trPr>
          <w:cantSplit/>
          <w:tblHeader/>
          <w:jc w:val="center"/>
        </w:trPr>
        <w:tc>
          <w:tcPr>
            <w:tcW w:w="3793" w:type="dxa"/>
            <w:tcBorders>
              <w:top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426"/>
              <w:jc w:val="both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426"/>
              <w:jc w:val="both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674CFE">
        <w:trPr>
          <w:cantSplit/>
          <w:trHeight w:val="340"/>
          <w:tblHeader/>
          <w:jc w:val="center"/>
        </w:trPr>
        <w:tc>
          <w:tcPr>
            <w:tcW w:w="379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426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674CFE" w:rsidRDefault="003275F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426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8,2</w:t>
            </w:r>
          </w:p>
          <w:p w:rsidR="00AA0C7F" w:rsidRDefault="00AA0C7F" w:rsidP="00AA0C7F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8"/>
                <w:szCs w:val="18"/>
              </w:rPr>
            </w:pPr>
          </w:p>
        </w:tc>
      </w:tr>
    </w:tbl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 w:hanging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keepNext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Informácie o orgánoch účtovnej jednotky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color w:val="000000"/>
          <w:sz w:val="18"/>
          <w:szCs w:val="18"/>
        </w:rPr>
        <w:t>Výška jednotlivých druhov záruk alebo iných zabezpečení poskytnutých pre členov štatutárneho orgánu, dozorného orgánu a iného orgánu ÚJ:</w:t>
      </w:r>
    </w:p>
    <w:p w:rsidR="00674CFE" w:rsidRDefault="00A53DA6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color w:val="000000"/>
          <w:sz w:val="18"/>
          <w:szCs w:val="18"/>
        </w:rPr>
        <w:t>Informácia o pôžičkách: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Celková suma poskytnutých pôžičiek k 31.12. bežného obdobia podľa jednotlivých orgánov: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  <w:t>Konateľ: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  <w:t>Predseda predstavenstva: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  <w:t>Člen predstavenstva: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Celková suma splatených pôžičiek za posledné účtovné obdobie: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86" w:firstLine="63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Konateľ: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  <w:t>Predseda predstavenstva: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  <w:t>Člen predstavenstva: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Celková suma odpustených pôžičiek a odpísaných pôžičiek k 31.12. bežného obdobia: 0,- €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V aktuálnom účtovnom období neboli odpustené ani odpísané žiadne pôžičky.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 w:hanging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 w:hanging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</w:pPr>
    </w:p>
    <w:p w:rsidR="00674CFE" w:rsidRDefault="00A53DA6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konsolidovanom celku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</w:pPr>
      <w:bookmarkStart w:id="2" w:name="_1fob9te" w:colFirst="0" w:colLast="0"/>
      <w:bookmarkEnd w:id="2"/>
    </w:p>
    <w:p w:rsidR="00674CFE" w:rsidRDefault="00A53DA6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 xml:space="preserve">Informácie o účtovných zásadách a účtovných metódach  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426"/>
        <w:jc w:val="both"/>
      </w:pPr>
      <w:r>
        <w:rPr>
          <w:b/>
          <w:color w:val="000000"/>
          <w:sz w:val="18"/>
          <w:szCs w:val="18"/>
        </w:rPr>
        <w:t>Východiská pre zostavenie účtovnej závierky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45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Účtovná závierka bola zostavená za predpokladu, že Spoločnosť bude nepretržite pokračovať vo svojej činnosti (goingconcern).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50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50"/>
        <w:jc w:val="both"/>
        <w:rPr>
          <w:color w:val="000000"/>
          <w:sz w:val="18"/>
          <w:szCs w:val="18"/>
        </w:rPr>
      </w:pPr>
    </w:p>
    <w:p w:rsidR="003275FE" w:rsidRDefault="003275FE">
      <w:pPr>
        <w:pStyle w:val="normal"/>
        <w:pBdr>
          <w:top w:val="nil"/>
          <w:left w:val="nil"/>
          <w:bottom w:val="nil"/>
          <w:right w:val="nil"/>
          <w:between w:val="nil"/>
        </w:pBdr>
        <w:ind w:left="450"/>
        <w:jc w:val="both"/>
        <w:rPr>
          <w:color w:val="000000"/>
          <w:sz w:val="18"/>
          <w:szCs w:val="18"/>
        </w:rPr>
      </w:pPr>
    </w:p>
    <w:p w:rsidR="003275FE" w:rsidRDefault="003275FE">
      <w:pPr>
        <w:pStyle w:val="normal"/>
        <w:pBdr>
          <w:top w:val="nil"/>
          <w:left w:val="nil"/>
          <w:bottom w:val="nil"/>
          <w:right w:val="nil"/>
          <w:between w:val="nil"/>
        </w:pBdr>
        <w:ind w:left="450"/>
        <w:jc w:val="both"/>
        <w:rPr>
          <w:color w:val="000000"/>
          <w:sz w:val="18"/>
          <w:szCs w:val="18"/>
        </w:rPr>
      </w:pPr>
    </w:p>
    <w:p w:rsidR="00F17219" w:rsidRDefault="00F17219">
      <w:pPr>
        <w:pStyle w:val="normal"/>
        <w:pBdr>
          <w:top w:val="nil"/>
          <w:left w:val="nil"/>
          <w:bottom w:val="nil"/>
          <w:right w:val="nil"/>
          <w:between w:val="nil"/>
        </w:pBdr>
        <w:ind w:left="450"/>
        <w:jc w:val="both"/>
        <w:rPr>
          <w:color w:val="000000"/>
          <w:sz w:val="18"/>
          <w:szCs w:val="18"/>
        </w:rPr>
      </w:pPr>
    </w:p>
    <w:p w:rsidR="00F17219" w:rsidRDefault="00F17219">
      <w:pPr>
        <w:pStyle w:val="normal"/>
        <w:pBdr>
          <w:top w:val="nil"/>
          <w:left w:val="nil"/>
          <w:bottom w:val="nil"/>
          <w:right w:val="nil"/>
          <w:between w:val="nil"/>
        </w:pBdr>
        <w:ind w:left="450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50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426"/>
        <w:jc w:val="both"/>
      </w:pPr>
      <w:r>
        <w:rPr>
          <w:b/>
          <w:color w:val="000000"/>
          <w:sz w:val="18"/>
          <w:szCs w:val="18"/>
        </w:rPr>
        <w:lastRenderedPageBreak/>
        <w:t>Počas účtovného obdobia neboli prijaté zmeny účtovných zásad a účtovných metód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50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426"/>
        <w:jc w:val="both"/>
      </w:pPr>
      <w:r>
        <w:rPr>
          <w:b/>
          <w:color w:val="000000"/>
          <w:sz w:val="18"/>
          <w:szCs w:val="18"/>
        </w:rPr>
        <w:t>Účtovné metódy a všeobecné účtovné zásady pri oceňovaní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b/>
          <w:color w:val="000000"/>
          <w:sz w:val="18"/>
          <w:szCs w:val="18"/>
        </w:rPr>
        <w:t>Dlhodobý nehmotný majetok a dlhodobý hmotný majetok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b/>
          <w:color w:val="000000"/>
          <w:sz w:val="18"/>
          <w:szCs w:val="18"/>
        </w:rPr>
        <w:t>Cenné papiere a podiely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Cenné papiere na obchodovanie sa pri ich obstaraní oceňujú reálnou hodnotou. 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b/>
          <w:color w:val="000000"/>
          <w:sz w:val="18"/>
          <w:szCs w:val="18"/>
        </w:rPr>
        <w:t xml:space="preserve">Zásoby 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Zásoby sa oceňujú obstarávacou cenou.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74CFE" w:rsidRDefault="00674CFE" w:rsidP="00C37BBF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Spoločnosť účtuje  zásoby spôsobom </w:t>
      </w:r>
      <w:r w:rsidR="00AA0C7F">
        <w:rPr>
          <w:color w:val="000000"/>
          <w:sz w:val="18"/>
          <w:szCs w:val="18"/>
        </w:rPr>
        <w:t>B</w:t>
      </w:r>
      <w:r>
        <w:rPr>
          <w:color w:val="000000"/>
          <w:sz w:val="18"/>
          <w:szCs w:val="18"/>
        </w:rPr>
        <w:t>.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b/>
          <w:color w:val="000000"/>
          <w:sz w:val="18"/>
          <w:szCs w:val="18"/>
        </w:rPr>
        <w:t>Peňažné prostriedky a ceniny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Peňažné prostriedky a ceniny sa oceňujú ich menovitou hodnotou. Zníženie ich hodnoty sa vyjadruje opravnou položkou.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b/>
          <w:color w:val="000000"/>
          <w:sz w:val="18"/>
          <w:szCs w:val="18"/>
        </w:rPr>
        <w:t>Cudzia mena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Na ocenenie prírastku cudzej meny nakúpenej za euro sa použije kurz, za ktorý bola táto cudzia mena nakúpená.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b/>
          <w:color w:val="000000"/>
          <w:sz w:val="18"/>
          <w:szCs w:val="18"/>
        </w:rPr>
        <w:t>Výnosy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b/>
          <w:color w:val="000000"/>
          <w:sz w:val="18"/>
          <w:szCs w:val="18"/>
        </w:rPr>
        <w:t>Zákazková výroba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Nemáme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360" w:hanging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b/>
          <w:color w:val="000000"/>
          <w:sz w:val="18"/>
          <w:szCs w:val="18"/>
        </w:rPr>
        <w:lastRenderedPageBreak/>
        <w:t>Zákazková výstavba nehnuteľnosti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  <w:highlight w:val="yellow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b/>
          <w:i/>
          <w:color w:val="000000"/>
          <w:sz w:val="18"/>
          <w:szCs w:val="18"/>
        </w:rPr>
      </w:pPr>
      <w:r>
        <w:rPr>
          <w:b/>
          <w:i/>
          <w:color w:val="000000"/>
          <w:sz w:val="18"/>
          <w:szCs w:val="18"/>
        </w:rPr>
        <w:t>Nemáme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360" w:hanging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b/>
          <w:color w:val="000000"/>
          <w:sz w:val="18"/>
          <w:szCs w:val="18"/>
        </w:rPr>
        <w:t>Pohľadávky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b/>
          <w:color w:val="000000"/>
          <w:sz w:val="18"/>
          <w:szCs w:val="18"/>
        </w:rPr>
        <w:t>Náklady budúcich období a príjmy budúcich období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b/>
          <w:color w:val="000000"/>
          <w:sz w:val="18"/>
          <w:szCs w:val="18"/>
        </w:rPr>
        <w:t>Rezervy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360" w:hanging="426"/>
        <w:jc w:val="both"/>
        <w:rPr>
          <w:b/>
          <w:color w:val="000000"/>
          <w:sz w:val="18"/>
          <w:szCs w:val="18"/>
        </w:rPr>
      </w:pPr>
    </w:p>
    <w:p w:rsidR="00674CFE" w:rsidRDefault="00A53DA6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b/>
          <w:color w:val="000000"/>
          <w:sz w:val="18"/>
          <w:szCs w:val="18"/>
        </w:rPr>
        <w:t>Záväzky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24"/>
          <w:szCs w:val="24"/>
        </w:rPr>
      </w:pPr>
      <w:r>
        <w:rPr>
          <w:color w:val="000000"/>
          <w:sz w:val="18"/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360" w:hanging="426"/>
        <w:jc w:val="both"/>
        <w:rPr>
          <w:b/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b/>
          <w:color w:val="000000"/>
          <w:sz w:val="18"/>
          <w:szCs w:val="18"/>
        </w:rPr>
        <w:t>Výdavky budúcich období a výnosy budúcich období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b/>
          <w:color w:val="000000"/>
          <w:sz w:val="18"/>
          <w:szCs w:val="18"/>
        </w:rPr>
        <w:t>Prenájom (lízing)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Majetok prenajatý na základe operatívneho prenájmu vykazuje ako svoj majetok jeho vlastník, nie nájomca.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b/>
          <w:color w:val="000000"/>
          <w:sz w:val="18"/>
          <w:szCs w:val="18"/>
        </w:rPr>
        <w:t>Odložené dane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Odložené dane (odložená daňová pohľadávka a odložený daňový záväzok) sa vzťahujú na: </w:t>
      </w:r>
    </w:p>
    <w:p w:rsidR="00674CFE" w:rsidRDefault="00A53DA6">
      <w:pPr>
        <w:pStyle w:val="normal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color w:val="000000"/>
          <w:sz w:val="18"/>
          <w:szCs w:val="18"/>
        </w:rPr>
        <w:t>dočasné rozdiely medzi účtovnou hodnotou majetku a účtovnou hodnotou záväzkov vykázanou v súvahe a ich daňovou základňou,</w:t>
      </w:r>
    </w:p>
    <w:p w:rsidR="00674CFE" w:rsidRDefault="00A53DA6">
      <w:pPr>
        <w:pStyle w:val="normal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color w:val="000000"/>
          <w:sz w:val="18"/>
          <w:szCs w:val="18"/>
        </w:rPr>
        <w:t>možnosť umorovať daňovú stratu v budúcnosti, ktorou sa rozumie možnosť odpočítať daňovú stratu od základu dane v budúcnosti,</w:t>
      </w:r>
    </w:p>
    <w:p w:rsidR="00674CFE" w:rsidRDefault="00A53DA6">
      <w:pPr>
        <w:pStyle w:val="normal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color w:val="000000"/>
          <w:sz w:val="18"/>
          <w:szCs w:val="18"/>
        </w:rPr>
        <w:t>možnosť previesť nevyužité daňové odpočty a iné daňové nároky do budúcich období.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6"/>
          <w:szCs w:val="16"/>
        </w:rPr>
      </w:pPr>
    </w:p>
    <w:p w:rsidR="00674CFE" w:rsidRDefault="00A53DA6">
      <w:pPr>
        <w:pStyle w:val="normal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426"/>
        <w:jc w:val="both"/>
      </w:pPr>
      <w:bookmarkStart w:id="3" w:name="_3znysh7" w:colFirst="0" w:colLast="0"/>
      <w:bookmarkEnd w:id="3"/>
      <w:r>
        <w:rPr>
          <w:b/>
          <w:color w:val="000000"/>
          <w:sz w:val="18"/>
          <w:szCs w:val="18"/>
        </w:rPr>
        <w:t>Tvorba odpisovaného plánu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tbl>
      <w:tblPr>
        <w:tblStyle w:val="a0"/>
        <w:tblW w:w="8788" w:type="dxa"/>
        <w:tblInd w:w="456" w:type="dxa"/>
        <w:tblLayout w:type="fixed"/>
        <w:tblLook w:val="0000"/>
      </w:tblPr>
      <w:tblGrid>
        <w:gridCol w:w="2956"/>
        <w:gridCol w:w="160"/>
        <w:gridCol w:w="1972"/>
        <w:gridCol w:w="160"/>
        <w:gridCol w:w="1690"/>
        <w:gridCol w:w="160"/>
        <w:gridCol w:w="1690"/>
      </w:tblGrid>
      <w:tr w:rsidR="00674CFE">
        <w:trPr>
          <w:cantSplit/>
          <w:trHeight w:val="250"/>
          <w:tblHeader/>
        </w:trPr>
        <w:tc>
          <w:tcPr>
            <w:tcW w:w="3118" w:type="dxa"/>
            <w:gridSpan w:val="2"/>
          </w:tcPr>
          <w:p w:rsidR="00674CFE" w:rsidRDefault="00674CF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5" w:type="dxa"/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674CFE" w:rsidRDefault="00674CF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Metóda</w:t>
            </w:r>
          </w:p>
        </w:tc>
        <w:tc>
          <w:tcPr>
            <w:tcW w:w="142" w:type="dxa"/>
          </w:tcPr>
          <w:p w:rsidR="00674CFE" w:rsidRDefault="00674CF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Ročná odpisová</w:t>
            </w:r>
          </w:p>
        </w:tc>
      </w:tr>
      <w:tr w:rsidR="00674CFE">
        <w:trPr>
          <w:cantSplit/>
          <w:trHeight w:val="250"/>
          <w:tblHeader/>
        </w:trPr>
        <w:tc>
          <w:tcPr>
            <w:tcW w:w="2976" w:type="dxa"/>
            <w:tcBorders>
              <w:bottom w:val="single" w:sz="4" w:space="0" w:color="000000"/>
            </w:tcBorders>
          </w:tcPr>
          <w:p w:rsidR="00674CFE" w:rsidRDefault="00674CF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000000"/>
            </w:tcBorders>
          </w:tcPr>
          <w:p w:rsidR="00674CFE" w:rsidRDefault="00674CF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</w:tcPr>
          <w:p w:rsidR="00674CFE" w:rsidRDefault="00674CF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</w:tcPr>
          <w:p w:rsidR="00674CFE" w:rsidRDefault="00674CF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sadzba v %</w:t>
            </w:r>
          </w:p>
        </w:tc>
      </w:tr>
      <w:tr w:rsidR="00674CFE">
        <w:trPr>
          <w:cantSplit/>
          <w:trHeight w:val="250"/>
          <w:tblHeader/>
        </w:trPr>
        <w:tc>
          <w:tcPr>
            <w:tcW w:w="3118" w:type="dxa"/>
            <w:gridSpan w:val="2"/>
            <w:tcBorders>
              <w:top w:val="single" w:sz="4" w:space="0" w:color="000000"/>
            </w:tcBorders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000000"/>
            </w:tcBorders>
          </w:tcPr>
          <w:p w:rsidR="00674CFE" w:rsidRDefault="00674CF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</w:tcPr>
          <w:p w:rsidR="00674CFE" w:rsidRDefault="00674CF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</w:t>
            </w:r>
          </w:p>
        </w:tc>
      </w:tr>
      <w:tr w:rsidR="00674CFE">
        <w:trPr>
          <w:cantSplit/>
          <w:trHeight w:val="250"/>
          <w:tblHeader/>
        </w:trPr>
        <w:tc>
          <w:tcPr>
            <w:tcW w:w="3118" w:type="dxa"/>
            <w:gridSpan w:val="2"/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 až 6</w:t>
            </w:r>
          </w:p>
        </w:tc>
        <w:tc>
          <w:tcPr>
            <w:tcW w:w="141" w:type="dxa"/>
          </w:tcPr>
          <w:p w:rsidR="00674CFE" w:rsidRDefault="00674CF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lineárna</w:t>
            </w:r>
          </w:p>
        </w:tc>
        <w:tc>
          <w:tcPr>
            <w:tcW w:w="142" w:type="dxa"/>
          </w:tcPr>
          <w:p w:rsidR="00674CFE" w:rsidRDefault="00674CF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 až 25</w:t>
            </w:r>
          </w:p>
        </w:tc>
      </w:tr>
      <w:tr w:rsidR="00674CFE">
        <w:trPr>
          <w:cantSplit/>
          <w:trHeight w:val="250"/>
          <w:tblHeader/>
        </w:trPr>
        <w:tc>
          <w:tcPr>
            <w:tcW w:w="3118" w:type="dxa"/>
            <w:gridSpan w:val="2"/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 až 4</w:t>
            </w:r>
          </w:p>
        </w:tc>
        <w:tc>
          <w:tcPr>
            <w:tcW w:w="141" w:type="dxa"/>
          </w:tcPr>
          <w:p w:rsidR="00674CFE" w:rsidRDefault="00674CF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lineárna</w:t>
            </w:r>
          </w:p>
        </w:tc>
        <w:tc>
          <w:tcPr>
            <w:tcW w:w="142" w:type="dxa"/>
          </w:tcPr>
          <w:p w:rsidR="00674CFE" w:rsidRDefault="00674CF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 až 33</w:t>
            </w:r>
          </w:p>
        </w:tc>
      </w:tr>
      <w:tr w:rsidR="00674CFE">
        <w:trPr>
          <w:cantSplit/>
          <w:trHeight w:val="250"/>
          <w:tblHeader/>
        </w:trPr>
        <w:tc>
          <w:tcPr>
            <w:tcW w:w="3118" w:type="dxa"/>
            <w:gridSpan w:val="2"/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rôzna</w:t>
            </w:r>
          </w:p>
        </w:tc>
        <w:tc>
          <w:tcPr>
            <w:tcW w:w="141" w:type="dxa"/>
          </w:tcPr>
          <w:p w:rsidR="00674CFE" w:rsidRDefault="00674CF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674CFE" w:rsidRDefault="00674CF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</w:t>
            </w:r>
          </w:p>
        </w:tc>
      </w:tr>
    </w:tbl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360" w:hanging="426"/>
        <w:jc w:val="both"/>
        <w:rPr>
          <w:b/>
          <w:color w:val="000000"/>
          <w:sz w:val="18"/>
          <w:szCs w:val="18"/>
        </w:rPr>
      </w:pPr>
    </w:p>
    <w:p w:rsidR="00674CFE" w:rsidRDefault="00A53DA6">
      <w:pPr>
        <w:pStyle w:val="normal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426"/>
        <w:jc w:val="both"/>
      </w:pPr>
      <w:r>
        <w:rPr>
          <w:b/>
          <w:color w:val="000000"/>
          <w:sz w:val="18"/>
          <w:szCs w:val="18"/>
        </w:rPr>
        <w:t>Dotácie zo štátneho rozpočtu</w:t>
      </w:r>
    </w:p>
    <w:p w:rsidR="00674CFE" w:rsidRDefault="00A53DA6">
      <w:pPr>
        <w:pStyle w:val="normal"/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74CFE" w:rsidRDefault="00674CFE">
      <w:pPr>
        <w:pStyle w:val="normal"/>
        <w:ind w:left="450"/>
        <w:jc w:val="both"/>
        <w:rPr>
          <w:sz w:val="18"/>
          <w:szCs w:val="18"/>
        </w:rPr>
      </w:pPr>
    </w:p>
    <w:p w:rsidR="00674CFE" w:rsidRDefault="00A53DA6">
      <w:pPr>
        <w:pStyle w:val="normal"/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674CFE" w:rsidRDefault="00674CFE">
      <w:pPr>
        <w:pStyle w:val="normal"/>
        <w:ind w:left="450"/>
        <w:jc w:val="both"/>
        <w:rPr>
          <w:sz w:val="18"/>
          <w:szCs w:val="18"/>
        </w:rPr>
      </w:pPr>
    </w:p>
    <w:p w:rsidR="00674CFE" w:rsidRDefault="00A53DA6">
      <w:pPr>
        <w:pStyle w:val="normal"/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  <w:szCs w:val="18"/>
        </w:rPr>
        <w:br/>
        <w:t xml:space="preserve">z tohto dlhodobého majetku. </w:t>
      </w:r>
    </w:p>
    <w:p w:rsidR="00674CFE" w:rsidRDefault="00674CFE">
      <w:pPr>
        <w:pStyle w:val="normal"/>
        <w:ind w:left="450"/>
        <w:jc w:val="both"/>
        <w:rPr>
          <w:sz w:val="18"/>
          <w:szCs w:val="18"/>
        </w:rPr>
      </w:pPr>
    </w:p>
    <w:p w:rsidR="00674CFE" w:rsidRDefault="00A53DA6">
      <w:pPr>
        <w:pStyle w:val="normal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426"/>
        <w:jc w:val="both"/>
      </w:pPr>
      <w:r>
        <w:rPr>
          <w:b/>
          <w:color w:val="000000"/>
          <w:sz w:val="18"/>
          <w:szCs w:val="18"/>
        </w:rPr>
        <w:t>Oprava významných chýb minulých účtovných období</w:t>
      </w:r>
    </w:p>
    <w:p w:rsidR="00674CFE" w:rsidRDefault="00A53DA6">
      <w:pPr>
        <w:pStyle w:val="normal"/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674CFE" w:rsidRDefault="00674CFE">
      <w:pPr>
        <w:pStyle w:val="normal"/>
        <w:ind w:left="450"/>
        <w:jc w:val="both"/>
        <w:rPr>
          <w:sz w:val="18"/>
          <w:szCs w:val="18"/>
        </w:rPr>
      </w:pPr>
    </w:p>
    <w:p w:rsidR="00674CFE" w:rsidRDefault="00A53DA6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údajoch na strane aktív súvahy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center" w:pos="4536"/>
          <w:tab w:val="right" w:pos="9072"/>
        </w:tabs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</w:rPr>
      </w:pPr>
      <w:bookmarkStart w:id="4" w:name="_2et92p0" w:colFirst="0" w:colLast="0"/>
      <w:bookmarkEnd w:id="4"/>
      <w:r>
        <w:rPr>
          <w:b/>
          <w:color w:val="000000"/>
          <w:sz w:val="18"/>
          <w:szCs w:val="18"/>
        </w:rPr>
        <w:t>Informácia o goodwille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Dôvod vzniku goodvilu: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Spôsob výpočtu: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Odpisovanie:</w:t>
      </w:r>
    </w:p>
    <w:p w:rsidR="00674CFE" w:rsidRDefault="00674CFE">
      <w:pPr>
        <w:pStyle w:val="normal"/>
        <w:spacing w:after="200" w:line="276" w:lineRule="auto"/>
        <w:rPr>
          <w:b/>
          <w:smallCaps/>
          <w:sz w:val="18"/>
          <w:szCs w:val="18"/>
        </w:rPr>
      </w:pPr>
    </w:p>
    <w:p w:rsidR="00674CFE" w:rsidRDefault="00A53DA6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údajoch na strane pasív súvahy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keepNext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Informácie o záväzkoch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color w:val="000000"/>
          <w:sz w:val="18"/>
          <w:szCs w:val="18"/>
        </w:rPr>
        <w:t>Celková suma záväzkov so zostatkovou dobou splatnosti dlhšou ako 5 rokov:  0</w:t>
      </w:r>
    </w:p>
    <w:p w:rsidR="00674CFE" w:rsidRDefault="00674CFE">
      <w:pPr>
        <w:pStyle w:val="normal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both"/>
      </w:pPr>
    </w:p>
    <w:tbl>
      <w:tblPr>
        <w:tblStyle w:val="a1"/>
        <w:tblW w:w="9466" w:type="dxa"/>
        <w:jc w:val="center"/>
        <w:tblInd w:w="0" w:type="dxa"/>
        <w:tblLayout w:type="fixed"/>
        <w:tblLook w:val="0400"/>
      </w:tblPr>
      <w:tblGrid>
        <w:gridCol w:w="3828"/>
        <w:gridCol w:w="2978"/>
        <w:gridCol w:w="2660"/>
      </w:tblGrid>
      <w:tr w:rsidR="00674CFE">
        <w:trPr>
          <w:cantSplit/>
          <w:trHeight w:val="567"/>
          <w:tblHeader/>
          <w:jc w:val="center"/>
        </w:trPr>
        <w:tc>
          <w:tcPr>
            <w:tcW w:w="382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674CFE" w:rsidRDefault="00A53DA6">
            <w:pPr>
              <w:pStyle w:val="normal"/>
            </w:pPr>
            <w:r>
              <w:t>Záväzky so zostatkovou dobou splatnosti jeden rok až päť rokov</w:t>
            </w:r>
          </w:p>
        </w:tc>
        <w:tc>
          <w:tcPr>
            <w:tcW w:w="297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674CFE" w:rsidRDefault="00674CFE">
            <w:pPr>
              <w:pStyle w:val="normal"/>
            </w:pPr>
          </w:p>
        </w:tc>
        <w:tc>
          <w:tcPr>
            <w:tcW w:w="2660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:rsidR="00674CFE" w:rsidRDefault="0064194B">
            <w:pPr>
              <w:pStyle w:val="normal"/>
            </w:pPr>
            <w:r>
              <w:t>40 643</w:t>
            </w:r>
            <w:r w:rsidR="00A53DA6">
              <w:t>,-</w:t>
            </w:r>
          </w:p>
          <w:p w:rsidR="00674CFE" w:rsidRDefault="00674CFE">
            <w:pPr>
              <w:pStyle w:val="normal"/>
            </w:pPr>
          </w:p>
        </w:tc>
      </w:tr>
    </w:tbl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18"/>
          <w:szCs w:val="18"/>
        </w:rPr>
      </w:pPr>
    </w:p>
    <w:p w:rsidR="00674CFE" w:rsidRDefault="00674CFE">
      <w:pPr>
        <w:pStyle w:val="normal"/>
      </w:pPr>
    </w:p>
    <w:p w:rsidR="00674CFE" w:rsidRDefault="00674CFE">
      <w:pPr>
        <w:pStyle w:val="normal"/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i/>
          <w:color w:val="000000"/>
          <w:sz w:val="18"/>
          <w:szCs w:val="18"/>
        </w:rPr>
      </w:pPr>
    </w:p>
    <w:p w:rsidR="00674CFE" w:rsidRDefault="00A53DA6">
      <w:pPr>
        <w:pStyle w:val="normal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Informácie k prílohe č. 3 časti F. písm. t) a u) o pohľadávkach zabezpečených záložným právom alebo inou formou zabezpečenia  </w:t>
      </w:r>
    </w:p>
    <w:p w:rsidR="00674CFE" w:rsidRDefault="00674CFE">
      <w:pPr>
        <w:pStyle w:val="normal"/>
      </w:pPr>
    </w:p>
    <w:tbl>
      <w:tblPr>
        <w:tblStyle w:val="a2"/>
        <w:tblW w:w="9466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4878"/>
        <w:gridCol w:w="2331"/>
        <w:gridCol w:w="2257"/>
      </w:tblGrid>
      <w:tr w:rsidR="00674CFE">
        <w:trPr>
          <w:cantSplit/>
          <w:tblHeader/>
          <w:jc w:val="center"/>
        </w:trPr>
        <w:tc>
          <w:tcPr>
            <w:tcW w:w="4878" w:type="dxa"/>
            <w:vMerge w:val="restart"/>
            <w:tcBorders>
              <w:top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Opis predmetu záložného práva</w:t>
            </w:r>
          </w:p>
        </w:tc>
        <w:tc>
          <w:tcPr>
            <w:tcW w:w="4588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</w:tcBorders>
            <w:vAlign w:val="center"/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Bežné účtovné obdobie</w:t>
            </w:r>
          </w:p>
        </w:tc>
      </w:tr>
      <w:tr w:rsidR="00674CFE">
        <w:trPr>
          <w:cantSplit/>
          <w:tblHeader/>
          <w:jc w:val="center"/>
        </w:trPr>
        <w:tc>
          <w:tcPr>
            <w:tcW w:w="4878" w:type="dxa"/>
            <w:vMerge/>
            <w:tcBorders>
              <w:top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674CFE" w:rsidRDefault="00674CF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Hodnota predmetu záložného práva</w:t>
            </w:r>
          </w:p>
        </w:tc>
        <w:tc>
          <w:tcPr>
            <w:tcW w:w="2257" w:type="dxa"/>
            <w:tcBorders>
              <w:top w:val="single" w:sz="12" w:space="0" w:color="000000"/>
              <w:left w:val="single" w:sz="12" w:space="0" w:color="000000"/>
              <w:bottom w:val="nil"/>
            </w:tcBorders>
            <w:vAlign w:val="center"/>
          </w:tcPr>
          <w:p w:rsidR="00674CFE" w:rsidRDefault="00A53DA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Hodnota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br/>
              <w:t> pohľadávky</w:t>
            </w:r>
          </w:p>
        </w:tc>
      </w:tr>
      <w:tr w:rsidR="00674CFE">
        <w:trPr>
          <w:cantSplit/>
          <w:trHeight w:val="510"/>
          <w:tblHeader/>
          <w:jc w:val="center"/>
        </w:trPr>
        <w:tc>
          <w:tcPr>
            <w:tcW w:w="4878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674CFE" w:rsidRDefault="00A53DA6">
            <w:pPr>
              <w:pStyle w:val="normal"/>
            </w:pPr>
            <w:r>
              <w:t>Pohľadávky kryté záložným právom alebo inou formou zabezpečenia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:rsidR="00674CFE" w:rsidRDefault="00674CFE">
            <w:pPr>
              <w:pStyle w:val="normal"/>
            </w:pPr>
          </w:p>
        </w:tc>
        <w:tc>
          <w:tcPr>
            <w:tcW w:w="2257" w:type="dxa"/>
            <w:tcBorders>
              <w:top w:val="single" w:sz="12" w:space="0" w:color="000000"/>
            </w:tcBorders>
            <w:vAlign w:val="center"/>
          </w:tcPr>
          <w:p w:rsidR="00674CFE" w:rsidRDefault="00674CFE">
            <w:pPr>
              <w:pStyle w:val="normal"/>
            </w:pPr>
          </w:p>
        </w:tc>
      </w:tr>
      <w:tr w:rsidR="00674CFE">
        <w:trPr>
          <w:cantSplit/>
          <w:trHeight w:val="340"/>
          <w:tblHeader/>
          <w:jc w:val="center"/>
        </w:trPr>
        <w:tc>
          <w:tcPr>
            <w:tcW w:w="487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674CFE" w:rsidRDefault="00A53DA6">
            <w:pPr>
              <w:pStyle w:val="normal"/>
            </w:pPr>
            <w:r>
              <w:t>Hodnota pohľadávok, na ktoré sa zriadilo záložné právo</w:t>
            </w:r>
          </w:p>
        </w:tc>
        <w:tc>
          <w:tcPr>
            <w:tcW w:w="2331" w:type="dxa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674CFE" w:rsidRDefault="00A53DA6">
            <w:pPr>
              <w:pStyle w:val="normal"/>
              <w:jc w:val="center"/>
            </w:pPr>
            <w:r>
              <w:t>x</w:t>
            </w:r>
          </w:p>
        </w:tc>
        <w:tc>
          <w:tcPr>
            <w:tcW w:w="2257" w:type="dxa"/>
            <w:tcBorders>
              <w:bottom w:val="single" w:sz="12" w:space="0" w:color="000000"/>
            </w:tcBorders>
            <w:vAlign w:val="center"/>
          </w:tcPr>
          <w:p w:rsidR="00674CFE" w:rsidRDefault="00674CFE">
            <w:pPr>
              <w:pStyle w:val="normal"/>
            </w:pPr>
          </w:p>
        </w:tc>
      </w:tr>
    </w:tbl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</w:p>
    <w:p w:rsidR="00674CFE" w:rsidRDefault="00674CFE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</w:p>
    <w:p w:rsidR="00674CFE" w:rsidRDefault="00A53DA6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NÁKLADOCH A výnosoch</w:t>
      </w:r>
    </w:p>
    <w:p w:rsidR="00674CFE" w:rsidRDefault="00674CFE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ind w:left="360" w:hanging="360"/>
        <w:rPr>
          <w:b/>
          <w:color w:val="000000"/>
          <w:sz w:val="18"/>
          <w:szCs w:val="18"/>
        </w:rPr>
      </w:pPr>
      <w:bookmarkStart w:id="5" w:name="_tyjcwt" w:colFirst="0" w:colLast="0"/>
      <w:bookmarkEnd w:id="5"/>
    </w:p>
    <w:p w:rsidR="00674CFE" w:rsidRDefault="00A53DA6">
      <w:pPr>
        <w:pStyle w:val="normal"/>
        <w:keepNext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Informácia o nákladoch a výnosoch, ktoré majú výnimočný rozsah alebo výskyt: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Nenastali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iných aktívach a iných pasívach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Spoločnosť neeviduje iné aktíva a iné pasíva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keepNext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Významné položky prenajatého majetku</w:t>
      </w:r>
    </w:p>
    <w:p w:rsidR="00674CFE" w:rsidRDefault="00674CFE">
      <w:pPr>
        <w:pStyle w:val="normal"/>
        <w:rPr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keepNext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Informácia o odpísaných pohľadávkach</w:t>
      </w:r>
    </w:p>
    <w:p w:rsidR="00674CFE" w:rsidRDefault="00674CFE">
      <w:pPr>
        <w:pStyle w:val="normal"/>
        <w:rPr>
          <w:sz w:val="18"/>
          <w:szCs w:val="18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Spoločnosť na podsúvahovej evidencii eviduje odpísané pohľadávky vo hodnote  0,- EUR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  <w:highlight w:val="yellow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  <w:highlight w:val="yellow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Informácia o poistení majetk</w:t>
      </w:r>
      <w:r>
        <w:rPr>
          <w:color w:val="000000"/>
          <w:sz w:val="18"/>
          <w:szCs w:val="18"/>
        </w:rPr>
        <w:t>u:</w:t>
      </w: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Celý majetok spoločnosti </w:t>
      </w:r>
      <w:r w:rsidR="00F17219">
        <w:rPr>
          <w:color w:val="000000"/>
          <w:sz w:val="18"/>
          <w:szCs w:val="18"/>
        </w:rPr>
        <w:t>COM</w:t>
      </w:r>
      <w:r>
        <w:rPr>
          <w:color w:val="000000"/>
          <w:sz w:val="18"/>
          <w:szCs w:val="18"/>
        </w:rPr>
        <w:t>l s.r.o., je poistený v spoločnosti KOOPERATÍVA poisťovňa a.s.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bookmarkStart w:id="6" w:name="_3dy6vkm" w:colFirst="0" w:colLast="0"/>
      <w:bookmarkEnd w:id="6"/>
      <w:r>
        <w:rPr>
          <w:b/>
          <w:smallCaps/>
          <w:color w:val="000000"/>
          <w:sz w:val="18"/>
          <w:szCs w:val="18"/>
        </w:rPr>
        <w:t>Informácie o skutočnostiach, ktoré nastali po dni, ku ktorému sa zostavuje účtovná závierka, do dňa zostavenia účtovnej závierky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A53DA6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Po 31. decembri 20</w:t>
      </w:r>
      <w:r w:rsidR="00C37BBF">
        <w:rPr>
          <w:color w:val="000000"/>
          <w:sz w:val="18"/>
          <w:szCs w:val="18"/>
        </w:rPr>
        <w:t>21</w:t>
      </w:r>
      <w:r>
        <w:rPr>
          <w:color w:val="000000"/>
          <w:sz w:val="18"/>
          <w:szCs w:val="18"/>
        </w:rPr>
        <w:t xml:space="preserve"> nenastali žiadne zmeny, ktoré by mali významný vplyv na verné zobrazenie skutočnosti, ktoré sú predmetom účtovníctva.</w:t>
      </w: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  <w:bookmarkStart w:id="7" w:name="_1t3h5sf" w:colFirst="0" w:colLast="0"/>
      <w:bookmarkEnd w:id="7"/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p w:rsidR="00674CFE" w:rsidRDefault="00674CFE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18"/>
          <w:szCs w:val="18"/>
        </w:rPr>
      </w:pPr>
    </w:p>
    <w:sectPr w:rsidR="00674CFE" w:rsidSect="00674CFE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111" w:right="992" w:bottom="284" w:left="1418" w:header="42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775C" w:rsidRDefault="004D775C" w:rsidP="00674CFE">
      <w:r>
        <w:separator/>
      </w:r>
    </w:p>
  </w:endnote>
  <w:endnote w:type="continuationSeparator" w:id="1">
    <w:p w:rsidR="004D775C" w:rsidRDefault="004D775C" w:rsidP="00674C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4CFE" w:rsidRDefault="008810A2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 w:rsidR="00A53DA6">
      <w:rPr>
        <w:color w:val="000000"/>
      </w:rPr>
      <w:instrText>PAGE</w:instrText>
    </w:r>
    <w:r>
      <w:rPr>
        <w:color w:val="000000"/>
      </w:rPr>
      <w:fldChar w:fldCharType="separate"/>
    </w:r>
    <w:r w:rsidR="00F17219">
      <w:rPr>
        <w:noProof/>
        <w:color w:val="000000"/>
      </w:rPr>
      <w:t>5</w:t>
    </w:r>
    <w:r>
      <w:rPr>
        <w:color w:val="000000"/>
      </w:rPr>
      <w:fldChar w:fldCharType="end"/>
    </w:r>
  </w:p>
  <w:p w:rsidR="00674CFE" w:rsidRDefault="00674CFE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4CFE" w:rsidRDefault="00674CFE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  <w:tab w:val="right" w:pos="9214"/>
      </w:tabs>
      <w:rPr>
        <w:color w:val="000000"/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775C" w:rsidRDefault="004D775C" w:rsidP="00674CFE">
      <w:r>
        <w:separator/>
      </w:r>
    </w:p>
  </w:footnote>
  <w:footnote w:type="continuationSeparator" w:id="1">
    <w:p w:rsidR="004D775C" w:rsidRDefault="004D775C" w:rsidP="00674C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4CFE" w:rsidRDefault="00674CFE">
    <w:pPr>
      <w:pStyle w:val="normal"/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18"/>
        <w:szCs w:val="18"/>
      </w:rPr>
    </w:pPr>
  </w:p>
  <w:tbl>
    <w:tblPr>
      <w:tblStyle w:val="a4"/>
      <w:tblW w:w="9637" w:type="dxa"/>
      <w:jc w:val="center"/>
      <w:tblInd w:w="0" w:type="dxa"/>
      <w:tblLayout w:type="fixed"/>
      <w:tblLook w:val="0000"/>
    </w:tblPr>
    <w:tblGrid>
      <w:gridCol w:w="2782"/>
      <w:gridCol w:w="431"/>
      <w:gridCol w:w="485"/>
      <w:gridCol w:w="276"/>
      <w:gridCol w:w="276"/>
      <w:gridCol w:w="276"/>
      <w:gridCol w:w="277"/>
      <w:gridCol w:w="277"/>
      <w:gridCol w:w="277"/>
      <w:gridCol w:w="277"/>
      <w:gridCol w:w="277"/>
      <w:gridCol w:w="431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90"/>
    </w:tblGrid>
    <w:tr w:rsidR="00674CFE">
      <w:trPr>
        <w:cantSplit/>
        <w:trHeight w:val="330"/>
        <w:tblHeader/>
        <w:jc w:val="center"/>
      </w:trPr>
      <w:tc>
        <w:tcPr>
          <w:tcW w:w="27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674CFE" w:rsidRDefault="00A53DA6">
          <w:pPr>
            <w:pStyle w:val="normal"/>
            <w:rPr>
              <w:color w:val="000000"/>
            </w:rPr>
          </w:pPr>
          <w:r>
            <w:rPr>
              <w:color w:val="000000"/>
            </w:rPr>
            <w:t>Poznámky Úč POD 3 - 01</w:t>
          </w:r>
        </w:p>
      </w:tc>
      <w:tc>
        <w:tcPr>
          <w:tcW w:w="431" w:type="dxa"/>
          <w:tcBorders>
            <w:top w:val="nil"/>
            <w:left w:val="nil"/>
            <w:bottom w:val="nil"/>
            <w:right w:val="nil"/>
          </w:tcBorders>
        </w:tcPr>
        <w:p w:rsidR="00674CFE" w:rsidRDefault="00674CFE">
          <w:pPr>
            <w:pStyle w:val="normal"/>
            <w:jc w:val="center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000000"/>
          </w:tcBorders>
          <w:vAlign w:val="center"/>
        </w:tcPr>
        <w:p w:rsidR="00674CFE" w:rsidRDefault="00A53DA6">
          <w:pPr>
            <w:pStyle w:val="normal"/>
            <w:jc w:val="center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7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A53DA6">
          <w:pPr>
            <w:pStyle w:val="normal"/>
            <w:jc w:val="center"/>
            <w:rPr>
              <w:color w:val="000000"/>
            </w:rPr>
          </w:pPr>
          <w:r>
            <w:t>3</w:t>
          </w:r>
        </w:p>
      </w:tc>
      <w:tc>
        <w:tcPr>
          <w:tcW w:w="27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A53DA6">
          <w:pPr>
            <w:pStyle w:val="normal"/>
            <w:jc w:val="center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7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A53DA6">
          <w:pPr>
            <w:pStyle w:val="normal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7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3D3483">
          <w:pPr>
            <w:pStyle w:val="normal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7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3D3483">
          <w:pPr>
            <w:pStyle w:val="normal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7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3D3483">
          <w:pPr>
            <w:pStyle w:val="normal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7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3D3483">
          <w:pPr>
            <w:pStyle w:val="normal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7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3D3483">
          <w:pPr>
            <w:pStyle w:val="normal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43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center"/>
        </w:tcPr>
        <w:p w:rsidR="00674CFE" w:rsidRDefault="00674CFE">
          <w:pPr>
            <w:pStyle w:val="normal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single" w:sz="4" w:space="0" w:color="000000"/>
            <w:bottom w:val="nil"/>
            <w:right w:val="nil"/>
          </w:tcBorders>
          <w:vAlign w:val="center"/>
        </w:tcPr>
        <w:p w:rsidR="00674CFE" w:rsidRDefault="00A53DA6">
          <w:pPr>
            <w:pStyle w:val="normal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A53DA6">
          <w:pPr>
            <w:pStyle w:val="normal"/>
            <w:jc w:val="center"/>
          </w:pPr>
          <w:r>
            <w:t>2</w:t>
          </w:r>
        </w:p>
      </w:tc>
      <w:tc>
        <w:tcPr>
          <w:tcW w:w="28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A53DA6">
          <w:pPr>
            <w:pStyle w:val="normal"/>
          </w:pPr>
          <w:r>
            <w:t>0</w:t>
          </w:r>
        </w:p>
      </w:tc>
      <w:tc>
        <w:tcPr>
          <w:tcW w:w="28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A53DA6">
          <w:pPr>
            <w:pStyle w:val="normal"/>
            <w:jc w:val="center"/>
          </w:pPr>
          <w:r>
            <w:t>2</w:t>
          </w:r>
        </w:p>
      </w:tc>
      <w:tc>
        <w:tcPr>
          <w:tcW w:w="28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A53DA6">
          <w:pPr>
            <w:pStyle w:val="normal"/>
            <w:jc w:val="center"/>
          </w:pPr>
          <w:r>
            <w:t>0</w:t>
          </w:r>
        </w:p>
      </w:tc>
      <w:tc>
        <w:tcPr>
          <w:tcW w:w="28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A53DA6">
          <w:pPr>
            <w:pStyle w:val="normal"/>
            <w:jc w:val="center"/>
          </w:pPr>
          <w:r>
            <w:t>5</w:t>
          </w:r>
        </w:p>
      </w:tc>
      <w:tc>
        <w:tcPr>
          <w:tcW w:w="28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3D3483">
          <w:pPr>
            <w:pStyle w:val="normal"/>
            <w:jc w:val="center"/>
          </w:pPr>
          <w:r>
            <w:t>1</w:t>
          </w:r>
        </w:p>
      </w:tc>
      <w:tc>
        <w:tcPr>
          <w:tcW w:w="28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3D3483">
          <w:pPr>
            <w:pStyle w:val="normal"/>
            <w:jc w:val="center"/>
          </w:pPr>
          <w:r>
            <w:t>1</w:t>
          </w:r>
        </w:p>
      </w:tc>
      <w:tc>
        <w:tcPr>
          <w:tcW w:w="28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3D3483">
          <w:pPr>
            <w:pStyle w:val="normal"/>
            <w:jc w:val="center"/>
          </w:pPr>
          <w:r>
            <w:t>6</w:t>
          </w:r>
        </w:p>
      </w:tc>
      <w:tc>
        <w:tcPr>
          <w:tcW w:w="28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3D3483">
          <w:pPr>
            <w:pStyle w:val="normal"/>
            <w:jc w:val="center"/>
          </w:pPr>
          <w:r>
            <w:t>5</w:t>
          </w:r>
        </w:p>
      </w:tc>
      <w:tc>
        <w:tcPr>
          <w:tcW w:w="29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3D3483" w:rsidP="003D3483">
          <w:pPr>
            <w:pStyle w:val="normal"/>
            <w:jc w:val="center"/>
          </w:pPr>
          <w:r>
            <w:t>8</w:t>
          </w:r>
        </w:p>
      </w:tc>
    </w:tr>
  </w:tbl>
  <w:p w:rsidR="00674CFE" w:rsidRDefault="00674CFE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  <w:p w:rsidR="00674CFE" w:rsidRDefault="00674CFE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  <w:tab w:val="center" w:pos="4820"/>
        <w:tab w:val="right" w:pos="9214"/>
      </w:tabs>
      <w:jc w:val="right"/>
      <w:rPr>
        <w:color w:val="000000"/>
        <w:sz w:val="18"/>
        <w:szCs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4CFE" w:rsidRDefault="00674CFE">
    <w:pPr>
      <w:pStyle w:val="normal"/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18"/>
        <w:szCs w:val="18"/>
      </w:rPr>
    </w:pPr>
  </w:p>
  <w:tbl>
    <w:tblPr>
      <w:tblStyle w:val="a3"/>
      <w:tblW w:w="8325" w:type="dxa"/>
      <w:tblInd w:w="55" w:type="dxa"/>
      <w:tblLayout w:type="fixed"/>
      <w:tblLook w:val="000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74CFE">
      <w:trPr>
        <w:cantSplit/>
        <w:trHeight w:val="330"/>
        <w:tblHeader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674CFE" w:rsidRDefault="00A53DA6">
          <w:pPr>
            <w:pStyle w:val="normal"/>
            <w:rPr>
              <w:color w:val="000000"/>
            </w:rPr>
          </w:pPr>
          <w:r>
            <w:rPr>
              <w:color w:val="000000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674CFE" w:rsidRDefault="00674CFE">
          <w:pPr>
            <w:pStyle w:val="normal"/>
            <w:jc w:val="center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674CFE" w:rsidRDefault="00A53DA6">
          <w:pPr>
            <w:pStyle w:val="normal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A53DA6">
          <w:pPr>
            <w:pStyle w:val="normal"/>
            <w:jc w:val="center"/>
          </w:pPr>
          <w:r>
            <w:t> </w:t>
          </w:r>
        </w:p>
      </w:tc>
      <w:tc>
        <w:tcPr>
          <w:tcW w:w="28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A53DA6">
          <w:pPr>
            <w:pStyle w:val="normal"/>
            <w:jc w:val="center"/>
          </w:pPr>
          <w:r>
            <w:t> </w:t>
          </w:r>
        </w:p>
      </w:tc>
      <w:tc>
        <w:tcPr>
          <w:tcW w:w="28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A53DA6">
          <w:pPr>
            <w:pStyle w:val="normal"/>
            <w:jc w:val="center"/>
          </w:pPr>
          <w:r>
            <w:t> </w:t>
          </w:r>
        </w:p>
      </w:tc>
      <w:tc>
        <w:tcPr>
          <w:tcW w:w="28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A53DA6">
          <w:pPr>
            <w:pStyle w:val="normal"/>
            <w:jc w:val="center"/>
          </w:pPr>
          <w:r>
            <w:t> </w:t>
          </w:r>
        </w:p>
      </w:tc>
      <w:tc>
        <w:tcPr>
          <w:tcW w:w="28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A53DA6">
          <w:pPr>
            <w:pStyle w:val="normal"/>
            <w:jc w:val="center"/>
          </w:pPr>
          <w:r>
            <w:t> </w:t>
          </w:r>
        </w:p>
      </w:tc>
      <w:tc>
        <w:tcPr>
          <w:tcW w:w="28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A53DA6">
          <w:pPr>
            <w:pStyle w:val="normal"/>
            <w:jc w:val="center"/>
          </w:pPr>
          <w:r>
            <w:t> </w:t>
          </w:r>
        </w:p>
      </w:tc>
      <w:tc>
        <w:tcPr>
          <w:tcW w:w="28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A53DA6">
          <w:pPr>
            <w:pStyle w:val="normal"/>
            <w:jc w:val="center"/>
          </w:pPr>
          <w:r>
            <w:t> </w:t>
          </w:r>
        </w:p>
      </w:tc>
      <w:tc>
        <w:tcPr>
          <w:tcW w:w="28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A53DA6">
          <w:pPr>
            <w:pStyle w:val="normal"/>
            <w:jc w:val="center"/>
          </w:pPr>
          <w:r>
            <w:t> </w:t>
          </w:r>
        </w:p>
      </w:tc>
      <w:tc>
        <w:tcPr>
          <w:tcW w:w="28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A53DA6">
          <w:pPr>
            <w:pStyle w:val="normal"/>
            <w:jc w:val="center"/>
          </w:pPr>
          <w:r>
            <w:t> </w:t>
          </w:r>
        </w:p>
      </w:tc>
      <w:tc>
        <w:tcPr>
          <w:tcW w:w="28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674CFE" w:rsidRDefault="00A53DA6">
          <w:pPr>
            <w:pStyle w:val="normal"/>
            <w:jc w:val="center"/>
          </w:pPr>
          <w:r>
            <w:t> </w:t>
          </w:r>
        </w:p>
      </w:tc>
    </w:tr>
  </w:tbl>
  <w:p w:rsidR="00674CFE" w:rsidRDefault="00674CFE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  <w:tab w:val="center" w:pos="4820"/>
        <w:tab w:val="right" w:pos="9214"/>
      </w:tabs>
      <w:jc w:val="right"/>
      <w:rPr>
        <w:color w:val="000000"/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A3DBC"/>
    <w:multiLevelType w:val="multilevel"/>
    <w:tmpl w:val="299832D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045843A5"/>
    <w:multiLevelType w:val="multilevel"/>
    <w:tmpl w:val="B240C45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27CF6FBC"/>
    <w:multiLevelType w:val="multilevel"/>
    <w:tmpl w:val="21D433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3">
    <w:nsid w:val="29AD16FD"/>
    <w:multiLevelType w:val="multilevel"/>
    <w:tmpl w:val="3F00510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C86998"/>
    <w:multiLevelType w:val="multilevel"/>
    <w:tmpl w:val="7D2A17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5">
    <w:nsid w:val="2DCF1E74"/>
    <w:multiLevelType w:val="multilevel"/>
    <w:tmpl w:val="F19A37CC"/>
    <w:lvl w:ilvl="0">
      <w:start w:val="1"/>
      <w:numFmt w:val="lowerLetter"/>
      <w:lvlText w:val="%1)"/>
      <w:lvlJc w:val="left"/>
      <w:pPr>
        <w:ind w:left="786" w:hanging="360"/>
      </w:p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4BF10FF9"/>
    <w:multiLevelType w:val="multilevel"/>
    <w:tmpl w:val="13062EE0"/>
    <w:lvl w:ilvl="0">
      <w:start w:val="1"/>
      <w:numFmt w:val="lowerLetter"/>
      <w:lvlText w:val="(%1)"/>
      <w:lvlJc w:val="left"/>
      <w:pPr>
        <w:ind w:left="360" w:hanging="36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7">
    <w:nsid w:val="57A81F07"/>
    <w:multiLevelType w:val="multilevel"/>
    <w:tmpl w:val="251AB7F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89F0E58"/>
    <w:multiLevelType w:val="multilevel"/>
    <w:tmpl w:val="DB40CD5A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E166347"/>
    <w:multiLevelType w:val="multilevel"/>
    <w:tmpl w:val="DE7CF284"/>
    <w:lvl w:ilvl="0">
      <w:start w:val="1"/>
      <w:numFmt w:val="lowerLetter"/>
      <w:lvlText w:val="%1)"/>
      <w:lvlJc w:val="left"/>
      <w:pPr>
        <w:ind w:left="786" w:hanging="360"/>
      </w:p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2"/>
  </w:num>
  <w:num w:numId="2">
    <w:abstractNumId w:val="3"/>
  </w:num>
  <w:num w:numId="3">
    <w:abstractNumId w:val="8"/>
  </w:num>
  <w:num w:numId="4">
    <w:abstractNumId w:val="6"/>
  </w:num>
  <w:num w:numId="5">
    <w:abstractNumId w:val="7"/>
  </w:num>
  <w:num w:numId="6">
    <w:abstractNumId w:val="9"/>
  </w:num>
  <w:num w:numId="7">
    <w:abstractNumId w:val="4"/>
  </w:num>
  <w:num w:numId="8">
    <w:abstractNumId w:val="5"/>
  </w:num>
  <w:num w:numId="9">
    <w:abstractNumId w:val="0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74CFE"/>
    <w:rsid w:val="003275FE"/>
    <w:rsid w:val="00344DBA"/>
    <w:rsid w:val="003D3483"/>
    <w:rsid w:val="004D775C"/>
    <w:rsid w:val="0064194B"/>
    <w:rsid w:val="00674CFE"/>
    <w:rsid w:val="007D2615"/>
    <w:rsid w:val="008810A2"/>
    <w:rsid w:val="00A53DA6"/>
    <w:rsid w:val="00AA0C7F"/>
    <w:rsid w:val="00C37BBF"/>
    <w:rsid w:val="00F172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10A2"/>
  </w:style>
  <w:style w:type="paragraph" w:styleId="Nadpis1">
    <w:name w:val="heading 1"/>
    <w:basedOn w:val="normal"/>
    <w:next w:val="normal"/>
    <w:rsid w:val="00674CFE"/>
    <w:pPr>
      <w:keepNext/>
      <w:ind w:left="786" w:hanging="360"/>
      <w:outlineLvl w:val="0"/>
    </w:pPr>
    <w:rPr>
      <w:b/>
      <w:smallCaps/>
      <w:sz w:val="18"/>
      <w:szCs w:val="18"/>
    </w:rPr>
  </w:style>
  <w:style w:type="paragraph" w:styleId="Nadpis2">
    <w:name w:val="heading 2"/>
    <w:basedOn w:val="normal"/>
    <w:next w:val="normal"/>
    <w:rsid w:val="00674CFE"/>
    <w:pPr>
      <w:keepNext/>
      <w:ind w:left="360" w:hanging="360"/>
      <w:outlineLvl w:val="1"/>
    </w:pPr>
    <w:rPr>
      <w:b/>
      <w:sz w:val="18"/>
      <w:szCs w:val="18"/>
    </w:rPr>
  </w:style>
  <w:style w:type="paragraph" w:styleId="Nadpis3">
    <w:name w:val="heading 3"/>
    <w:basedOn w:val="normal"/>
    <w:next w:val="normal"/>
    <w:rsid w:val="00674CFE"/>
    <w:pPr>
      <w:keepNext/>
      <w:spacing w:before="240" w:after="60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Nadpis4">
    <w:name w:val="heading 4"/>
    <w:basedOn w:val="normal"/>
    <w:next w:val="normal"/>
    <w:rsid w:val="00674CFE"/>
    <w:pPr>
      <w:keepNext/>
      <w:spacing w:before="240" w:after="60"/>
      <w:outlineLvl w:val="3"/>
    </w:pPr>
    <w:rPr>
      <w:rFonts w:ascii="Arial Narrow" w:eastAsia="Arial Narrow" w:hAnsi="Arial Narrow" w:cs="Arial Narrow"/>
      <w:b/>
      <w:sz w:val="28"/>
      <w:szCs w:val="28"/>
    </w:rPr>
  </w:style>
  <w:style w:type="paragraph" w:styleId="Nadpis5">
    <w:name w:val="heading 5"/>
    <w:basedOn w:val="normal"/>
    <w:next w:val="normal"/>
    <w:rsid w:val="00674CFE"/>
    <w:pPr>
      <w:spacing w:before="240" w:after="60"/>
      <w:outlineLvl w:val="4"/>
    </w:pPr>
    <w:rPr>
      <w:rFonts w:ascii="Arial Narrow" w:eastAsia="Arial Narrow" w:hAnsi="Arial Narrow" w:cs="Arial Narrow"/>
      <w:b/>
      <w:i/>
      <w:sz w:val="26"/>
      <w:szCs w:val="26"/>
    </w:rPr>
  </w:style>
  <w:style w:type="paragraph" w:styleId="Nadpis6">
    <w:name w:val="heading 6"/>
    <w:basedOn w:val="normal"/>
    <w:next w:val="normal"/>
    <w:rsid w:val="00674CFE"/>
    <w:pPr>
      <w:keepNext/>
      <w:outlineLvl w:val="5"/>
    </w:pPr>
    <w:rPr>
      <w:b/>
      <w:smallCaps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al">
    <w:name w:val="normal"/>
    <w:rsid w:val="00674CFE"/>
  </w:style>
  <w:style w:type="table" w:customStyle="1" w:styleId="TableNormal">
    <w:name w:val="Table Normal"/>
    <w:rsid w:val="00674CF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al"/>
    <w:next w:val="normal"/>
    <w:rsid w:val="00674CFE"/>
    <w:pPr>
      <w:keepNext/>
      <w:spacing w:after="220"/>
      <w:jc w:val="center"/>
    </w:pPr>
    <w:rPr>
      <w:rFonts w:ascii="Arial Narrow" w:eastAsia="Arial Narrow" w:hAnsi="Arial Narrow" w:cs="Arial Narrow"/>
      <w:b/>
      <w:sz w:val="22"/>
      <w:szCs w:val="22"/>
    </w:rPr>
  </w:style>
  <w:style w:type="paragraph" w:styleId="Podtitul">
    <w:name w:val="Subtitle"/>
    <w:basedOn w:val="normal"/>
    <w:next w:val="normal"/>
    <w:rsid w:val="00674CFE"/>
    <w:pPr>
      <w:pBdr>
        <w:top w:val="nil"/>
        <w:left w:val="nil"/>
        <w:bottom w:val="nil"/>
        <w:right w:val="nil"/>
        <w:between w:val="nil"/>
      </w:pBdr>
      <w:spacing w:after="60"/>
      <w:jc w:val="center"/>
    </w:pPr>
    <w:rPr>
      <w:rFonts w:ascii="Cambria" w:eastAsia="Cambria" w:hAnsi="Cambria" w:cs="Cambria"/>
      <w:color w:val="000000"/>
      <w:sz w:val="22"/>
      <w:szCs w:val="22"/>
    </w:rPr>
  </w:style>
  <w:style w:type="table" w:customStyle="1" w:styleId="a">
    <w:basedOn w:val="TableNormal"/>
    <w:rsid w:val="00674CFE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"/>
    <w:rsid w:val="00674CFE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1">
    <w:basedOn w:val="TableNormal"/>
    <w:rsid w:val="00674CFE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2">
    <w:basedOn w:val="TableNormal"/>
    <w:rsid w:val="00674CFE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"/>
    <w:rsid w:val="00674CFE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4">
    <w:basedOn w:val="TableNormal"/>
    <w:rsid w:val="00674CFE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D348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D3483"/>
  </w:style>
  <w:style w:type="paragraph" w:styleId="Pta">
    <w:name w:val="footer"/>
    <w:basedOn w:val="Normlny"/>
    <w:link w:val="PtaChar"/>
    <w:uiPriority w:val="99"/>
    <w:semiHidden/>
    <w:unhideWhenUsed/>
    <w:rsid w:val="003D348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D3483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6</Pages>
  <Words>1801</Words>
  <Characters>10272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6</cp:revision>
  <dcterms:created xsi:type="dcterms:W3CDTF">2022-06-24T06:00:00Z</dcterms:created>
  <dcterms:modified xsi:type="dcterms:W3CDTF">2022-06-24T08:33:00Z</dcterms:modified>
</cp:coreProperties>
</file>