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Telotextu"/>
        <w:jc w:val="center"/>
        <w:rPr>
          <w:b/>
          <w:sz w:val="28"/>
        </w:rPr>
      </w:pPr>
      <w:r>
        <w:rPr>
          <w:b/>
          <w:sz w:val="28"/>
        </w:rPr>
        <w:t>Poznámky k účtovnej závierke k 31. 12. 2021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účtovnej jednotke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1"/>
          <w:numId w:val="4"/>
        </w:numPr>
        <w:rPr>
          <w:sz w:val="20"/>
        </w:rPr>
      </w:pPr>
      <w:r>
        <w:rPr>
          <w:sz w:val="20"/>
        </w:rPr>
        <w:t>Obchodné meno a sídlo spoločnosti: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tabs>
          <w:tab w:val="center" w:pos="4785" w:leader="none"/>
        </w:tabs>
        <w:ind w:left="360" w:right="0" w:hanging="0"/>
        <w:rPr>
          <w:b/>
          <w:sz w:val="20"/>
        </w:rPr>
      </w:pPr>
      <w:r>
        <w:rPr>
          <w:b/>
          <w:sz w:val="20"/>
        </w:rPr>
        <w:t>IGNITE, s.r.o.</w:t>
        <w:tab/>
      </w:r>
    </w:p>
    <w:p>
      <w:pPr>
        <w:pStyle w:val="Telotextu"/>
        <w:ind w:left="0" w:right="0" w:firstLine="360"/>
        <w:rPr>
          <w:sz w:val="20"/>
        </w:rPr>
      </w:pPr>
      <w:r>
        <w:rPr>
          <w:sz w:val="20"/>
        </w:rPr>
        <w:t>Ťačevská 610/23</w:t>
      </w:r>
    </w:p>
    <w:p>
      <w:pPr>
        <w:pStyle w:val="Telotextu"/>
        <w:ind w:left="0" w:right="0" w:firstLine="360"/>
        <w:rPr>
          <w:sz w:val="20"/>
        </w:rPr>
      </w:pPr>
      <w:r>
        <w:rPr>
          <w:sz w:val="20"/>
        </w:rPr>
        <w:t>085 01 Bardejov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hd w:fill="FFFFFF" w:val="clear"/>
        <w:spacing w:lineRule="auto" w:line="240" w:before="0" w:after="0"/>
        <w:ind w:left="360" w:right="0" w:hanging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  <w:t>Spoločnosť  IGNITE, s.r.o.  (ďalej len Spoločnosť) bola do obchodného registra bola zapísaná 24.10.2013, (Obchodný register Okresného súdu Prešov, oddiel Sro, vložka č.29127/P)</w:t>
      </w:r>
    </w:p>
    <w:p>
      <w:pPr>
        <w:pStyle w:val="Telotextu"/>
        <w:shd w:fill="FFFFFF" w:val="clear"/>
        <w:spacing w:lineRule="auto" w:line="240" w:before="0" w:after="0"/>
        <w:ind w:left="360" w:right="0" w:hanging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r>
    </w:p>
    <w:p>
      <w:pPr>
        <w:pStyle w:val="Telotextu"/>
        <w:shd w:fill="FFFFFF" w:val="clear"/>
        <w:spacing w:lineRule="auto" w:line="240" w:before="0" w:after="0"/>
        <w:ind w:left="360" w:right="0" w:hanging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r>
    </w:p>
    <w:p>
      <w:pPr>
        <w:pStyle w:val="Normal"/>
        <w:shd w:fill="FFFFFF" w:val="clear"/>
        <w:spacing w:lineRule="auto" w:line="240" w:before="0" w:after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2. Informácie o konsolidovanom celku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nie je súčasťou konsolidovaného celku.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tabs>
          <w:tab w:val="center" w:pos="4536" w:leader="none"/>
          <w:tab w:val="left" w:pos="7845" w:leader="none"/>
        </w:tabs>
        <w:spacing w:lineRule="auto" w:line="240" w:before="0" w:after="0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ab/>
        <w:t>3. Priemerný prepočítaný počet zamestnancov</w:t>
        <w:tab/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Priemerný prepočítaný počet zamestnancov: 0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Priemerný prepočítaný počet zamestnancov za bežné účtovné obdobie: 0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Priemerný prepočítaný počet zamestnancov za bezprostredne predchádzajúce účtovné obdobie: 0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4. Informácie o prijatých postupoch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Východiská pre zostavenie účtovnej závierky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závierka bola vypracovaná v súlade so zákonom č. 431/2002 Z.z. o účtovníctve a opatrením MF SR č. 23054/2002-92 v znení neskorších zmien, ktorým sa ustanovujú podrobnosti o postupoch účtovania a rámcovej účtovnej osnove pre podnikateľov. Menou pre vykazovanie je EURO.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Spôsob ocenenia jednotlivých zložiek majetku a záväzkov</w:t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Dlhodobý nehmotný, dlhodobý hmotný a dlhodobý finančný majetok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Účtovná jednotka </w:t>
      </w: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vlastní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 dlhodobý hmotný majetok a </w:t>
      </w: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nevlastní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 dlhodobý nehmotný majetok ani dlhodobý finančný majetok. Firma odkúpila do majetku osobné mot.vozidlo.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Zásoby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 účtovaní zásob postupoval podnik spôsobom B účtovania zásob. Nakupované zásoby podnik oceňoval obstarávacou cenou v zložení: obstarávacia cena vrátane nákladov súvisiacich s obstaraním. Náklady súvisiace s obstaraním zásob sa pri príjme na sklad rozpočítavali s cenou obstarania na technickú jednotku obstaranej zásoby. Pri vyskladnení zásob sa používal vážený aritmetický priemer z obstarávacích cien. Podnik netvoril v bežnom roku zásoby vlastnou činnosťou. Opravné položky k zásobám tvorené neboli. Účtovná jednotka neeviduje zásoby, na ktoré je zriadené záložné právo.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Pohľadávky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Pohľadávky sa pri ich vzniku oceňujú menovitou hodnotou postúpené pohľadávky a pohľadávky nadobudnuté vkladom do základného imania sa nerealizovali. K rizikovým pohľadávkam sa netvorili opravné položky. Výška  pohľadávok k 31.12.2021 je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auto" w:val="clear"/>
          <w:lang w:val="sk-SK"/>
        </w:rPr>
        <w:t>1525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auto" w:val="clear"/>
          <w:lang w:val="sk-SK"/>
        </w:rPr>
        <w:t>€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.</w:t>
      </w:r>
    </w:p>
    <w:p>
      <w:pPr>
        <w:pStyle w:val="Normal"/>
        <w:shd w:fill="FFFFFF" w:val="clear"/>
        <w:spacing w:lineRule="auto" w:line="240" w:before="0" w:after="0"/>
        <w:ind w:left="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Krátkodobý finančný majetok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Peňažné prostriedky sa oceňujú ich menovitou hodnotou. Účtovná jednotka vedie pokladnicu v mene EUR  v hodnote k 31.12.2021  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4892,48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€. Má zriadený bežný bankový účet v mene EUR v hodnote k 31.12.2021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auto" w:val="clear"/>
          <w:lang w:val="sk-SK"/>
        </w:rPr>
        <w:t>8266,49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€. Iný krátkodobý finančný majetok nevlastní.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Časové rozlíšenie nákladov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Časové rozlíšenie nákladov sa vykazuje vo výške, ktorá je potrebná na dodržanie zásady vecnej a časovej súvislosti s účtovným obdobím.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Záväzky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Záväzky sa pri ich vzniku oceňujú menovitou hodnotou. Výška záväzkov k 31.12.2021 je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auto" w:val="clear"/>
          <w:lang w:val="sk-SK"/>
        </w:rPr>
        <w:t>45,17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€. Záväzky nadobudnuté prevzatím sa nerealizovali.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Rezervy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Krátkodobé rezervy sa netvorili ku dňu, ku ktorému sa zostavuje účtovná závierka.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Daň z príjmov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Daň z príjmov sa skladá zo splatenej dane, o odloženej dani účtovná jednotka neúčtuje. Splatná Daň z príjmov sa počíta za rok 2021 vo výške 15% daňového základu, ktorý sa vypočítal úpravou účtovného výsledku hospodárenia o pripočítateľné a odpočítateľné položky. Účtovná jednotka má daň z príjmov splatnú vo výške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585,21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€.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Derivátové operácie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v bežnom roku derivátové operácie nerealizovala.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Spôsob zostavenia odpisového plánu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Odpisový plán účtovných odpisový hmotného majetku je zostavený na základe záväzného interného predpisu. Základom na vyčíslenie odpisov sú metódy používané pri vyčíslení daňových odpisov. Odpisové sadzby pre účtovné a daňové odpisy sa rovnajú. Účtovná jednotka nemá majetok, ktorý by odpisovala.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Zmeny účtovných metód a účtovných zásad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Od 01.01.2014 sa zmenila štruktúra účtovnej závierky z dôvodu prechodu na mikro účtovnú jednotku. Účtovné metódy a všeobecné zásady boli konzistentne aplikované počas celého účtovného. O nákladoch a výnosoch sa účtuje v momente ich vzniku, bez ohľadu na dátum úhrady, inkasa, alebo deň vyrovnania iným spôsobom. Dodržuje sa zásada vecnej a časovej súvislosti nákladov s výnosmi.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 dotáciách a ich oceňovanie v účtovníctve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žiadne poskytnuté dotácie.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 účtovaní významných opráv chýb minulých účtovných období v bežnom období s uvedením vplyvu na nerozdelený zisk minulých rokov</w:t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V bežnom účtovnom období neboli zistené žiadne významné účtovné chyby minulých účtovných období, o ktorých by účtovná jednotka účtovala oproti nerozdelenému zisku minulého účtovného obdobia.</w:t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5. Informácie, ktoré dopĺňajú súvahu a výkaz ziskov a strát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sume a dôvodoch vzniku jednotlivých položiek nákladov alebo výnosov, ktoré majú výnimočný rozsah alebo výskyt.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Účtovnej jednotke v bežnom roku nevznikli žiadne náklady výnimočného rozsahu, ani sa nevyskytli žiadne výnosy výnimočného rozsahu.</w:t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záväzkoch, a to:</w:t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sumy záväzkov so zostatkovou dobou splatnosti dlhšou ako 5 rokov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má len krátkodobé záväzky s dobou splatnosti do jedného roka.</w:t>
      </w:r>
    </w:p>
    <w:p>
      <w:pPr>
        <w:pStyle w:val="ListParagraph"/>
        <w:shd w:fill="FFFFFF" w:val="clear"/>
        <w:spacing w:lineRule="auto" w:line="240" w:before="0" w:after="0"/>
        <w:ind w:left="144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zabezpečených záväzkov, opis a spôsoby zabezpečenia záväzkov</w:t>
      </w:r>
    </w:p>
    <w:p>
      <w:pPr>
        <w:pStyle w:val="ListParagraph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žiadne zabezpečené záväzky.</w:t>
      </w:r>
    </w:p>
    <w:p>
      <w:pPr>
        <w:pStyle w:val="ListParagraph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vlastných akciách</w:t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vlastné akcie.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orgánoch účtovnej jednotky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Štatutárnym orgánom spoločnosti je jeden konateľ, ktorý je aj spoločníkom účtovnej jednotky. V priebehu bežného roka mu neboli poskytnuté žiadne druhy záruk alebo iných zabezpečení, neboli mu poskytnuté žiadne pôžičky.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Nezrealizovali sa ani odpustené pôžičky a odpísané pôžičky. Na súkromné účely sa mu neposkytli žiadne finančné prostriedky.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povinnostiach účtovnej jednotky, a to: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finančných povinností, ktoré sa nevykazujú v súvahe, ale sú významné na posúdenie finančnej situácie účtovnej jednotky.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nemá žiadne záväzky vyplývajúce zo zmlúv, ktoré sa nevykazujú v súvahe a majú významný charakter.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významných podmienených záväzkov.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V bežnom účtovnom období spoločnosti nevznikli žiadne finančné povinnosti, ktoré by vznikli ako dôsledok minulej udalosti a ktorých existencia závisí od toho, či nastane alebo nenastane jedna alebo viac neistých udalostí v budúcnosti, ktorých vznik nezávisí od účtovnej jednotky.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Opis významných finančných povinností a významných podmienených záväzkov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nemá žiadne významné finančné povinnosti ani významné podmienené záväzky.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významných finančných povinností a významných podmienených záväzkov voči dcérskej účtovnej jednotke a účtovnej jednotke s významným vplyvom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spoločnosť nie je dcérskou spoločnosťou žiadnej inej účtovnej jednotky.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Opis významných povinností účtovnej jednotky vyplývajúcich z dôchodkových programov pre zamestnancov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žiadne významné povinnosti vyplývajúce z dôchodkových programov pre zamestnancov.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Účtovná jednotka dosiahla v roku 2021 hospodársky zisk vo výške pred zdanením: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auto" w:val="clear"/>
          <w:lang w:val="sk-SK"/>
        </w:rPr>
        <w:t>3557,80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. Hospodársky výsledok po zdanení je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auto" w:val="clear"/>
          <w:lang w:val="sk-SK"/>
        </w:rPr>
        <w:t xml:space="preserve"> 2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auto" w:val="clear"/>
          <w:lang w:val="sk-SK"/>
        </w:rPr>
        <w:t>972,59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€.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udelení výlučného práva alebo osobitného práva, ktorým sa udelilo právo poskytovať služby vo verejnom záujme.</w:t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Účtovnej jednotke nebolo udelené výlučné právo alebo osobitné právo poskytovať služby vo verejnom záujme.</w:t>
      </w:r>
    </w:p>
    <w:p>
      <w:pPr>
        <w:pStyle w:val="Normal"/>
        <w:widowControl/>
        <w:suppressAutoHyphens w:val="true"/>
        <w:bidi w:val="0"/>
        <w:spacing w:lineRule="auto" w:line="252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alibri Light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Normal"/>
      <w:pBdr>
        <w:top w:val="nil"/>
        <w:left w:val="single" w:sz="12" w:space="11" w:color="5B9BD5"/>
        <w:bottom w:val="nil"/>
        <w:right w:val="nil"/>
      </w:pBdr>
      <w:tabs>
        <w:tab w:val="left" w:pos="3620" w:leader="none"/>
        <w:tab w:val="left" w:pos="3964" w:leader="none"/>
      </w:tabs>
      <w:spacing w:before="0" w:after="0"/>
      <w:rPr>
        <w:rFonts w:ascii="Calibri Light" w:hAnsi="Calibri Light"/>
        <w:color w:val="2E74B5"/>
        <w:sz w:val="26"/>
        <w:szCs w:val="26"/>
      </w:rPr>
    </w:pPr>
    <w:r>
      <w:rPr>
        <w:rFonts w:ascii="Calibri Light" w:hAnsi="Calibri Light"/>
        <w:color w:val="2E74B5"/>
        <w:sz w:val="26"/>
        <w:szCs w:val="26"/>
      </w:rPr>
      <w:t>Poznámky Úč MÚJ 3-01                                                      DIČ:2023931690  IČO:47471921</w:t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3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count="376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unhideWhenUsed="1" w:semiHidden="1" w:uiPriority="9" w:name="heading 2"/>
    <w:lsdException w:qFormat="1" w:unhideWhenUsed="1" w:semiHidden="1" w:uiPriority="9" w:name="heading 3"/>
    <w:lsdException w:qFormat="1" w:unhideWhenUsed="1" w:semiHidden="1" w:uiPriority="9" w:name="heading 4"/>
    <w:lsdException w:qFormat="1" w:unhideWhenUsed="1" w:semiHidden="1" w:uiPriority="9" w:name="heading 5"/>
    <w:lsdException w:qFormat="1" w:unhideWhenUsed="1" w:semiHidden="1" w:uiPriority="9" w:name="heading 6"/>
    <w:lsdException w:qFormat="1" w:unhideWhenUsed="1" w:semiHidden="1" w:uiPriority="9" w:name="heading 7"/>
    <w:lsdException w:qFormat="1" w:unhideWhenUsed="1" w:semiHidden="1" w:uiPriority="9" w:name="heading 8"/>
    <w:lsdException w:qFormat="1" w:unhideWhenUsed="1" w:semiHidden="1" w:uiPriority="9" w:name="heading 9"/>
    <w:lsdException w:unhideWhenUsed="1" w:semiHidden="1" w:name="index 1"/>
    <w:lsdException w:unhideWhenUsed="1" w:semiHidden="1" w:name="index 2"/>
    <w:lsdException w:unhideWhenUsed="1" w:semiHidden="1" w:name="index 3"/>
    <w:lsdException w:unhideWhenUsed="1" w:semiHidden="1" w:name="index 4"/>
    <w:lsdException w:unhideWhenUsed="1" w:semiHidden="1" w:name="index 5"/>
    <w:lsdException w:unhideWhenUsed="1" w:semiHidden="1" w:name="index 6"/>
    <w:lsdException w:unhideWhenUsed="1" w:semiHidden="1" w:name="index 7"/>
    <w:lsdException w:unhideWhenUsed="1" w:semiHidden="1" w:name="index 8"/>
    <w:lsdException w:unhideWhenUsed="1" w:semiHidden="1" w:name="index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unhideWhenUsed="1" w:semiHidden="1" w:name="Normal Indent"/>
    <w:lsdException w:unhideWhenUsed="1" w:semiHidden="1" w:name="footnote text"/>
    <w:lsdException w:unhideWhenUsed="1" w:semiHidden="1" w:name="annotation text"/>
    <w:lsdException w:unhideWhenUsed="1" w:semiHidden="1" w:name="header"/>
    <w:lsdException w:unhideWhenUsed="1" w:semiHidden="1" w:name="footer"/>
    <w:lsdException w:unhideWhenUsed="1" w:semiHidden="1" w:name="index heading"/>
    <w:lsdException w:qFormat="1" w:unhideWhenUsed="1" w:semiHidden="1" w:uiPriority="35" w:name="caption"/>
    <w:lsdException w:unhideWhenUsed="1" w:semiHidden="1" w:name="table of figures"/>
    <w:lsdException w:unhideWhenUsed="1" w:semiHidden="1" w:name="envelope address"/>
    <w:lsdException w:unhideWhenUsed="1" w:semiHidden="1" w:name="envelope return"/>
    <w:lsdException w:unhideWhenUsed="1" w:semiHidden="1" w:name="footnote reference"/>
    <w:lsdException w:unhideWhenUsed="1" w:semiHidden="1" w:name="annotation reference"/>
    <w:lsdException w:unhideWhenUsed="1" w:semiHidden="1" w:name="line number"/>
    <w:lsdException w:unhideWhenUsed="1" w:semiHidden="1" w:name="page number"/>
    <w:lsdException w:unhideWhenUsed="1" w:semiHidden="1" w:name="endnote reference"/>
    <w:lsdException w:unhideWhenUsed="1" w:semiHidden="1" w:name="endnote text"/>
    <w:lsdException w:unhideWhenUsed="1" w:semiHidden="1" w:name="table of authorities"/>
    <w:lsdException w:unhideWhenUsed="1" w:semiHidden="1" w:name="macro"/>
    <w:lsdException w:unhideWhenUsed="1" w:semiHidden="1" w:name="toa heading"/>
    <w:lsdException w:unhideWhenUsed="1" w:semiHidden="1" w:name="List"/>
    <w:lsdException w:unhideWhenUsed="1" w:semiHidden="1" w:name="List Bullet"/>
    <w:lsdException w:unhideWhenUsed="1" w:semiHidden="1" w:name="List Number"/>
    <w:lsdException w:unhideWhenUsed="1" w:semiHidden="1" w:name="List 2"/>
    <w:lsdException w:unhideWhenUsed="1" w:semiHidden="1" w:name="List 3"/>
    <w:lsdException w:unhideWhenUsed="1" w:semiHidden="1" w:name="List 4"/>
    <w:lsdException w:unhideWhenUsed="1" w:semiHidden="1" w:name="List 5"/>
    <w:lsdException w:unhideWhenUsed="1" w:semiHidden="1" w:name="List Bullet 2"/>
    <w:lsdException w:unhideWhenUsed="1" w:semiHidden="1" w:name="List Bullet 3"/>
    <w:lsdException w:unhideWhenUsed="1" w:semiHidden="1" w:name="List Bullet 4"/>
    <w:lsdException w:unhideWhenUsed="1" w:semiHidden="1" w:name="List Bullet 5"/>
    <w:lsdException w:unhideWhenUsed="1" w:semiHidden="1" w:name="List Number 2"/>
    <w:lsdException w:unhideWhenUsed="1" w:semiHidden="1" w:name="List Number 3"/>
    <w:lsdException w:unhideWhenUsed="1" w:semiHidden="1" w:name="List Number 4"/>
    <w:lsdException w:unhideWhenUsed="1" w:semiHidden="1" w:name="List Number 5"/>
    <w:lsdException w:qFormat="1" w:uiPriority="10" w:name="Title"/>
    <w:lsdException w:unhideWhenUsed="1" w:semiHidden="1" w:name="Closing"/>
    <w:lsdException w:unhideWhenUsed="1" w:semiHidden="1" w:name="Signature"/>
    <w:lsdException w:unhideWhenUsed="1" w:semiHidden="1" w:uiPriority="1" w:name="Default Paragraph Font"/>
    <w:lsdException w:unhideWhenUsed="1" w:semiHidden="1" w:name="Body Text"/>
    <w:lsdException w:unhideWhenUsed="1" w:semiHidden="1" w:name="Body Text Indent"/>
    <w:lsdException w:unhideWhenUsed="1" w:semiHidden="1" w:name="List Continue"/>
    <w:lsdException w:unhideWhenUsed="1" w:semiHidden="1" w:name="List Continue 2"/>
    <w:lsdException w:unhideWhenUsed="1" w:semiHidden="1" w:name="List Continue 3"/>
    <w:lsdException w:unhideWhenUsed="1" w:semiHidden="1" w:name="List Continue 4"/>
    <w:lsdException w:unhideWhenUsed="1" w:semiHidden="1" w:name="List Continue 5"/>
    <w:lsdException w:unhideWhenUsed="1" w:semiHidden="1" w:name="Message Header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unhideWhenUsed="1" w:semiHidden="1" w:name="Body Text First Indent 2"/>
    <w:lsdException w:unhideWhenUsed="1" w:semiHidden="1" w:name="Note Heading"/>
    <w:lsdException w:unhideWhenUsed="1" w:semiHidden="1" w:name="Body Text 2"/>
    <w:lsdException w:unhideWhenUsed="1" w:semiHidden="1" w:name="Body Text 3"/>
    <w:lsdException w:unhideWhenUsed="1" w:semiHidden="1" w:name="Body Text Indent 2"/>
    <w:lsdException w:unhideWhenUsed="1" w:semiHidden="1" w:name="Body Text Indent 3"/>
    <w:lsdException w:unhideWhenUsed="1" w:semiHidden="1" w:name="Block Text"/>
    <w:lsdException w:unhideWhenUsed="1" w:semiHidden="1" w:name="Hyperlink"/>
    <w:lsdException w:unhideWhenUsed="1" w:semiHidden="1" w:name="FollowedHyperlink"/>
    <w:lsdException w:qFormat="1" w:uiPriority="22" w:name="Strong"/>
    <w:lsdException w:qFormat="1" w:uiPriority="20" w:name="Emphasis"/>
    <w:lsdException w:unhideWhenUsed="1" w:semiHidden="1" w:name="Document Map"/>
    <w:lsdException w:unhideWhenUsed="1" w:semiHidden="1" w:name="Plain Text"/>
    <w:lsdException w:unhideWhenUsed="1" w:semiHidden="1" w:name="E-mail Signature"/>
    <w:lsdException w:unhideWhenUsed="1" w:semiHidden="1" w:name="HTML Top of Form"/>
    <w:lsdException w:unhideWhenUsed="1" w:semiHidden="1" w:name="HTML Bottom of Form"/>
    <w:lsdException w:unhideWhenUsed="1" w:semiHidden="1" w:name="Normal (Web)"/>
    <w:lsdException w:unhideWhenUsed="1" w:semiHidden="1" w:name="HTML Acronym"/>
    <w:lsdException w:unhideWhenUsed="1" w:semiHidden="1" w:name="HTML Address"/>
    <w:lsdException w:unhideWhenUsed="1" w:semiHidden="1" w:name="HTML Cite"/>
    <w:lsdException w:unhideWhenUsed="1" w:semiHidden="1" w:name="HTML Code"/>
    <w:lsdException w:unhideWhenUsed="1" w:semiHidden="1" w:name="HTML Definition"/>
    <w:lsdException w:unhideWhenUsed="1" w:semiHidden="1" w:name="HTML Keyboard"/>
    <w:lsdException w:unhideWhenUsed="1" w:semiHidden="1" w:name="HTML Preformatted"/>
    <w:lsdException w:unhideWhenUsed="1" w:semiHidden="1" w:name="HTML Sample"/>
    <w:lsdException w:unhideWhenUsed="1" w:semiHidden="1" w:name="HTML Typewriter"/>
    <w:lsdException w:unhideWhenUsed="1" w:semiHidden="1" w:name="HTML Variable"/>
    <w:lsdException w:unhideWhenUsed="1" w:semiHidden="1" w:name="Normal Table"/>
    <w:lsdException w:unhideWhenUsed="1" w:semiHidden="1" w:name="annotation subject"/>
    <w:lsdException w:unhideWhenUsed="1" w:semiHidden="1" w:name="No List"/>
    <w:lsdException w:unhideWhenUsed="1" w:semiHidden="1" w:name="Outline List 1"/>
    <w:lsdException w:unhideWhenUsed="1" w:semiHidden="1" w:name="Outline List 2"/>
    <w:lsdException w:unhideWhenUsed="1" w:semiHidden="1" w:name="Outline List 3"/>
    <w:lsdException w:unhideWhenUsed="1" w:semiHidden="1" w:name="Table Simple 1"/>
    <w:lsdException w:unhideWhenUsed="1" w:semiHidden="1" w:name="Table Simple 2"/>
    <w:lsdException w:unhideWhenUsed="1" w:semiHidden="1" w:name="Table Simple 3"/>
    <w:lsdException w:unhideWhenUsed="1" w:semiHidden="1" w:name="Table Classic 1"/>
    <w:lsdException w:unhideWhenUsed="1" w:semiHidden="1" w:name="Table Classic 2"/>
    <w:lsdException w:unhideWhenUsed="1" w:semiHidden="1" w:name="Table Classic 3"/>
    <w:lsdException w:unhideWhenUsed="1" w:semiHidden="1" w:name="Table Classic 4"/>
    <w:lsdException w:unhideWhenUsed="1" w:semiHidden="1" w:name="Table Colorful 1"/>
    <w:lsdException w:unhideWhenUsed="1" w:semiHidden="1" w:name="Table Colorful 2"/>
    <w:lsdException w:unhideWhenUsed="1" w:semiHidden="1" w:name="Table Colorful 3"/>
    <w:lsdException w:unhideWhenUsed="1" w:semiHidden="1" w:name="Table Columns 1"/>
    <w:lsdException w:unhideWhenUsed="1" w:semiHidden="1" w:name="Table Columns 2"/>
    <w:lsdException w:unhideWhenUsed="1" w:semiHidden="1" w:name="Table Columns 3"/>
    <w:lsdException w:unhideWhenUsed="1" w:semiHidden="1" w:name="Table Columns 4"/>
    <w:lsdException w:unhideWhenUsed="1" w:semiHidden="1" w:name="Table Columns 5"/>
    <w:lsdException w:unhideWhenUsed="1" w:semiHidden="1" w:name="Table Grid 1"/>
    <w:lsdException w:unhideWhenUsed="1" w:semiHidden="1" w:name="Table Grid 2"/>
    <w:lsdException w:unhideWhenUsed="1" w:semiHidden="1" w:name="Table Grid 3"/>
    <w:lsdException w:unhideWhenUsed="1" w:semiHidden="1" w:name="Table Grid 4"/>
    <w:lsdException w:unhideWhenUsed="1" w:semiHidden="1" w:name="Table Grid 5"/>
    <w:lsdException w:unhideWhenUsed="1" w:semiHidden="1" w:name="Table Grid 6"/>
    <w:lsdException w:unhideWhenUsed="1" w:semiHidden="1" w:name="Table Grid 7"/>
    <w:lsdException w:unhideWhenUsed="1" w:semiHidden="1" w:name="Table Grid 8"/>
    <w:lsdException w:unhideWhenUsed="1" w:semiHidden="1" w:name="Table List 1"/>
    <w:lsdException w:unhideWhenUsed="1" w:semiHidden="1" w:name="Table List 2"/>
    <w:lsdException w:unhideWhenUsed="1" w:semiHidden="1" w:name="Table List 3"/>
    <w:lsdException w:unhideWhenUsed="1" w:semiHidden="1" w:name="Table List 4"/>
    <w:lsdException w:unhideWhenUsed="1" w:semiHidden="1" w:name="Table List 5"/>
    <w:lsdException w:unhideWhenUsed="1" w:semiHidden="1" w:name="Table List 6"/>
    <w:lsdException w:unhideWhenUsed="1" w:semiHidden="1" w:name="Table List 7"/>
    <w:lsdException w:unhideWhenUsed="1" w:semiHidden="1" w:name="Table List 8"/>
    <w:lsdException w:unhideWhenUsed="1" w:semiHidden="1" w:name="Table 3D effects 1"/>
    <w:lsdException w:unhideWhenUsed="1" w:semiHidden="1" w:name="Table 3D effects 2"/>
    <w:lsdException w:unhideWhenUsed="1" w:semiHidden="1" w:name="Table 3D effects 3"/>
    <w:lsdException w:unhideWhenUsed="1" w:semiHidden="1" w:name="Table Contemporary"/>
    <w:lsdException w:unhideWhenUsed="1" w:semiHidden="1" w:name="Table Elegant"/>
    <w:lsdException w:unhideWhenUsed="1" w:semiHidden="1" w:name="Table Professional"/>
    <w:lsdException w:unhideWhenUsed="1" w:semiHidden="1" w:name="Table Subtle 1"/>
    <w:lsdException w:unhideWhenUsed="1" w:semiHidden="1" w:name="Table Subtle 2"/>
    <w:lsdException w:unhideWhenUsed="1" w:semiHidden="1" w:name="Table Web 1"/>
    <w:lsdException w:unhideWhenUsed="1" w:semiHidden="1" w:name="Table Web 2"/>
    <w:lsdException w:unhideWhenUsed="1" w:semiHidden="1" w:name="Table Web 3"/>
    <w:lsdException w:unhideWhenUsed="1" w:semiHidden="1" w:name="Balloon Text"/>
    <w:lsdException w:uiPriority="39" w:name="Table Grid"/>
    <w:lsdException w:unhideWhenUsed="1" w:semiHidden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  <w:lsdException w:unhideWhenUsed="1" w:semiHidden="1" w:name="Mention"/>
    <w:lsdException w:unhideWhenUsed="1" w:semiHidden="1" w:name="Smart Hyperlink"/>
    <w:lsdException w:unhideWhenUsed="1" w:semiHidden="1" w:name="Hashtag"/>
    <w:lsdException w:unhideWhenUsed="1" w:semiHidden="1" w:name="Unresolved Mention"/>
    <w:lsdException w:unhideWhenUsed="1" w:semiHidden="1" w:name="Smart Link"/>
  </w:latentStyles>
  <w:style w:type="paragraph" w:styleId="Normal" w:default="1">
    <w:name w:val="Normal"/>
    <w:qFormat/>
    <w:rsid w:val="008240e4"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SimSun" w:cs="Calibri"/>
      <w:color w:val="00000A"/>
      <w:sz w:val="22"/>
      <w:szCs w:val="22"/>
      <w:lang w:val="en-US" w:eastAsia="en-US" w:bidi="ar-SA"/>
    </w:rPr>
  </w:style>
  <w:style w:type="paragraph" w:styleId="Nadpis1">
    <w:name w:val="Nadpis 1"/>
    <w:basedOn w:val="Normal"/>
    <w:pPr>
      <w:keepNext/>
      <w:outlineLvl w:val="0"/>
    </w:pPr>
    <w:rPr>
      <w:b/>
      <w:caps/>
      <w:sz w:val="18"/>
    </w:rPr>
  </w:style>
  <w:style w:type="paragraph" w:styleId="Nadpis2">
    <w:name w:val="Nadpis 2"/>
    <w:basedOn w:val="Normal"/>
    <w:pPr>
      <w:keepNext/>
      <w:outlineLvl w:val="1"/>
    </w:pPr>
    <w:rPr>
      <w:b/>
      <w:sz w:val="18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uiPriority w:val="99"/>
    <w:link w:val="Hlavika"/>
    <w:rsid w:val="00f368b0"/>
    <w:basedOn w:val="DefaultParagraphFont"/>
    <w:rPr>
      <w:lang w:val="en-US"/>
    </w:rPr>
  </w:style>
  <w:style w:type="character" w:styleId="PtaChar" w:customStyle="1">
    <w:name w:val="Päta Char"/>
    <w:uiPriority w:val="99"/>
    <w:link w:val="Pta"/>
    <w:rsid w:val="00f368b0"/>
    <w:basedOn w:val="DefaultParagraphFont"/>
    <w:rPr>
      <w:lang w:val="en-US"/>
    </w:rPr>
  </w:style>
  <w:style w:type="character" w:styleId="TextbublinyChar" w:customStyle="1">
    <w:name w:val="Text bubliny Char"/>
    <w:uiPriority w:val="99"/>
    <w:semiHidden/>
    <w:link w:val="Textbubliny"/>
    <w:rsid w:val="00f368b0"/>
    <w:basedOn w:val="DefaultParagraphFont"/>
    <w:rPr>
      <w:rFonts w:ascii="Segoe UI" w:hAnsi="Segoe UI" w:cs="Segoe UI"/>
      <w:sz w:val="18"/>
      <w:szCs w:val="18"/>
      <w:lang w:val="en-US"/>
    </w:rPr>
  </w:style>
  <w:style w:type="character" w:styleId="WW8Num7z0" w:customStyle="1">
    <w:name w:val="WW8Num7z0"/>
    <w:rPr>
      <w:sz w:val="20"/>
    </w:rPr>
  </w:style>
  <w:style w:type="character" w:styleId="WW8Num11z0" w:customStyle="1">
    <w:name w:val="WW8Num11z0"/>
    <w:rPr/>
  </w:style>
  <w:style w:type="character" w:styleId="WW8Num11z1" w:customStyle="1">
    <w:name w:val="WW8Num11z1"/>
    <w:rPr/>
  </w:style>
  <w:style w:type="character" w:styleId="WW8Num11z2" w:customStyle="1">
    <w:name w:val="WW8Num11z2"/>
    <w:rPr/>
  </w:style>
  <w:style w:type="character" w:styleId="WW8Num11z3" w:customStyle="1">
    <w:name w:val="WW8Num11z3"/>
    <w:rPr/>
  </w:style>
  <w:style w:type="character" w:styleId="WW8Num11z4" w:customStyle="1">
    <w:name w:val="WW8Num11z4"/>
    <w:rPr/>
  </w:style>
  <w:style w:type="character" w:styleId="WW8Num11z5" w:customStyle="1">
    <w:name w:val="WW8Num11z5"/>
    <w:rPr/>
  </w:style>
  <w:style w:type="character" w:styleId="WW8Num11z6" w:customStyle="1">
    <w:name w:val="WW8Num11z6"/>
    <w:rPr/>
  </w:style>
  <w:style w:type="character" w:styleId="WW8Num11z7" w:customStyle="1">
    <w:name w:val="WW8Num11z7"/>
    <w:rPr/>
  </w:style>
  <w:style w:type="character" w:styleId="WW8Num11z8" w:customStyle="1">
    <w:name w:val="WW8Num11z8"/>
    <w:rPr/>
  </w:style>
  <w:style w:type="character" w:styleId="WW8Num4z0" w:customStyle="1">
    <w:name w:val="WW8Num4z0"/>
    <w:rPr/>
  </w:style>
  <w:style w:type="character" w:styleId="WW8Num4z1" w:customStyle="1">
    <w:name w:val="WW8Num4z1"/>
    <w:rPr/>
  </w:style>
  <w:style w:type="character" w:styleId="WW8Num4z2" w:customStyle="1">
    <w:name w:val="WW8Num4z2"/>
    <w:rPr/>
  </w:style>
  <w:style w:type="character" w:styleId="WW8Num4z3" w:customStyle="1">
    <w:name w:val="WW8Num4z3"/>
    <w:rPr/>
  </w:style>
  <w:style w:type="character" w:styleId="WW8Num4z4" w:customStyle="1">
    <w:name w:val="WW8Num4z4"/>
    <w:rPr/>
  </w:style>
  <w:style w:type="character" w:styleId="WW8Num4z5" w:customStyle="1">
    <w:name w:val="WW8Num4z5"/>
    <w:rPr/>
  </w:style>
  <w:style w:type="character" w:styleId="WW8Num4z6" w:customStyle="1">
    <w:name w:val="WW8Num4z6"/>
    <w:rPr/>
  </w:style>
  <w:style w:type="character" w:styleId="WW8Num4z7" w:customStyle="1">
    <w:name w:val="WW8Num4z7"/>
    <w:rPr/>
  </w:style>
  <w:style w:type="character" w:styleId="WW8Num4z8" w:customStyle="1">
    <w:name w:val="WW8Num4z8"/>
    <w:rPr/>
  </w:style>
  <w:style w:type="character" w:styleId="ListLabel1">
    <w:name w:val="ListLabel 1"/>
    <w:rPr>
      <w:sz w:val="20"/>
    </w:rPr>
  </w:style>
  <w:style w:type="character" w:styleId="ListLabel2">
    <w:name w:val="ListLabel 2"/>
    <w:rPr>
      <w:sz w:val="20"/>
    </w:rPr>
  </w:style>
  <w:style w:type="character" w:styleId="ListLabel3">
    <w:name w:val="ListLabel 3"/>
    <w:rPr>
      <w:sz w:val="20"/>
    </w:rPr>
  </w:style>
  <w:style w:type="character" w:styleId="ListLabel4">
    <w:name w:val="ListLabel 4"/>
    <w:rPr>
      <w:sz w:val="20"/>
    </w:rPr>
  </w:style>
  <w:style w:type="character" w:styleId="ListLabel5">
    <w:name w:val="ListLabel 5"/>
    <w:rPr>
      <w:sz w:val="20"/>
    </w:rPr>
  </w:style>
  <w:style w:type="paragraph" w:styleId="Nadpis" w:customStyle="1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Telotextu" w:customStyle="1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 Unicode MS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 w:customStyle="1">
    <w:name w:val="Index"/>
    <w:basedOn w:val="Normal"/>
    <w:pPr>
      <w:suppressLineNumbers/>
    </w:pPr>
    <w:rPr>
      <w:rFonts w:cs="Arial Unicode MS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ListParagraph">
    <w:name w:val="List Paragraph"/>
    <w:uiPriority w:val="34"/>
    <w:qFormat/>
    <w:rsid w:val="008240e4"/>
    <w:basedOn w:val="Normal"/>
    <w:pPr>
      <w:spacing w:before="0" w:after="160"/>
      <w:ind w:left="720" w:right="0" w:hanging="0"/>
      <w:contextualSpacing/>
    </w:pPr>
    <w:rPr/>
  </w:style>
  <w:style w:type="paragraph" w:styleId="Hlavika">
    <w:name w:val="Hlavička"/>
    <w:uiPriority w:val="99"/>
    <w:unhideWhenUsed/>
    <w:link w:val="HlavikaChar"/>
    <w:rsid w:val="00f368b0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unhideWhenUsed/>
    <w:link w:val="PtaChar"/>
    <w:rsid w:val="00f368b0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uiPriority w:val="99"/>
    <w:semiHidden/>
    <w:unhideWhenUsed/>
    <w:link w:val="TextbublinyChar"/>
    <w:rsid w:val="00f368b0"/>
    <w:basedOn w:val="Normal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</w:style>
  <w:style w:type="numbering" w:styleId="WW8Num7" w:customStyle="1">
    <w:name w:val="WW8Num7"/>
  </w:style>
  <w:style w:type="numbering" w:styleId="WW8Num11" w:customStyle="1">
    <w:name w:val="WW8Num11"/>
  </w:style>
  <w:style w:type="numbering" w:styleId="WW8Num4" w:customStyle="1">
    <w:name w:val="WW8Num4"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LibreOffice/4.2.4.2$Windows_x86 LibreOffice_project/63150712c6d317d27ce2db16eb94c2f3d7b699f8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2020-06-26T13:13:00Z</dcterms:created>
  <dc:creator>test</dc:creator>
  <dc:language>sk-SK</dc:language>
  <cp:lastModifiedBy>Martina</cp:lastModifiedBy>
  <cp:lastPrinted>2019-06-27T14:14:00Z</cp:lastPrinted>
  <dcterms:modified xsi:type="dcterms:W3CDTF">2020-06-26T13:13:00Z</dcterms:modified>
  <cp:revision>2</cp:revision>
</cp:coreProperties>
</file>