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670E5" w:rsidRPr="002D4C6D" w:rsidRDefault="002D4C6D" w:rsidP="002D4C6D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2D4C6D">
        <w:rPr>
          <w:rFonts w:ascii="Arial" w:hAnsi="Arial" w:cs="Arial"/>
          <w:b/>
          <w:sz w:val="24"/>
          <w:szCs w:val="24"/>
        </w:rPr>
        <w:t>BKP – TRADE s.r.o.</w:t>
      </w:r>
    </w:p>
    <w:p w:rsidR="002D4C6D" w:rsidRPr="002D4C6D" w:rsidRDefault="002D4C6D" w:rsidP="002D4C6D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2D4C6D">
        <w:rPr>
          <w:rFonts w:ascii="Arial" w:hAnsi="Arial" w:cs="Arial"/>
          <w:b/>
          <w:sz w:val="24"/>
          <w:szCs w:val="24"/>
        </w:rPr>
        <w:t>Cukrovarská 32/2, 075 01 Trebišov</w:t>
      </w:r>
    </w:p>
    <w:p w:rsidR="002D4C6D" w:rsidRPr="002D4C6D" w:rsidRDefault="002D4C6D" w:rsidP="002D4C6D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2D4C6D">
        <w:rPr>
          <w:rFonts w:ascii="Arial" w:hAnsi="Arial" w:cs="Arial"/>
          <w:b/>
          <w:sz w:val="24"/>
          <w:szCs w:val="24"/>
        </w:rPr>
        <w:t>ICO: 36583006, DIC: 2021873425</w:t>
      </w:r>
    </w:p>
    <w:p w:rsidR="002D4C6D" w:rsidRPr="002D4C6D" w:rsidRDefault="002D4C6D" w:rsidP="002D4C6D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2D4C6D" w:rsidRDefault="002D4C6D" w:rsidP="002D4C6D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2D4C6D">
        <w:rPr>
          <w:rFonts w:ascii="Arial" w:hAnsi="Arial" w:cs="Arial"/>
          <w:b/>
          <w:sz w:val="24"/>
          <w:szCs w:val="24"/>
        </w:rPr>
        <w:t>Príloha k účtovnej závierke</w:t>
      </w:r>
    </w:p>
    <w:p w:rsidR="002D4C6D" w:rsidRPr="002D4C6D" w:rsidRDefault="002D4C6D" w:rsidP="002D4C6D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2D4C6D" w:rsidRPr="002D4C6D" w:rsidRDefault="002D4C6D" w:rsidP="002D4C6D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2D4C6D">
        <w:rPr>
          <w:rFonts w:ascii="Arial" w:hAnsi="Arial" w:cs="Arial"/>
          <w:b/>
          <w:sz w:val="24"/>
          <w:szCs w:val="24"/>
        </w:rPr>
        <w:t>Opis hospodárskej činnosti účtovnej jednotky:</w:t>
      </w:r>
    </w:p>
    <w:p w:rsidR="002D4C6D" w:rsidRPr="002D4C6D" w:rsidRDefault="002D4C6D" w:rsidP="002D4C6D">
      <w:pPr>
        <w:pStyle w:val="Odsekzoznamu"/>
        <w:numPr>
          <w:ilvl w:val="0"/>
          <w:numId w:val="2"/>
        </w:numPr>
        <w:spacing w:after="0" w:line="240" w:lineRule="auto"/>
        <w:rPr>
          <w:rFonts w:ascii="Arial" w:hAnsi="Arial" w:cs="Arial"/>
          <w:sz w:val="24"/>
          <w:szCs w:val="24"/>
          <w:lang w:eastAsia="sk-SK"/>
        </w:rPr>
      </w:pPr>
      <w:r w:rsidRPr="002D4C6D">
        <w:rPr>
          <w:rFonts w:ascii="Arial" w:hAnsi="Arial" w:cs="Arial"/>
          <w:sz w:val="24"/>
          <w:szCs w:val="24"/>
          <w:lang w:eastAsia="sk-SK"/>
        </w:rPr>
        <w:t xml:space="preserve">veľkoobchod v rozsahu voľných živností </w:t>
      </w:r>
    </w:p>
    <w:p w:rsidR="002D4C6D" w:rsidRPr="002D4C6D" w:rsidRDefault="002D4C6D" w:rsidP="002D4C6D">
      <w:pPr>
        <w:pStyle w:val="Odsekzoznamu"/>
        <w:numPr>
          <w:ilvl w:val="0"/>
          <w:numId w:val="2"/>
        </w:numPr>
        <w:spacing w:after="0" w:line="240" w:lineRule="auto"/>
        <w:rPr>
          <w:rStyle w:val="ra"/>
          <w:rFonts w:ascii="Arial" w:hAnsi="Arial" w:cs="Arial"/>
          <w:sz w:val="24"/>
          <w:szCs w:val="24"/>
        </w:rPr>
      </w:pPr>
      <w:r w:rsidRPr="002D4C6D">
        <w:rPr>
          <w:rFonts w:ascii="Arial" w:hAnsi="Arial" w:cs="Arial"/>
          <w:sz w:val="24"/>
          <w:szCs w:val="24"/>
          <w:lang w:eastAsia="sk-SK"/>
        </w:rPr>
        <w:t>maloobchod v rozsahu voľných živností</w:t>
      </w:r>
      <w:r w:rsidRPr="002D4C6D">
        <w:rPr>
          <w:rFonts w:ascii="Arial" w:hAnsi="Arial" w:cs="Arial"/>
          <w:sz w:val="24"/>
          <w:szCs w:val="24"/>
        </w:rPr>
        <w:t xml:space="preserve"> </w:t>
      </w:r>
      <w:r w:rsidRPr="002D4C6D">
        <w:rPr>
          <w:rStyle w:val="ra"/>
          <w:rFonts w:ascii="Arial" w:hAnsi="Arial" w:cs="Arial"/>
          <w:sz w:val="24"/>
          <w:szCs w:val="24"/>
        </w:rPr>
        <w:t>správa registratúrnych záznamov</w:t>
      </w:r>
    </w:p>
    <w:p w:rsidR="002D4C6D" w:rsidRPr="002D4C6D" w:rsidRDefault="002D4C6D" w:rsidP="002D4C6D">
      <w:pPr>
        <w:pStyle w:val="Odsekzoznamu"/>
        <w:numPr>
          <w:ilvl w:val="0"/>
          <w:numId w:val="2"/>
        </w:numPr>
        <w:spacing w:after="0" w:line="240" w:lineRule="auto"/>
        <w:rPr>
          <w:rFonts w:ascii="Arial" w:hAnsi="Arial" w:cs="Arial"/>
          <w:sz w:val="24"/>
          <w:szCs w:val="24"/>
          <w:lang w:eastAsia="sk-SK"/>
        </w:rPr>
      </w:pPr>
      <w:r w:rsidRPr="002D4C6D">
        <w:rPr>
          <w:rStyle w:val="ra"/>
          <w:rFonts w:ascii="Arial" w:hAnsi="Arial" w:cs="Arial"/>
          <w:sz w:val="24"/>
          <w:szCs w:val="24"/>
        </w:rPr>
        <w:t>prenájom bytov, domov, obchodov, konferenčných sál, prenájom pozemkov pre obytné prívesy</w:t>
      </w:r>
    </w:p>
    <w:p w:rsidR="002D4C6D" w:rsidRPr="002D4C6D" w:rsidRDefault="002D4C6D" w:rsidP="002D4C6D">
      <w:pPr>
        <w:pStyle w:val="Odsekzoznamu"/>
        <w:numPr>
          <w:ilvl w:val="0"/>
          <w:numId w:val="2"/>
        </w:numPr>
        <w:spacing w:after="0" w:line="240" w:lineRule="auto"/>
        <w:rPr>
          <w:rStyle w:val="ra"/>
          <w:rFonts w:ascii="Arial" w:hAnsi="Arial" w:cs="Arial"/>
          <w:sz w:val="24"/>
          <w:szCs w:val="24"/>
        </w:rPr>
      </w:pPr>
      <w:r>
        <w:rPr>
          <w:rStyle w:val="ra"/>
          <w:rFonts w:ascii="Arial" w:hAnsi="Arial" w:cs="Arial"/>
          <w:sz w:val="24"/>
          <w:szCs w:val="24"/>
        </w:rPr>
        <w:t>s</w:t>
      </w:r>
      <w:r w:rsidRPr="002D4C6D">
        <w:rPr>
          <w:rStyle w:val="ra"/>
          <w:rFonts w:ascii="Arial" w:hAnsi="Arial" w:cs="Arial"/>
          <w:sz w:val="24"/>
          <w:szCs w:val="24"/>
        </w:rPr>
        <w:t>práva a údržba bytového a nebytového fondu v rozsahu voľných živností</w:t>
      </w:r>
    </w:p>
    <w:p w:rsidR="002D4C6D" w:rsidRPr="002D4C6D" w:rsidRDefault="002D4C6D" w:rsidP="002D4C6D">
      <w:pPr>
        <w:spacing w:after="0" w:line="240" w:lineRule="auto"/>
        <w:ind w:left="708"/>
        <w:jc w:val="both"/>
        <w:rPr>
          <w:rFonts w:ascii="Arial" w:hAnsi="Arial" w:cs="Arial"/>
          <w:sz w:val="24"/>
          <w:szCs w:val="24"/>
        </w:rPr>
      </w:pPr>
    </w:p>
    <w:p w:rsidR="002D4C6D" w:rsidRPr="002D4C6D" w:rsidRDefault="002D4C6D" w:rsidP="002D4C6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4C6D">
        <w:rPr>
          <w:rFonts w:ascii="Arial" w:hAnsi="Arial" w:cs="Arial"/>
          <w:sz w:val="24"/>
          <w:szCs w:val="24"/>
        </w:rPr>
        <w:t>Účtovná závierka spoločnosti k 31.12.20</w:t>
      </w:r>
      <w:r w:rsidR="001A0324">
        <w:rPr>
          <w:rFonts w:ascii="Arial" w:hAnsi="Arial" w:cs="Arial"/>
          <w:sz w:val="24"/>
          <w:szCs w:val="24"/>
        </w:rPr>
        <w:t>2</w:t>
      </w:r>
      <w:r w:rsidR="009C2C25">
        <w:rPr>
          <w:rFonts w:ascii="Arial" w:hAnsi="Arial" w:cs="Arial"/>
          <w:sz w:val="24"/>
          <w:szCs w:val="24"/>
        </w:rPr>
        <w:t>1</w:t>
      </w:r>
      <w:r w:rsidRPr="002D4C6D">
        <w:rPr>
          <w:rFonts w:ascii="Arial" w:hAnsi="Arial" w:cs="Arial"/>
          <w:sz w:val="24"/>
          <w:szCs w:val="24"/>
        </w:rPr>
        <w:t xml:space="preserve"> je zostavená ako riadna účtovná závierka podľa § 17 ods. 6 zákona</w:t>
      </w:r>
      <w:r>
        <w:rPr>
          <w:rFonts w:ascii="Arial" w:hAnsi="Arial" w:cs="Arial"/>
          <w:sz w:val="24"/>
          <w:szCs w:val="24"/>
        </w:rPr>
        <w:t xml:space="preserve"> </w:t>
      </w:r>
      <w:r w:rsidRPr="002D4C6D">
        <w:rPr>
          <w:rFonts w:ascii="Arial" w:hAnsi="Arial" w:cs="Arial"/>
          <w:sz w:val="24"/>
          <w:szCs w:val="24"/>
        </w:rPr>
        <w:t>č. 431/2002  Z. z. o účtovníctve v znení neskorších predpisov, a to za účtovné obdobie od 01.01.20</w:t>
      </w:r>
      <w:r w:rsidR="001A0324">
        <w:rPr>
          <w:rFonts w:ascii="Arial" w:hAnsi="Arial" w:cs="Arial"/>
          <w:sz w:val="24"/>
          <w:szCs w:val="24"/>
        </w:rPr>
        <w:t>2</w:t>
      </w:r>
      <w:r w:rsidR="009C2C25">
        <w:rPr>
          <w:rFonts w:ascii="Arial" w:hAnsi="Arial" w:cs="Arial"/>
          <w:sz w:val="24"/>
          <w:szCs w:val="24"/>
        </w:rPr>
        <w:t>1</w:t>
      </w:r>
      <w:r w:rsidRPr="002D4C6D">
        <w:rPr>
          <w:rFonts w:ascii="Arial" w:hAnsi="Arial" w:cs="Arial"/>
          <w:sz w:val="24"/>
          <w:szCs w:val="24"/>
        </w:rPr>
        <w:t xml:space="preserve">  do 31.12.20</w:t>
      </w:r>
      <w:r w:rsidR="001A0324">
        <w:rPr>
          <w:rFonts w:ascii="Arial" w:hAnsi="Arial" w:cs="Arial"/>
          <w:sz w:val="24"/>
          <w:szCs w:val="24"/>
        </w:rPr>
        <w:t>2</w:t>
      </w:r>
      <w:r w:rsidRPr="002D4C6D">
        <w:rPr>
          <w:rFonts w:ascii="Arial" w:hAnsi="Arial" w:cs="Arial"/>
          <w:sz w:val="24"/>
          <w:szCs w:val="24"/>
        </w:rPr>
        <w:t>.</w:t>
      </w:r>
    </w:p>
    <w:p w:rsidR="002D4C6D" w:rsidRPr="002D4C6D" w:rsidRDefault="002D4C6D" w:rsidP="002D4C6D">
      <w:pPr>
        <w:spacing w:after="0" w:line="240" w:lineRule="auto"/>
        <w:rPr>
          <w:rStyle w:val="ra"/>
          <w:rFonts w:ascii="Arial" w:hAnsi="Arial" w:cs="Arial"/>
          <w:sz w:val="24"/>
          <w:szCs w:val="24"/>
        </w:rPr>
      </w:pPr>
    </w:p>
    <w:p w:rsidR="002D4C6D" w:rsidRDefault="002D4C6D" w:rsidP="002D4C6D">
      <w:pPr>
        <w:spacing w:after="0" w:line="240" w:lineRule="auto"/>
        <w:rPr>
          <w:rStyle w:val="ra"/>
          <w:rFonts w:ascii="Arial" w:hAnsi="Arial" w:cs="Arial"/>
          <w:sz w:val="24"/>
          <w:szCs w:val="24"/>
        </w:rPr>
      </w:pPr>
      <w:r w:rsidRPr="002D4C6D">
        <w:rPr>
          <w:rStyle w:val="ra"/>
          <w:rFonts w:ascii="Arial" w:hAnsi="Arial" w:cs="Arial"/>
          <w:sz w:val="24"/>
          <w:szCs w:val="24"/>
        </w:rPr>
        <w:t>Počet zamestnancov: 0</w:t>
      </w:r>
    </w:p>
    <w:p w:rsidR="002D4C6D" w:rsidRPr="002D4C6D" w:rsidRDefault="002D4C6D" w:rsidP="002D4C6D">
      <w:pPr>
        <w:spacing w:after="0" w:line="240" w:lineRule="auto"/>
        <w:rPr>
          <w:rStyle w:val="ra"/>
          <w:rFonts w:ascii="Arial" w:hAnsi="Arial" w:cs="Arial"/>
          <w:sz w:val="24"/>
          <w:szCs w:val="24"/>
        </w:rPr>
      </w:pPr>
    </w:p>
    <w:p w:rsidR="002D4C6D" w:rsidRPr="002D4C6D" w:rsidRDefault="002D4C6D" w:rsidP="002D4C6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4C6D">
        <w:rPr>
          <w:rFonts w:ascii="Arial" w:hAnsi="Arial" w:cs="Arial"/>
          <w:sz w:val="24"/>
          <w:szCs w:val="24"/>
        </w:rPr>
        <w:t xml:space="preserve">Dlhodobý hmotný majetok nakupovaný sa oceňuje obstarávacou cenou, ktorá obsahuje cenu obstarania a náklady súvisiace s obstaraním dlhodobého majetku. Súčasťou obstarávacej ceny dlhodobého majetku nie sú úroky z cudzích zdrojov ani realizované kurzové rozdiely, ktoré vznikli do momentu uvedenia dlhodobého majetku do používania. </w:t>
      </w:r>
    </w:p>
    <w:p w:rsidR="002D4C6D" w:rsidRPr="002D4C6D" w:rsidRDefault="002D4C6D" w:rsidP="002D4C6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2D4C6D" w:rsidRPr="002D4C6D" w:rsidRDefault="002D4C6D" w:rsidP="002D4C6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4C6D">
        <w:rPr>
          <w:rFonts w:ascii="Arial" w:hAnsi="Arial" w:cs="Arial"/>
          <w:sz w:val="24"/>
          <w:szCs w:val="24"/>
        </w:rPr>
        <w:t xml:space="preserve">Odpisový plán účtovných odpisov sa zostavil interným predpisom, v ktorom sa vychádzalo z metód používaných pri vyčísľovaných daňový odpisov. Účtovné a daňové odpisy sa rovnajú. Odpisovať sa začína v mesiaci uvedenia dlhodobého hmotného majetku do používania. </w:t>
      </w:r>
    </w:p>
    <w:p w:rsidR="002D4C6D" w:rsidRPr="002D4C6D" w:rsidRDefault="002D4C6D" w:rsidP="002D4C6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2D4C6D" w:rsidRPr="002D4C6D" w:rsidRDefault="002D4C6D" w:rsidP="002D4C6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4C6D">
        <w:rPr>
          <w:rFonts w:ascii="Arial" w:hAnsi="Arial" w:cs="Arial"/>
          <w:sz w:val="24"/>
          <w:szCs w:val="24"/>
        </w:rPr>
        <w:t xml:space="preserve">Pozemky sa neodpisujú. </w:t>
      </w:r>
    </w:p>
    <w:p w:rsidR="002D4C6D" w:rsidRPr="002D4C6D" w:rsidRDefault="002D4C6D" w:rsidP="002D4C6D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</w:p>
    <w:p w:rsidR="002D4C6D" w:rsidRPr="002D4C6D" w:rsidRDefault="002D4C6D" w:rsidP="002D4C6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4C6D">
        <w:rPr>
          <w:rFonts w:ascii="Arial" w:hAnsi="Arial" w:cs="Arial"/>
          <w:sz w:val="24"/>
          <w:szCs w:val="24"/>
        </w:rPr>
        <w:t xml:space="preserve">Nakupované zásoby sa oceňujú obstarávacou cenou, ktorá zahŕňa cenu zásob a náklady súvisiace s obstaraním. Úroky z cudzích zdrojov nie sú súčasťou obstarávacej ceny zásob. </w:t>
      </w:r>
    </w:p>
    <w:p w:rsidR="002D4C6D" w:rsidRPr="002D4C6D" w:rsidRDefault="002D4C6D" w:rsidP="002D4C6D">
      <w:pPr>
        <w:spacing w:after="0" w:line="240" w:lineRule="auto"/>
        <w:jc w:val="both"/>
        <w:rPr>
          <w:rFonts w:ascii="Arial" w:hAnsi="Arial" w:cs="Arial"/>
          <w:b/>
          <w:i/>
          <w:sz w:val="24"/>
          <w:szCs w:val="24"/>
        </w:rPr>
      </w:pPr>
    </w:p>
    <w:p w:rsidR="002D4C6D" w:rsidRPr="002D4C6D" w:rsidRDefault="002D4C6D" w:rsidP="002D4C6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4C6D">
        <w:rPr>
          <w:rFonts w:ascii="Arial" w:hAnsi="Arial" w:cs="Arial"/>
          <w:sz w:val="24"/>
          <w:szCs w:val="24"/>
        </w:rPr>
        <w:t xml:space="preserve">Pohľadávky sa pri ich vzniku oceňujú ich menovitou hodnotou. </w:t>
      </w:r>
    </w:p>
    <w:p w:rsidR="002D4C6D" w:rsidRPr="002D4C6D" w:rsidRDefault="002D4C6D" w:rsidP="002D4C6D">
      <w:pPr>
        <w:pStyle w:val="Odsekzoznamu"/>
        <w:spacing w:after="0" w:line="240" w:lineRule="auto"/>
        <w:jc w:val="both"/>
        <w:rPr>
          <w:rFonts w:ascii="Arial" w:hAnsi="Arial" w:cs="Arial"/>
          <w:i/>
          <w:sz w:val="24"/>
          <w:szCs w:val="24"/>
        </w:rPr>
      </w:pPr>
    </w:p>
    <w:p w:rsidR="002D4C6D" w:rsidRPr="002D4C6D" w:rsidRDefault="002D4C6D" w:rsidP="002D4C6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4C6D">
        <w:rPr>
          <w:rFonts w:ascii="Arial" w:hAnsi="Arial" w:cs="Arial"/>
          <w:sz w:val="24"/>
          <w:szCs w:val="24"/>
        </w:rPr>
        <w:t xml:space="preserve">Peňažné prostriedky a ceniny sa oceňujú ich menovitou hodnotou. </w:t>
      </w:r>
    </w:p>
    <w:p w:rsidR="002D4C6D" w:rsidRDefault="002D4C6D" w:rsidP="002D4C6D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2D4C6D" w:rsidRPr="002D4C6D" w:rsidRDefault="002D4C6D" w:rsidP="002D4C6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D4C6D">
        <w:rPr>
          <w:rFonts w:ascii="Arial" w:hAnsi="Arial" w:cs="Arial"/>
          <w:sz w:val="24"/>
          <w:szCs w:val="24"/>
        </w:rPr>
        <w:t>Záväzky sa pri ich vzniku oceňujú menovitou hodnotou. Záväzky pri prevzatí sa oceňujú obstarávacou cenou.</w:t>
      </w:r>
    </w:p>
    <w:p w:rsidR="002D4C6D" w:rsidRDefault="002D4C6D" w:rsidP="002D4C6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2D4C6D" w:rsidRPr="002D4C6D" w:rsidRDefault="002D4C6D" w:rsidP="002D4C6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4C6D">
        <w:rPr>
          <w:rFonts w:ascii="Arial" w:hAnsi="Arial" w:cs="Arial"/>
          <w:sz w:val="24"/>
          <w:szCs w:val="24"/>
        </w:rPr>
        <w:t>Účtovná jednotka neposkytuje služby vo verejnom záujme.</w:t>
      </w:r>
    </w:p>
    <w:p w:rsidR="002D4C6D" w:rsidRPr="002D4C6D" w:rsidRDefault="002D4C6D" w:rsidP="002D4C6D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2D4C6D" w:rsidRPr="002D4C6D" w:rsidRDefault="002D4C6D" w:rsidP="002D4C6D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sectPr w:rsidR="002D4C6D" w:rsidRPr="002D4C6D" w:rsidSect="007670E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1A1177"/>
    <w:multiLevelType w:val="hybridMultilevel"/>
    <w:tmpl w:val="4556412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7942930"/>
    <w:multiLevelType w:val="hybridMultilevel"/>
    <w:tmpl w:val="A356858A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D4C6D"/>
    <w:rsid w:val="001A0324"/>
    <w:rsid w:val="002D4C6D"/>
    <w:rsid w:val="007670E5"/>
    <w:rsid w:val="00852D3E"/>
    <w:rsid w:val="009C2C25"/>
    <w:rsid w:val="00CB2C3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670E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2D4C6D"/>
    <w:pPr>
      <w:ind w:left="720"/>
      <w:contextualSpacing/>
    </w:pPr>
    <w:rPr>
      <w:rFonts w:ascii="Arial Narrow" w:eastAsia="Times New Roman" w:hAnsi="Arial Narrow" w:cs="Times New Roman"/>
      <w:szCs w:val="36"/>
    </w:rPr>
  </w:style>
  <w:style w:type="character" w:customStyle="1" w:styleId="ra">
    <w:name w:val="ra"/>
    <w:basedOn w:val="Predvolenpsmoodseku"/>
    <w:rsid w:val="002D4C6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6964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263</Words>
  <Characters>1501</Characters>
  <Application>Microsoft Office Word</Application>
  <DocSecurity>0</DocSecurity>
  <Lines>12</Lines>
  <Paragraphs>3</Paragraphs>
  <ScaleCrop>false</ScaleCrop>
  <Company/>
  <LinksUpToDate>false</LinksUpToDate>
  <CharactersWithSpaces>1761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</dc:creator>
  <cp:lastModifiedBy>PC1</cp:lastModifiedBy>
  <cp:revision>2</cp:revision>
  <dcterms:created xsi:type="dcterms:W3CDTF">2022-06-26T16:34:00Z</dcterms:created>
  <dcterms:modified xsi:type="dcterms:W3CDTF">2022-06-26T16:34:00Z</dcterms:modified>
</cp:coreProperties>
</file>