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12C77" w:rsidRDefault="00512C77" w:rsidP="00512C77">
      <w:pPr>
        <w:jc w:val="center"/>
        <w:rPr>
          <w:b/>
        </w:rPr>
      </w:pPr>
      <w:r w:rsidRPr="00512C77">
        <w:rPr>
          <w:b/>
        </w:rPr>
        <w:t>Článok I</w:t>
      </w:r>
      <w:r>
        <w:rPr>
          <w:b/>
        </w:rPr>
        <w:t> </w:t>
      </w:r>
    </w:p>
    <w:p w:rsidR="004E1139" w:rsidRPr="00512C77" w:rsidRDefault="00512C77" w:rsidP="00512C77">
      <w:pPr>
        <w:jc w:val="center"/>
        <w:rPr>
          <w:b/>
        </w:rPr>
      </w:pPr>
      <w:r>
        <w:rPr>
          <w:b/>
        </w:rPr>
        <w:t>Všeobecné údaje</w:t>
      </w:r>
    </w:p>
    <w:p w:rsidR="004E1139" w:rsidRDefault="004E1139" w:rsidP="00DA1E5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</w:pPr>
      <w:r>
        <w:t xml:space="preserve">Poznámky k účtovnej závierke </w:t>
      </w:r>
      <w:proofErr w:type="spellStart"/>
      <w:r>
        <w:t>mikro</w:t>
      </w:r>
      <w:proofErr w:type="spellEnd"/>
      <w:r>
        <w:t xml:space="preserve"> účtovnej jednotky za rok </w:t>
      </w:r>
      <w:r w:rsidR="000B57C9">
        <w:t>2021</w:t>
      </w:r>
      <w:r w:rsidR="00DA1E5A">
        <w:t xml:space="preserve"> </w:t>
      </w:r>
      <w:r>
        <w:t xml:space="preserve">zostavené podľa Opatrenia MF SR č. MF/15464/2013-74, ktorým sa ustanovujú podrobnosti o usporiadaní, označovaní a obsahovom vymedzení položiek individuálnej účtovnej závierky a rozsahu údajov určených z individuálnej účtovnej závierky na zverejnenie pre </w:t>
      </w:r>
      <w:proofErr w:type="spellStart"/>
      <w:r>
        <w:t>mikro</w:t>
      </w:r>
      <w:proofErr w:type="spellEnd"/>
      <w:r>
        <w:t xml:space="preserve"> účtovné jednotky v znení neskorších predpisov (ostatná novela č.MF</w:t>
      </w:r>
      <w:r w:rsidR="00512C77">
        <w:t xml:space="preserve">/18008/2014-74 – FS č.10/2014) </w:t>
      </w:r>
    </w:p>
    <w:p w:rsidR="004E1139" w:rsidRPr="00E020BD" w:rsidRDefault="004E1139" w:rsidP="00E020BD">
      <w:pPr>
        <w:pStyle w:val="Odsekzoznamu"/>
        <w:numPr>
          <w:ilvl w:val="0"/>
          <w:numId w:val="1"/>
        </w:numPr>
        <w:ind w:left="284"/>
        <w:rPr>
          <w:b/>
        </w:rPr>
      </w:pPr>
      <w:r w:rsidRPr="00E020BD">
        <w:rPr>
          <w:b/>
        </w:rPr>
        <w:t xml:space="preserve">Identifikácia účtovnej jednotky  </w:t>
      </w:r>
    </w:p>
    <w:tbl>
      <w:tblPr>
        <w:tblStyle w:val="Mriekatabuky"/>
        <w:tblW w:w="9322" w:type="dxa"/>
        <w:tblLayout w:type="fixed"/>
        <w:tblLook w:val="04A0" w:firstRow="1" w:lastRow="0" w:firstColumn="1" w:lastColumn="0" w:noHBand="0" w:noVBand="1"/>
      </w:tblPr>
      <w:tblGrid>
        <w:gridCol w:w="1809"/>
        <w:gridCol w:w="7513"/>
      </w:tblGrid>
      <w:tr w:rsidR="004E1139" w:rsidTr="004E1139">
        <w:tc>
          <w:tcPr>
            <w:tcW w:w="1809" w:type="dxa"/>
          </w:tcPr>
          <w:p w:rsidR="004E1139" w:rsidRDefault="004E1139" w:rsidP="004E1139">
            <w:r>
              <w:t>IČO</w:t>
            </w:r>
          </w:p>
        </w:tc>
        <w:tc>
          <w:tcPr>
            <w:tcW w:w="7513" w:type="dxa"/>
          </w:tcPr>
          <w:p w:rsidR="004E1139" w:rsidRDefault="008256B3" w:rsidP="004E1139">
            <w:r>
              <w:t>46413740</w:t>
            </w:r>
            <w:r>
              <w:tab/>
            </w:r>
          </w:p>
        </w:tc>
      </w:tr>
      <w:tr w:rsidR="004E1139" w:rsidTr="004E1139">
        <w:tc>
          <w:tcPr>
            <w:tcW w:w="1809" w:type="dxa"/>
          </w:tcPr>
          <w:p w:rsidR="004E1139" w:rsidRDefault="004E1139" w:rsidP="004E1139">
            <w:r>
              <w:t>DIČ</w:t>
            </w:r>
          </w:p>
        </w:tc>
        <w:tc>
          <w:tcPr>
            <w:tcW w:w="7513" w:type="dxa"/>
          </w:tcPr>
          <w:p w:rsidR="004E1139" w:rsidRDefault="008256B3" w:rsidP="004E1139">
            <w:r>
              <w:t>2023370822</w:t>
            </w:r>
          </w:p>
        </w:tc>
      </w:tr>
      <w:tr w:rsidR="004E1139" w:rsidTr="004E1139">
        <w:tc>
          <w:tcPr>
            <w:tcW w:w="1809" w:type="dxa"/>
          </w:tcPr>
          <w:p w:rsidR="004E1139" w:rsidRDefault="004E1139" w:rsidP="004E1139">
            <w:r>
              <w:t>Obchodné  meno</w:t>
            </w:r>
          </w:p>
        </w:tc>
        <w:tc>
          <w:tcPr>
            <w:tcW w:w="7513" w:type="dxa"/>
          </w:tcPr>
          <w:p w:rsidR="004E1139" w:rsidRPr="004E1139" w:rsidRDefault="008256B3" w:rsidP="008F3234">
            <w:pPr>
              <w:rPr>
                <w:rFonts w:cstheme="minorHAnsi"/>
              </w:rPr>
            </w:pPr>
            <w:proofErr w:type="spellStart"/>
            <w:r>
              <w:rPr>
                <w:rFonts w:cstheme="minorHAnsi"/>
              </w:rPr>
              <w:t>Piarg</w:t>
            </w:r>
            <w:proofErr w:type="spellEnd"/>
            <w:r>
              <w:rPr>
                <w:rFonts w:cstheme="minorHAnsi"/>
              </w:rPr>
              <w:t xml:space="preserve"> </w:t>
            </w:r>
            <w:proofErr w:type="spellStart"/>
            <w:r>
              <w:rPr>
                <w:rFonts w:cstheme="minorHAnsi"/>
              </w:rPr>
              <w:t>home</w:t>
            </w:r>
            <w:proofErr w:type="spellEnd"/>
            <w:r w:rsidR="004E1139" w:rsidRPr="004E1139">
              <w:rPr>
                <w:rFonts w:cstheme="minorHAnsi"/>
              </w:rPr>
              <w:t xml:space="preserve"> s.r.o.(ďalej len „spoločnosť”)</w:t>
            </w:r>
          </w:p>
        </w:tc>
      </w:tr>
      <w:tr w:rsidR="004E1139" w:rsidTr="004E1139">
        <w:tc>
          <w:tcPr>
            <w:tcW w:w="1809" w:type="dxa"/>
          </w:tcPr>
          <w:p w:rsidR="004E1139" w:rsidRDefault="004E1139" w:rsidP="004E1139">
            <w:r>
              <w:t>Sídlo</w:t>
            </w:r>
          </w:p>
        </w:tc>
        <w:tc>
          <w:tcPr>
            <w:tcW w:w="7513" w:type="dxa"/>
          </w:tcPr>
          <w:p w:rsidR="004E1139" w:rsidRPr="004E1139" w:rsidRDefault="008256B3" w:rsidP="004E1139">
            <w:pPr>
              <w:rPr>
                <w:rFonts w:cstheme="minorHAnsi"/>
              </w:rPr>
            </w:pPr>
            <w:r>
              <w:rPr>
                <w:rFonts w:cstheme="minorHAnsi"/>
              </w:rPr>
              <w:t>Kvetná 936/24</w:t>
            </w:r>
            <w:r w:rsidR="004E1139" w:rsidRPr="004E1139">
              <w:rPr>
                <w:rFonts w:cstheme="minorHAnsi"/>
              </w:rPr>
              <w:t>,</w:t>
            </w:r>
            <w:r>
              <w:rPr>
                <w:rFonts w:cstheme="minorHAnsi"/>
              </w:rPr>
              <w:t xml:space="preserve"> Dunajská Lužná 900 42,</w:t>
            </w:r>
            <w:r w:rsidR="004E1139" w:rsidRPr="004E1139">
              <w:rPr>
                <w:rFonts w:cstheme="minorHAnsi"/>
              </w:rPr>
              <w:t xml:space="preserve">  Slovenská republika</w:t>
            </w:r>
          </w:p>
        </w:tc>
      </w:tr>
    </w:tbl>
    <w:p w:rsidR="00512C77" w:rsidRDefault="00512C77" w:rsidP="004E1139"/>
    <w:p w:rsidR="008A0F36" w:rsidRPr="00E020BD" w:rsidRDefault="004E1139" w:rsidP="00E020BD">
      <w:pPr>
        <w:pStyle w:val="Odsekzoznamu"/>
        <w:numPr>
          <w:ilvl w:val="0"/>
          <w:numId w:val="1"/>
        </w:numPr>
        <w:tabs>
          <w:tab w:val="left" w:pos="284"/>
        </w:tabs>
        <w:ind w:left="284"/>
        <w:rPr>
          <w:b/>
        </w:rPr>
      </w:pPr>
      <w:r w:rsidRPr="00E020BD">
        <w:rPr>
          <w:b/>
        </w:rPr>
        <w:t>Údaje o konsolidovanom celku - obchodné meno a sídlo konsolidujúcej účtovnej jednotky</w:t>
      </w:r>
    </w:p>
    <w:p w:rsidR="004E1139" w:rsidRPr="004E1139" w:rsidRDefault="004E1139" w:rsidP="004E1139">
      <w:pPr>
        <w:rPr>
          <w:rFonts w:cstheme="minorHAnsi"/>
        </w:rPr>
      </w:pPr>
      <w:r w:rsidRPr="004E1139">
        <w:rPr>
          <w:rFonts w:cstheme="minorHAnsi"/>
        </w:rPr>
        <w:t>Spoločnosť nepatrí do konsolidovaného celku, nie je materskou účtovnou</w:t>
      </w:r>
      <w:bookmarkStart w:id="0" w:name="_GoBack"/>
      <w:bookmarkEnd w:id="0"/>
      <w:r w:rsidRPr="004E1139">
        <w:rPr>
          <w:rFonts w:cstheme="minorHAnsi"/>
        </w:rPr>
        <w:t xml:space="preserve"> jednotkou.</w:t>
      </w:r>
    </w:p>
    <w:p w:rsidR="004E1139" w:rsidRPr="00E020BD" w:rsidRDefault="004E1139" w:rsidP="00E020BD">
      <w:pPr>
        <w:pStyle w:val="Odsekzoznamu"/>
        <w:numPr>
          <w:ilvl w:val="0"/>
          <w:numId w:val="1"/>
        </w:numPr>
        <w:ind w:left="284"/>
        <w:rPr>
          <w:b/>
        </w:rPr>
      </w:pPr>
      <w:r w:rsidRPr="00E020BD">
        <w:rPr>
          <w:b/>
        </w:rPr>
        <w:t xml:space="preserve">Priemerný prepočítaný počet zamestnancov. </w:t>
      </w:r>
    </w:p>
    <w:tbl>
      <w:tblPr>
        <w:tblW w:w="92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94"/>
        <w:gridCol w:w="2709"/>
        <w:gridCol w:w="2709"/>
      </w:tblGrid>
      <w:tr w:rsidR="00512C77" w:rsidRPr="002E10BE" w:rsidTr="00B03936">
        <w:trPr>
          <w:trHeight w:hRule="exact" w:val="425"/>
        </w:trPr>
        <w:tc>
          <w:tcPr>
            <w:tcW w:w="3794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2C77" w:rsidRPr="00512C77" w:rsidRDefault="00512C77" w:rsidP="00B0393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512C77">
              <w:rPr>
                <w:rFonts w:cstheme="minorHAnsi"/>
                <w:b/>
                <w:sz w:val="16"/>
                <w:szCs w:val="16"/>
              </w:rPr>
              <w:t>Názov položky</w:t>
            </w:r>
          </w:p>
        </w:tc>
        <w:tc>
          <w:tcPr>
            <w:tcW w:w="2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512C77" w:rsidRPr="00512C77" w:rsidRDefault="00512C77" w:rsidP="00B0393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512C77">
              <w:rPr>
                <w:rFonts w:cstheme="minorHAnsi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512C77" w:rsidRPr="00512C77" w:rsidRDefault="00512C77" w:rsidP="00B0393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512C77">
              <w:rPr>
                <w:rFonts w:cstheme="minorHAnsi"/>
                <w:b/>
                <w:sz w:val="16"/>
                <w:szCs w:val="16"/>
              </w:rPr>
              <w:t>Predchádzajúce  účtovné obdobie</w:t>
            </w:r>
          </w:p>
        </w:tc>
      </w:tr>
      <w:tr w:rsidR="00512C77" w:rsidRPr="002E10BE" w:rsidTr="00B03936">
        <w:trPr>
          <w:trHeight w:hRule="exact" w:val="425"/>
        </w:trPr>
        <w:tc>
          <w:tcPr>
            <w:tcW w:w="3794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2C77" w:rsidRPr="00512C77" w:rsidRDefault="00512C77" w:rsidP="00B03936">
            <w:pPr>
              <w:tabs>
                <w:tab w:val="center" w:pos="4536"/>
                <w:tab w:val="right" w:pos="9072"/>
              </w:tabs>
              <w:spacing w:after="0"/>
              <w:rPr>
                <w:rFonts w:cstheme="minorHAnsi"/>
                <w:sz w:val="16"/>
                <w:szCs w:val="16"/>
              </w:rPr>
            </w:pPr>
            <w:r w:rsidRPr="00512C77">
              <w:rPr>
                <w:rFonts w:cstheme="minorHAnsi"/>
                <w:sz w:val="16"/>
                <w:szCs w:val="16"/>
              </w:rPr>
              <w:t>Priemerný prepočítaný počet zamestnancov</w:t>
            </w:r>
          </w:p>
        </w:tc>
        <w:tc>
          <w:tcPr>
            <w:tcW w:w="2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2C77" w:rsidRPr="00363365" w:rsidRDefault="000B57C9" w:rsidP="00B03936">
            <w:pPr>
              <w:tabs>
                <w:tab w:val="center" w:pos="4536"/>
                <w:tab w:val="right" w:pos="9072"/>
              </w:tabs>
              <w:spacing w:after="0"/>
              <w:ind w:right="324"/>
              <w:jc w:val="center"/>
              <w:rPr>
                <w:rFonts w:cstheme="minorHAnsi"/>
                <w:sz w:val="16"/>
                <w:szCs w:val="16"/>
              </w:rPr>
            </w:pPr>
            <w:r>
              <w:rPr>
                <w:rFonts w:cstheme="minorHAnsi"/>
                <w:sz w:val="16"/>
                <w:szCs w:val="16"/>
              </w:rPr>
              <w:t>2,1</w:t>
            </w:r>
          </w:p>
        </w:tc>
        <w:tc>
          <w:tcPr>
            <w:tcW w:w="2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2C77" w:rsidRPr="00512C77" w:rsidRDefault="000B57C9" w:rsidP="00B03936">
            <w:pPr>
              <w:tabs>
                <w:tab w:val="center" w:pos="4536"/>
                <w:tab w:val="right" w:pos="9072"/>
              </w:tabs>
              <w:spacing w:after="0"/>
              <w:ind w:right="324"/>
              <w:jc w:val="center"/>
              <w:rPr>
                <w:rFonts w:cstheme="minorHAnsi"/>
                <w:sz w:val="16"/>
                <w:szCs w:val="16"/>
              </w:rPr>
            </w:pPr>
            <w:r>
              <w:rPr>
                <w:rFonts w:cstheme="minorHAnsi"/>
                <w:sz w:val="16"/>
                <w:szCs w:val="16"/>
              </w:rPr>
              <w:t>2,3</w:t>
            </w:r>
          </w:p>
        </w:tc>
      </w:tr>
      <w:tr w:rsidR="00512C77" w:rsidRPr="002E10BE" w:rsidTr="00B03936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2C77" w:rsidRPr="00512C77" w:rsidRDefault="00512C77" w:rsidP="00B03936">
            <w:pPr>
              <w:tabs>
                <w:tab w:val="center" w:pos="4536"/>
                <w:tab w:val="right" w:pos="9072"/>
              </w:tabs>
              <w:spacing w:after="0"/>
              <w:rPr>
                <w:rFonts w:cstheme="minorHAnsi"/>
                <w:sz w:val="16"/>
                <w:szCs w:val="16"/>
              </w:rPr>
            </w:pPr>
            <w:r w:rsidRPr="00512C77">
              <w:rPr>
                <w:rFonts w:cstheme="minorHAnsi"/>
                <w:sz w:val="16"/>
                <w:szCs w:val="16"/>
              </w:rPr>
              <w:t>Stav zamestnancov ku dňu, ku ktorému sa zostavuje účtovná závierka</w:t>
            </w:r>
          </w:p>
        </w:tc>
        <w:tc>
          <w:tcPr>
            <w:tcW w:w="2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2C77" w:rsidRPr="00363365" w:rsidRDefault="000B57C9" w:rsidP="00B03936">
            <w:pPr>
              <w:tabs>
                <w:tab w:val="center" w:pos="4536"/>
                <w:tab w:val="right" w:pos="9072"/>
              </w:tabs>
              <w:spacing w:after="0"/>
              <w:ind w:right="324"/>
              <w:jc w:val="center"/>
              <w:rPr>
                <w:rFonts w:cstheme="minorHAnsi"/>
                <w:sz w:val="16"/>
                <w:szCs w:val="16"/>
              </w:rPr>
            </w:pPr>
            <w:r>
              <w:rPr>
                <w:rFonts w:cstheme="minorHAnsi"/>
                <w:sz w:val="16"/>
                <w:szCs w:val="16"/>
              </w:rPr>
              <w:t>2</w:t>
            </w:r>
          </w:p>
        </w:tc>
        <w:tc>
          <w:tcPr>
            <w:tcW w:w="2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2C77" w:rsidRPr="00512C77" w:rsidRDefault="00363365" w:rsidP="00B03936">
            <w:pPr>
              <w:tabs>
                <w:tab w:val="center" w:pos="4536"/>
                <w:tab w:val="right" w:pos="9072"/>
              </w:tabs>
              <w:spacing w:after="0"/>
              <w:ind w:right="324"/>
              <w:jc w:val="center"/>
              <w:rPr>
                <w:rFonts w:cstheme="minorHAnsi"/>
                <w:sz w:val="16"/>
                <w:szCs w:val="16"/>
              </w:rPr>
            </w:pPr>
            <w:r>
              <w:rPr>
                <w:rFonts w:cstheme="minorHAnsi"/>
                <w:sz w:val="16"/>
                <w:szCs w:val="16"/>
              </w:rPr>
              <w:t>3</w:t>
            </w:r>
          </w:p>
        </w:tc>
      </w:tr>
    </w:tbl>
    <w:p w:rsidR="004E1139" w:rsidRDefault="004E1139" w:rsidP="004E1139"/>
    <w:p w:rsidR="00512C77" w:rsidRDefault="004E1139" w:rsidP="00512C77">
      <w:pPr>
        <w:jc w:val="center"/>
        <w:rPr>
          <w:b/>
        </w:rPr>
      </w:pPr>
      <w:r w:rsidRPr="00512C77">
        <w:rPr>
          <w:b/>
        </w:rPr>
        <w:t xml:space="preserve">Článok II </w:t>
      </w:r>
    </w:p>
    <w:p w:rsidR="004E1139" w:rsidRPr="00512C77" w:rsidRDefault="004E1139" w:rsidP="00512C77">
      <w:pPr>
        <w:jc w:val="center"/>
        <w:rPr>
          <w:b/>
        </w:rPr>
      </w:pPr>
      <w:r w:rsidRPr="00512C77">
        <w:rPr>
          <w:b/>
        </w:rPr>
        <w:t>Informácie o prijatých postupoch</w:t>
      </w:r>
    </w:p>
    <w:p w:rsidR="004E1139" w:rsidRPr="00E020BD" w:rsidRDefault="00512C77" w:rsidP="00E020BD">
      <w:pPr>
        <w:pStyle w:val="Odsekzoznamu"/>
        <w:numPr>
          <w:ilvl w:val="0"/>
          <w:numId w:val="2"/>
        </w:numPr>
        <w:ind w:left="284"/>
        <w:jc w:val="both"/>
      </w:pPr>
      <w:r w:rsidRPr="00E020BD">
        <w:rPr>
          <w:rFonts w:cstheme="minorHAnsi"/>
        </w:rPr>
        <w:t xml:space="preserve">Účtovná závierka bola zostavená podľa Zákona č. 431/2002 </w:t>
      </w:r>
      <w:proofErr w:type="spellStart"/>
      <w:r w:rsidRPr="00E020BD">
        <w:rPr>
          <w:rFonts w:cstheme="minorHAnsi"/>
        </w:rPr>
        <w:t>Z.z</w:t>
      </w:r>
      <w:proofErr w:type="spellEnd"/>
      <w:r w:rsidRPr="00E020BD">
        <w:rPr>
          <w:rFonts w:cstheme="minorHAnsi"/>
        </w:rPr>
        <w:t>. o účtovníctve v znení neskorších predpisov za predpokladu nepretržitého trvania jej činnosti a je zostavená ako riadna účtovná závierka</w:t>
      </w:r>
      <w:r w:rsidRPr="00E020BD">
        <w:rPr>
          <w:rFonts w:ascii="Arial" w:hAnsi="Arial" w:cs="Arial"/>
        </w:rPr>
        <w:t>.</w:t>
      </w:r>
    </w:p>
    <w:p w:rsidR="00E020BD" w:rsidRDefault="00E020BD" w:rsidP="00E020BD">
      <w:pPr>
        <w:pStyle w:val="Odsekzoznamu"/>
        <w:ind w:left="284"/>
        <w:jc w:val="both"/>
      </w:pPr>
    </w:p>
    <w:p w:rsidR="004E1139" w:rsidRPr="00725B7C" w:rsidRDefault="004E1139" w:rsidP="00E020BD">
      <w:pPr>
        <w:pStyle w:val="Odsekzoznamu"/>
        <w:numPr>
          <w:ilvl w:val="0"/>
          <w:numId w:val="2"/>
        </w:numPr>
        <w:ind w:left="284"/>
        <w:rPr>
          <w:b/>
        </w:rPr>
      </w:pPr>
      <w:r w:rsidRPr="00725B7C">
        <w:rPr>
          <w:b/>
        </w:rPr>
        <w:t>Spôsob oceňovania jednotlivých položiek majetku a záväzkov, a t</w:t>
      </w:r>
      <w:r w:rsidR="00512C77" w:rsidRPr="00725B7C">
        <w:rPr>
          <w:b/>
        </w:rPr>
        <w:t xml:space="preserve">o: </w:t>
      </w:r>
      <w:r w:rsidRPr="00725B7C">
        <w:rPr>
          <w:b/>
        </w:rPr>
        <w:t xml:space="preserve"> </w:t>
      </w:r>
    </w:p>
    <w:tbl>
      <w:tblPr>
        <w:tblStyle w:val="Mriekatabuky"/>
        <w:tblW w:w="5000" w:type="pct"/>
        <w:tblLook w:val="04A0" w:firstRow="1" w:lastRow="0" w:firstColumn="1" w:lastColumn="0" w:noHBand="0" w:noVBand="1"/>
      </w:tblPr>
      <w:tblGrid>
        <w:gridCol w:w="4644"/>
        <w:gridCol w:w="4644"/>
      </w:tblGrid>
      <w:tr w:rsidR="00512C77" w:rsidTr="00512C77">
        <w:tc>
          <w:tcPr>
            <w:tcW w:w="2500" w:type="pct"/>
          </w:tcPr>
          <w:p w:rsidR="00512C77" w:rsidRPr="00512C77" w:rsidRDefault="00512C77" w:rsidP="00512C77">
            <w:pPr>
              <w:jc w:val="center"/>
              <w:rPr>
                <w:b/>
              </w:rPr>
            </w:pPr>
            <w:r w:rsidRPr="00512C77">
              <w:rPr>
                <w:b/>
              </w:rPr>
              <w:t>Názov položky</w:t>
            </w:r>
          </w:p>
        </w:tc>
        <w:tc>
          <w:tcPr>
            <w:tcW w:w="2500" w:type="pct"/>
          </w:tcPr>
          <w:p w:rsidR="00512C77" w:rsidRPr="00512C77" w:rsidRDefault="00512C77" w:rsidP="00512C77">
            <w:pPr>
              <w:jc w:val="center"/>
              <w:rPr>
                <w:b/>
              </w:rPr>
            </w:pPr>
            <w:r w:rsidRPr="00512C77">
              <w:rPr>
                <w:b/>
              </w:rPr>
              <w:t>Spôsob oceňovania</w:t>
            </w:r>
          </w:p>
        </w:tc>
      </w:tr>
      <w:tr w:rsidR="00512C77" w:rsidTr="00512C77">
        <w:tc>
          <w:tcPr>
            <w:tcW w:w="2500" w:type="pct"/>
          </w:tcPr>
          <w:p w:rsidR="00512C77" w:rsidRDefault="00512C77" w:rsidP="004E1139">
            <w:r>
              <w:t>Dlhodobý nehmotný majetok</w:t>
            </w:r>
          </w:p>
        </w:tc>
        <w:tc>
          <w:tcPr>
            <w:tcW w:w="2500" w:type="pct"/>
          </w:tcPr>
          <w:p w:rsidR="00512C77" w:rsidRDefault="00512C77" w:rsidP="004E1139">
            <w:r>
              <w:t>Obstarávacia cena</w:t>
            </w:r>
          </w:p>
        </w:tc>
      </w:tr>
      <w:tr w:rsidR="00512C77" w:rsidTr="00512C77">
        <w:tc>
          <w:tcPr>
            <w:tcW w:w="2500" w:type="pct"/>
          </w:tcPr>
          <w:p w:rsidR="00512C77" w:rsidRDefault="00512C77" w:rsidP="00512C77">
            <w:r>
              <w:t>Dlhodobý hmotný majetok</w:t>
            </w:r>
          </w:p>
        </w:tc>
        <w:tc>
          <w:tcPr>
            <w:tcW w:w="2500" w:type="pct"/>
          </w:tcPr>
          <w:p w:rsidR="00512C77" w:rsidRDefault="00512C77" w:rsidP="004E1139">
            <w:r>
              <w:t>Obstarávacia cena</w:t>
            </w:r>
          </w:p>
        </w:tc>
      </w:tr>
      <w:tr w:rsidR="00512C77" w:rsidTr="00512C77">
        <w:tc>
          <w:tcPr>
            <w:tcW w:w="2500" w:type="pct"/>
          </w:tcPr>
          <w:p w:rsidR="00512C77" w:rsidRDefault="00512C77" w:rsidP="00512C77">
            <w:r>
              <w:t>Dlhodobý finančný majetok</w:t>
            </w:r>
          </w:p>
        </w:tc>
        <w:tc>
          <w:tcPr>
            <w:tcW w:w="2500" w:type="pct"/>
          </w:tcPr>
          <w:p w:rsidR="00512C77" w:rsidRDefault="00512C77" w:rsidP="004E1139">
            <w:r>
              <w:t>Menovitá hodnota</w:t>
            </w:r>
          </w:p>
        </w:tc>
      </w:tr>
      <w:tr w:rsidR="00512C77" w:rsidTr="00512C77">
        <w:tc>
          <w:tcPr>
            <w:tcW w:w="2500" w:type="pct"/>
          </w:tcPr>
          <w:p w:rsidR="00512C77" w:rsidRDefault="00512C77" w:rsidP="004E1139">
            <w:r>
              <w:t>Zásoby obstarané kúpou</w:t>
            </w:r>
          </w:p>
        </w:tc>
        <w:tc>
          <w:tcPr>
            <w:tcW w:w="2500" w:type="pct"/>
          </w:tcPr>
          <w:p w:rsidR="00512C77" w:rsidRDefault="00512C77" w:rsidP="004E1139">
            <w:r>
              <w:t>Obstarávacia cena</w:t>
            </w:r>
          </w:p>
        </w:tc>
      </w:tr>
      <w:tr w:rsidR="00512C77" w:rsidTr="00512C77">
        <w:tc>
          <w:tcPr>
            <w:tcW w:w="2500" w:type="pct"/>
          </w:tcPr>
          <w:p w:rsidR="00512C77" w:rsidRDefault="00512C77" w:rsidP="00512C77">
            <w:r>
              <w:t>Zásoby vytvorené vlastnou činnosťou</w:t>
            </w:r>
          </w:p>
        </w:tc>
        <w:tc>
          <w:tcPr>
            <w:tcW w:w="2500" w:type="pct"/>
          </w:tcPr>
          <w:p w:rsidR="00512C77" w:rsidRDefault="00512C77" w:rsidP="004E1139">
            <w:r>
              <w:t>Vlastné náklady</w:t>
            </w:r>
          </w:p>
        </w:tc>
      </w:tr>
      <w:tr w:rsidR="00512C77" w:rsidTr="00512C77">
        <w:tc>
          <w:tcPr>
            <w:tcW w:w="2500" w:type="pct"/>
          </w:tcPr>
          <w:p w:rsidR="00512C77" w:rsidRDefault="00512C77" w:rsidP="004E1139">
            <w:r>
              <w:t>Vlastné pohľadávky</w:t>
            </w:r>
          </w:p>
        </w:tc>
        <w:tc>
          <w:tcPr>
            <w:tcW w:w="2500" w:type="pct"/>
          </w:tcPr>
          <w:p w:rsidR="00512C77" w:rsidRDefault="00512C77" w:rsidP="004E1139">
            <w:r>
              <w:t>Menovitá hodnota</w:t>
            </w:r>
          </w:p>
        </w:tc>
      </w:tr>
      <w:tr w:rsidR="00512C77" w:rsidTr="00512C77">
        <w:tc>
          <w:tcPr>
            <w:tcW w:w="2500" w:type="pct"/>
          </w:tcPr>
          <w:p w:rsidR="00512C77" w:rsidRDefault="00512C77" w:rsidP="004E1139">
            <w:r>
              <w:t>Kúpené pohľadávky</w:t>
            </w:r>
          </w:p>
        </w:tc>
        <w:tc>
          <w:tcPr>
            <w:tcW w:w="2500" w:type="pct"/>
          </w:tcPr>
          <w:p w:rsidR="00512C77" w:rsidRDefault="00512C77" w:rsidP="004E1139">
            <w:r>
              <w:t>Menovitá hodnota</w:t>
            </w:r>
          </w:p>
        </w:tc>
      </w:tr>
      <w:tr w:rsidR="00512C77" w:rsidTr="00512C77">
        <w:tc>
          <w:tcPr>
            <w:tcW w:w="2500" w:type="pct"/>
          </w:tcPr>
          <w:p w:rsidR="00512C77" w:rsidRDefault="00512C77" w:rsidP="004E1139">
            <w:r>
              <w:t>Krátkodobý finančný majetok</w:t>
            </w:r>
          </w:p>
        </w:tc>
        <w:tc>
          <w:tcPr>
            <w:tcW w:w="2500" w:type="pct"/>
          </w:tcPr>
          <w:p w:rsidR="00512C77" w:rsidRDefault="00512C77" w:rsidP="004E1139">
            <w:r>
              <w:t>Menovitá hodnota</w:t>
            </w:r>
          </w:p>
        </w:tc>
      </w:tr>
      <w:tr w:rsidR="00512C77" w:rsidTr="00512C77">
        <w:tc>
          <w:tcPr>
            <w:tcW w:w="2500" w:type="pct"/>
          </w:tcPr>
          <w:p w:rsidR="00512C77" w:rsidRDefault="00512C77" w:rsidP="004E1139">
            <w:r>
              <w:lastRenderedPageBreak/>
              <w:t>Záväzky vrátane rezerv</w:t>
            </w:r>
          </w:p>
        </w:tc>
        <w:tc>
          <w:tcPr>
            <w:tcW w:w="2500" w:type="pct"/>
          </w:tcPr>
          <w:p w:rsidR="00512C77" w:rsidRDefault="00512C77" w:rsidP="004E1139">
            <w:r>
              <w:t>Menovitá hodnota</w:t>
            </w:r>
          </w:p>
        </w:tc>
      </w:tr>
      <w:tr w:rsidR="00512C77" w:rsidTr="00512C77">
        <w:tc>
          <w:tcPr>
            <w:tcW w:w="2500" w:type="pct"/>
          </w:tcPr>
          <w:p w:rsidR="00512C77" w:rsidRDefault="00512C77" w:rsidP="004E1139">
            <w:r>
              <w:t>Dlhopisy</w:t>
            </w:r>
          </w:p>
        </w:tc>
        <w:tc>
          <w:tcPr>
            <w:tcW w:w="2500" w:type="pct"/>
          </w:tcPr>
          <w:p w:rsidR="00512C77" w:rsidRDefault="00512C77" w:rsidP="004E1139">
            <w:r>
              <w:t>Menovitá hodnota</w:t>
            </w:r>
          </w:p>
        </w:tc>
      </w:tr>
      <w:tr w:rsidR="00512C77" w:rsidTr="00512C77">
        <w:tc>
          <w:tcPr>
            <w:tcW w:w="2500" w:type="pct"/>
          </w:tcPr>
          <w:p w:rsidR="00512C77" w:rsidRDefault="00512C77" w:rsidP="004E1139">
            <w:r>
              <w:t>Pôžičky a úvery</w:t>
            </w:r>
          </w:p>
        </w:tc>
        <w:tc>
          <w:tcPr>
            <w:tcW w:w="2500" w:type="pct"/>
          </w:tcPr>
          <w:p w:rsidR="00512C77" w:rsidRDefault="00512C77" w:rsidP="004E1139">
            <w:r>
              <w:t>Menovitá hodnota</w:t>
            </w:r>
          </w:p>
        </w:tc>
      </w:tr>
      <w:tr w:rsidR="00512C77" w:rsidTr="00512C77">
        <w:tc>
          <w:tcPr>
            <w:tcW w:w="2500" w:type="pct"/>
          </w:tcPr>
          <w:p w:rsidR="00512C77" w:rsidRDefault="00512C77" w:rsidP="004E1139">
            <w:r>
              <w:t>Derivátové operácie</w:t>
            </w:r>
          </w:p>
        </w:tc>
        <w:tc>
          <w:tcPr>
            <w:tcW w:w="2500" w:type="pct"/>
          </w:tcPr>
          <w:p w:rsidR="00512C77" w:rsidRDefault="00512C77" w:rsidP="004E1139">
            <w:r>
              <w:t>Menovitá hodnota</w:t>
            </w:r>
          </w:p>
        </w:tc>
      </w:tr>
    </w:tbl>
    <w:p w:rsidR="004E1139" w:rsidRDefault="004E1139" w:rsidP="004E1139">
      <w:r>
        <w:t xml:space="preserve"> </w:t>
      </w:r>
    </w:p>
    <w:p w:rsidR="00725B7C" w:rsidRPr="00E020BD" w:rsidRDefault="004E1139" w:rsidP="00E020BD">
      <w:pPr>
        <w:pStyle w:val="Odsekzoznamu"/>
        <w:numPr>
          <w:ilvl w:val="0"/>
          <w:numId w:val="2"/>
        </w:numPr>
        <w:ind w:left="284"/>
        <w:rPr>
          <w:b/>
        </w:rPr>
      </w:pPr>
      <w:r w:rsidRPr="00E020BD">
        <w:rPr>
          <w:b/>
        </w:rPr>
        <w:t>Spôsob zostavenia odpisového plánu</w:t>
      </w:r>
      <w:r w:rsidR="00725B7C" w:rsidRPr="00E020BD">
        <w:rPr>
          <w:b/>
        </w:rPr>
        <w:t>:</w:t>
      </w:r>
    </w:p>
    <w:p w:rsidR="00725B7C" w:rsidRDefault="008F3234" w:rsidP="004E1139">
      <w:r>
        <w:t>Spoločnosť o dlhodobom nehmotnom majetku naúčtuje.</w:t>
      </w:r>
    </w:p>
    <w:tbl>
      <w:tblPr>
        <w:tblStyle w:val="Mriekatabuky"/>
        <w:tblW w:w="5000" w:type="pct"/>
        <w:tblLook w:val="04A0" w:firstRow="1" w:lastRow="0" w:firstColumn="1" w:lastColumn="0" w:noHBand="0" w:noVBand="1"/>
      </w:tblPr>
      <w:tblGrid>
        <w:gridCol w:w="2322"/>
        <w:gridCol w:w="2322"/>
        <w:gridCol w:w="2322"/>
        <w:gridCol w:w="2322"/>
      </w:tblGrid>
      <w:tr w:rsidR="00725B7C" w:rsidTr="00B03936">
        <w:tc>
          <w:tcPr>
            <w:tcW w:w="1250" w:type="pct"/>
          </w:tcPr>
          <w:p w:rsidR="00725B7C" w:rsidRDefault="00725B7C" w:rsidP="00B03936"/>
        </w:tc>
        <w:tc>
          <w:tcPr>
            <w:tcW w:w="1250" w:type="pct"/>
          </w:tcPr>
          <w:p w:rsidR="00725B7C" w:rsidRDefault="00725B7C" w:rsidP="00B03936">
            <w:r>
              <w:t>Predpokladaná doba používania</w:t>
            </w:r>
          </w:p>
        </w:tc>
        <w:tc>
          <w:tcPr>
            <w:tcW w:w="1250" w:type="pct"/>
          </w:tcPr>
          <w:p w:rsidR="00725B7C" w:rsidRDefault="00725B7C" w:rsidP="00B03936">
            <w:r>
              <w:t>Ročná odpisová sadzba</w:t>
            </w:r>
          </w:p>
        </w:tc>
        <w:tc>
          <w:tcPr>
            <w:tcW w:w="1250" w:type="pct"/>
          </w:tcPr>
          <w:p w:rsidR="00725B7C" w:rsidRDefault="00725B7C" w:rsidP="00B03936">
            <w:r>
              <w:t>Spôsob odpisovania</w:t>
            </w:r>
          </w:p>
        </w:tc>
      </w:tr>
      <w:tr w:rsidR="00725B7C" w:rsidTr="00B03936">
        <w:tc>
          <w:tcPr>
            <w:tcW w:w="1250" w:type="pct"/>
          </w:tcPr>
          <w:p w:rsidR="00725B7C" w:rsidRDefault="00725B7C" w:rsidP="00B03936">
            <w:r>
              <w:t>Hmotný dlhodobý majetok</w:t>
            </w:r>
          </w:p>
        </w:tc>
        <w:tc>
          <w:tcPr>
            <w:tcW w:w="1250" w:type="pct"/>
          </w:tcPr>
          <w:p w:rsidR="00725B7C" w:rsidRDefault="008256B3" w:rsidP="008256B3">
            <w:pPr>
              <w:jc w:val="center"/>
            </w:pPr>
            <w:r>
              <w:t>5</w:t>
            </w:r>
            <w:r w:rsidR="00725B7C">
              <w:t xml:space="preserve"> rok</w:t>
            </w:r>
            <w:r>
              <w:t>ov</w:t>
            </w:r>
          </w:p>
        </w:tc>
        <w:tc>
          <w:tcPr>
            <w:tcW w:w="1250" w:type="pct"/>
          </w:tcPr>
          <w:p w:rsidR="00725B7C" w:rsidRDefault="008256B3" w:rsidP="00B03936">
            <w:pPr>
              <w:jc w:val="center"/>
            </w:pPr>
            <w:r>
              <w:t>20</w:t>
            </w:r>
            <w:r w:rsidR="00725B7C">
              <w:t xml:space="preserve">% </w:t>
            </w:r>
          </w:p>
        </w:tc>
        <w:tc>
          <w:tcPr>
            <w:tcW w:w="1250" w:type="pct"/>
          </w:tcPr>
          <w:p w:rsidR="00725B7C" w:rsidRDefault="00725B7C" w:rsidP="00B03936">
            <w:pPr>
              <w:jc w:val="center"/>
            </w:pPr>
            <w:r>
              <w:t>rovnomerne</w:t>
            </w:r>
          </w:p>
        </w:tc>
      </w:tr>
    </w:tbl>
    <w:p w:rsidR="004E1139" w:rsidRDefault="004E1139" w:rsidP="004E1139">
      <w:r>
        <w:t xml:space="preserve"> </w:t>
      </w:r>
    </w:p>
    <w:p w:rsidR="004E1139" w:rsidRPr="00E020BD" w:rsidRDefault="004E1139" w:rsidP="00E020BD">
      <w:pPr>
        <w:pStyle w:val="Odsekzoznamu"/>
        <w:numPr>
          <w:ilvl w:val="0"/>
          <w:numId w:val="2"/>
        </w:numPr>
        <w:ind w:left="284"/>
        <w:jc w:val="both"/>
        <w:rPr>
          <w:b/>
        </w:rPr>
      </w:pPr>
      <w:r w:rsidRPr="00E020BD">
        <w:rPr>
          <w:b/>
        </w:rPr>
        <w:t xml:space="preserve">Zmeny účtovných  zásad  a zmeny účtovných  metód  s uvedením  dôvodu  týchto  zmien a vyčíslením ich  vplyvu  na  finančnú  hodnotu  majetku,  záväzkov,  základného  imania a výsledku hospodárenia účtovnej jednotky: </w:t>
      </w:r>
    </w:p>
    <w:p w:rsidR="004E1139" w:rsidRDefault="00725B7C" w:rsidP="004E1139">
      <w:r>
        <w:t xml:space="preserve">V roku </w:t>
      </w:r>
      <w:r w:rsidR="000B57C9">
        <w:t>2021</w:t>
      </w:r>
      <w:r>
        <w:t xml:space="preserve"> nedošlo k zmene účtovných zásad a metód.</w:t>
      </w:r>
    </w:p>
    <w:p w:rsidR="00725B7C" w:rsidRPr="00E020BD" w:rsidRDefault="004E1139" w:rsidP="00E020BD">
      <w:pPr>
        <w:pStyle w:val="Odsekzoznamu"/>
        <w:numPr>
          <w:ilvl w:val="0"/>
          <w:numId w:val="2"/>
        </w:numPr>
        <w:ind w:left="284"/>
        <w:rPr>
          <w:b/>
        </w:rPr>
      </w:pPr>
      <w:r w:rsidRPr="00E020BD">
        <w:rPr>
          <w:b/>
        </w:rPr>
        <w:t xml:space="preserve">Informácie o dotáciách a ich oceňovanie v účtovníctve: </w:t>
      </w:r>
    </w:p>
    <w:p w:rsidR="004E1139" w:rsidRDefault="00725B7C" w:rsidP="004E1139">
      <w:r>
        <w:t xml:space="preserve">Spoločnosť neúčtuje o dotáciách. </w:t>
      </w:r>
    </w:p>
    <w:p w:rsidR="00725B7C" w:rsidRPr="00E020BD" w:rsidRDefault="004E1139" w:rsidP="00E020BD">
      <w:pPr>
        <w:pStyle w:val="Odsekzoznamu"/>
        <w:numPr>
          <w:ilvl w:val="0"/>
          <w:numId w:val="2"/>
        </w:numPr>
        <w:ind w:left="284"/>
        <w:rPr>
          <w:b/>
        </w:rPr>
      </w:pPr>
      <w:r w:rsidRPr="00E020BD">
        <w:rPr>
          <w:b/>
        </w:rPr>
        <w:t xml:space="preserve">Informácie o účtovaní významných opráv chýb minulých účtovných období v bežnom účtovnom období </w:t>
      </w:r>
    </w:p>
    <w:p w:rsidR="00725B7C" w:rsidRDefault="00725B7C" w:rsidP="00E020BD">
      <w:pPr>
        <w:jc w:val="both"/>
        <w:rPr>
          <w:rFonts w:cstheme="minorHAnsi"/>
        </w:rPr>
      </w:pPr>
      <w:r w:rsidRPr="00725B7C">
        <w:rPr>
          <w:rFonts w:cstheme="minorHAnsi"/>
        </w:rPr>
        <w:t>Významné opravy chýb minulých účtovných období sa v bežnom účtovnom období účtujú s vplyvom na nerozdelený zisk minulých rokov alebo neuhradenú stratu minulých rokov. Účtovanie nevýznamných  chýb minulých účtovných období sa účtuje do nákladov v bežnom účtovnom období s vplyvom na výsledok hospodárenia bežného účtovného obdobia.</w:t>
      </w:r>
    </w:p>
    <w:p w:rsidR="00E020BD" w:rsidRPr="00E020BD" w:rsidRDefault="00E020BD" w:rsidP="00E020BD">
      <w:pPr>
        <w:jc w:val="both"/>
        <w:rPr>
          <w:rFonts w:cstheme="minorHAnsi"/>
        </w:rPr>
      </w:pPr>
    </w:p>
    <w:p w:rsidR="00725B7C" w:rsidRPr="00725B7C" w:rsidRDefault="00725B7C" w:rsidP="00725B7C">
      <w:pPr>
        <w:jc w:val="center"/>
        <w:rPr>
          <w:b/>
        </w:rPr>
      </w:pPr>
      <w:r>
        <w:rPr>
          <w:b/>
        </w:rPr>
        <w:t>Článok III</w:t>
      </w:r>
    </w:p>
    <w:p w:rsidR="004E1139" w:rsidRPr="00725B7C" w:rsidRDefault="004E1139" w:rsidP="00725B7C">
      <w:pPr>
        <w:jc w:val="center"/>
        <w:rPr>
          <w:b/>
        </w:rPr>
      </w:pPr>
      <w:r w:rsidRPr="00725B7C">
        <w:rPr>
          <w:b/>
        </w:rPr>
        <w:t>Informácie, ktoré vysvetľujú a dopĺňajú súvahu a výkaz ziskov a strát</w:t>
      </w:r>
    </w:p>
    <w:p w:rsidR="003D4D38" w:rsidRDefault="004E1139" w:rsidP="003D4D38">
      <w:pPr>
        <w:pStyle w:val="Odsekzoznamu"/>
        <w:numPr>
          <w:ilvl w:val="0"/>
          <w:numId w:val="4"/>
        </w:numPr>
        <w:ind w:left="284"/>
        <w:jc w:val="both"/>
      </w:pPr>
      <w:r w:rsidRPr="00E020BD"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  <w:r w:rsidR="007A67AA" w:rsidRPr="00E020BD">
        <w:t xml:space="preserve"> </w:t>
      </w:r>
      <w:r w:rsidR="008915AF" w:rsidRPr="00E020BD">
        <w:t xml:space="preserve">                                                                                                 </w:t>
      </w:r>
      <w:r w:rsidR="007A67AA">
        <w:t>O položkách sa neúčtovalo</w:t>
      </w:r>
      <w:r w:rsidR="008915AF">
        <w:t>.</w:t>
      </w:r>
    </w:p>
    <w:p w:rsidR="003D4D38" w:rsidRDefault="003D4D38" w:rsidP="003D4D38">
      <w:pPr>
        <w:pStyle w:val="Odsekzoznamu"/>
        <w:ind w:left="284"/>
        <w:jc w:val="both"/>
      </w:pPr>
    </w:p>
    <w:p w:rsidR="004E1139" w:rsidRPr="003D4D38" w:rsidRDefault="004E1139" w:rsidP="003D4D38">
      <w:pPr>
        <w:pStyle w:val="Odsekzoznamu"/>
        <w:numPr>
          <w:ilvl w:val="0"/>
          <w:numId w:val="4"/>
        </w:numPr>
        <w:ind w:left="284"/>
        <w:rPr>
          <w:b/>
        </w:rPr>
      </w:pPr>
      <w:r w:rsidRPr="003D4D38">
        <w:rPr>
          <w:b/>
        </w:rPr>
        <w:t>Informácie o záväzkoch, a to:</w:t>
      </w:r>
      <w:r w:rsidR="008915AF" w:rsidRPr="003D4D38">
        <w:rPr>
          <w:b/>
        </w:rPr>
        <w:t xml:space="preserve"> </w:t>
      </w:r>
      <w:r>
        <w:t xml:space="preserve"> </w:t>
      </w:r>
    </w:p>
    <w:p w:rsidR="004E1139" w:rsidRDefault="004E1139" w:rsidP="004E1139">
      <w:r>
        <w:t xml:space="preserve">- </w:t>
      </w:r>
      <w:r w:rsidR="008915AF">
        <w:t xml:space="preserve">Spoločnosť neeviduje záväzky zo zostatkovou dobou splatnosti dlhšou ako päť rokov. </w:t>
      </w:r>
    </w:p>
    <w:p w:rsidR="004E1139" w:rsidRDefault="004E1139" w:rsidP="004E1139">
      <w:r>
        <w:t xml:space="preserve">- </w:t>
      </w:r>
      <w:r w:rsidR="008915AF">
        <w:t>Spoločnosť nemá</w:t>
      </w:r>
      <w:r>
        <w:t xml:space="preserve"> zabezpečen</w:t>
      </w:r>
      <w:r w:rsidR="008915AF">
        <w:t>é</w:t>
      </w:r>
      <w:r>
        <w:t xml:space="preserve"> záväzk</w:t>
      </w:r>
      <w:r w:rsidR="008915AF">
        <w:t xml:space="preserve">y. </w:t>
      </w:r>
    </w:p>
    <w:p w:rsidR="004E1139" w:rsidRPr="003D4D38" w:rsidRDefault="004E1139" w:rsidP="003D4D38">
      <w:pPr>
        <w:pStyle w:val="Odsekzoznamu"/>
        <w:numPr>
          <w:ilvl w:val="0"/>
          <w:numId w:val="4"/>
        </w:numPr>
        <w:ind w:left="284"/>
        <w:rPr>
          <w:b/>
        </w:rPr>
      </w:pPr>
      <w:r w:rsidRPr="003D4D38">
        <w:rPr>
          <w:b/>
        </w:rPr>
        <w:lastRenderedPageBreak/>
        <w:t>Informácie o vlastných akciách</w:t>
      </w:r>
    </w:p>
    <w:p w:rsidR="004E1139" w:rsidRDefault="008915AF" w:rsidP="004E1139">
      <w:r>
        <w:t>Spoločnosť nemá vlastné akcie.</w:t>
      </w:r>
    </w:p>
    <w:p w:rsidR="004E1139" w:rsidRPr="003D4D38" w:rsidRDefault="004E1139" w:rsidP="003D4D38">
      <w:pPr>
        <w:pStyle w:val="Odsekzoznamu"/>
        <w:numPr>
          <w:ilvl w:val="0"/>
          <w:numId w:val="4"/>
        </w:numPr>
        <w:ind w:left="284"/>
        <w:rPr>
          <w:b/>
        </w:rPr>
      </w:pPr>
      <w:r w:rsidRPr="003D4D38">
        <w:rPr>
          <w:b/>
        </w:rPr>
        <w:t>Informácie o orgánoch účtovnej jednotky, a to:</w:t>
      </w:r>
      <w:r w:rsidR="008915AF" w:rsidRPr="003D4D38">
        <w:rPr>
          <w:b/>
        </w:rPr>
        <w:t xml:space="preserve"> </w:t>
      </w:r>
      <w:r>
        <w:t xml:space="preserve"> </w:t>
      </w:r>
    </w:p>
    <w:p w:rsidR="004E1139" w:rsidRDefault="004E1139" w:rsidP="008915AF">
      <w:pPr>
        <w:jc w:val="both"/>
      </w:pPr>
      <w:r>
        <w:t xml:space="preserve">a) výške jednotlivých druhov záruk alebo iných zabezpečení poskytnutých pre členov štatutárneho orgánu,  dozorného  orgánu  a  iného  orgánu  účtovnej  jednotky,  a to v členení za jednotlivé orgány. </w:t>
      </w:r>
    </w:p>
    <w:p w:rsidR="004E1139" w:rsidRDefault="008915AF" w:rsidP="004E1139">
      <w:r>
        <w:t>Neboli poskytnuté.</w:t>
      </w:r>
    </w:p>
    <w:p w:rsidR="004E1139" w:rsidRDefault="004E1139" w:rsidP="008915AF">
      <w:pPr>
        <w:jc w:val="both"/>
      </w:pPr>
      <w:r>
        <w:t xml:space="preserve">b) pôžičkách  poskytnutých  členom  štatutárneho  orgánu,  dozorného  orgánu  a iného orgánu účtovnej jednotky a to - celková  suma  poskytnutých  pôžičiek  k poslednému  dňu  účtovného  obdobia v členení za jednotlivé orgány a celková suma splatených pôžičiek k poslednému dňu účtovného obdobia v členení za jednotlivé orgány a celková  suma  odpustených  pôžičiek  a odpísaných  pôžičiek  k poslednému  dňu účtovného obdobia v členení za jednotlivé orgány. </w:t>
      </w:r>
    </w:p>
    <w:p w:rsidR="004E1139" w:rsidRDefault="004E1139" w:rsidP="004E1139">
      <w:r>
        <w:t xml:space="preserve"> </w:t>
      </w:r>
      <w:r w:rsidR="008915AF">
        <w:t>Neboli poskytnuté.</w:t>
      </w:r>
    </w:p>
    <w:p w:rsidR="004E1139" w:rsidRDefault="008915AF" w:rsidP="004E1139">
      <w:r>
        <w:t>c</w:t>
      </w:r>
      <w:r w:rsidR="004E1139">
        <w:t xml:space="preserve">) celkovej sume použitých finančných prostriedkov alebo iného plnenia na súkromné účely členmi štatutárneho orgánu, dozorného orgánu a iného orgánu účtovnej jednotky, ktoré je potrebné vyúčtovať. </w:t>
      </w:r>
    </w:p>
    <w:p w:rsidR="004E1139" w:rsidRDefault="008915AF" w:rsidP="004E1139">
      <w:r>
        <w:t>Neboli poskytnuté.</w:t>
      </w:r>
    </w:p>
    <w:p w:rsidR="004E1139" w:rsidRPr="003D4D38" w:rsidRDefault="004E1139" w:rsidP="004E1139">
      <w:pPr>
        <w:pStyle w:val="Odsekzoznamu"/>
        <w:numPr>
          <w:ilvl w:val="0"/>
          <w:numId w:val="4"/>
        </w:numPr>
        <w:ind w:left="284"/>
        <w:rPr>
          <w:b/>
        </w:rPr>
      </w:pPr>
      <w:r w:rsidRPr="003D4D38">
        <w:rPr>
          <w:b/>
        </w:rPr>
        <w:t xml:space="preserve">Informácie o povinnostiach účtovnej jednotky, a to: </w:t>
      </w:r>
      <w:r>
        <w:t xml:space="preserve"> </w:t>
      </w:r>
    </w:p>
    <w:p w:rsidR="004E1139" w:rsidRDefault="004E1139" w:rsidP="00E020BD">
      <w:pPr>
        <w:jc w:val="both"/>
      </w:pPr>
      <w: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zmluvy. </w:t>
      </w:r>
    </w:p>
    <w:p w:rsidR="004E1139" w:rsidRDefault="008915AF" w:rsidP="004E1139">
      <w:r>
        <w:t>Spoločnosť neúčtovala.</w:t>
      </w:r>
    </w:p>
    <w:p w:rsidR="004E1139" w:rsidRDefault="004E1139" w:rsidP="00E020BD">
      <w:pPr>
        <w:jc w:val="both"/>
      </w:pPr>
      <w:r>
        <w:t xml:space="preserve">b) celkovej sume významných podmienených záväzkov, ktorými sa rozumie možná povinnosť, ktorá vznikla ako dôsledok minulej udalosti 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oceniť. </w:t>
      </w:r>
    </w:p>
    <w:p w:rsidR="00C0484D" w:rsidRDefault="00C0484D" w:rsidP="004E1139">
      <w:r>
        <w:t>Spoločnosť nemá podmienené záväzky.</w:t>
      </w:r>
    </w:p>
    <w:p w:rsidR="004E1139" w:rsidRDefault="004E1139" w:rsidP="00E020BD">
      <w:pPr>
        <w:jc w:val="both"/>
      </w:pPr>
      <w:r>
        <w:t xml:space="preserve">c) opise významných finančných povinností a významných podmienených záväzkov, a to celkovej sume významných finančných povinností a významných podmienených záväzkoch voči dcérskej účtovnej jednotke a účtovnej jednotke s podstatným vplyvom. </w:t>
      </w:r>
    </w:p>
    <w:p w:rsidR="004E1139" w:rsidRDefault="00C0484D" w:rsidP="004E1139">
      <w:r>
        <w:t>Spoločnosť neúčtovala</w:t>
      </w:r>
      <w:r w:rsidR="00E020BD">
        <w:t>.</w:t>
      </w:r>
    </w:p>
    <w:p w:rsidR="004E1139" w:rsidRDefault="004E1139" w:rsidP="00E020BD">
      <w:pPr>
        <w:jc w:val="both"/>
      </w:pPr>
      <w:r>
        <w:lastRenderedPageBreak/>
        <w:t xml:space="preserve">d) opise významných povinností účtovnej jednotky vyplývajúcich z dôchodkových programov pre zamestnancov. </w:t>
      </w:r>
    </w:p>
    <w:p w:rsidR="004E1139" w:rsidRDefault="004E1139" w:rsidP="004E1139">
      <w:r>
        <w:t xml:space="preserve"> </w:t>
      </w:r>
      <w:r w:rsidR="00E020BD">
        <w:t>Spoločnosť ne</w:t>
      </w:r>
      <w:r w:rsidR="002E6756">
        <w:t>má významné povinnosti vyplývajúce z dôchodkových programov pre zamestnancov</w:t>
      </w:r>
      <w:r w:rsidR="00E020BD">
        <w:t>.</w:t>
      </w:r>
    </w:p>
    <w:p w:rsidR="004E1139" w:rsidRDefault="004E1139" w:rsidP="00E020BD">
      <w:pPr>
        <w:jc w:val="both"/>
      </w:pPr>
      <w:r>
        <w:t>6. 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všetkých formách prijatej náhrady, účtovných zásadách použitých pri prideľovaní nákladov a výnosov, všetkých druhoch činnosti účtovnej jednotky.</w:t>
      </w:r>
    </w:p>
    <w:p w:rsidR="00E020BD" w:rsidRDefault="00E020BD" w:rsidP="00E020BD">
      <w:pPr>
        <w:jc w:val="both"/>
      </w:pPr>
      <w:r>
        <w:t>Spoločnosť neúčtovala.</w:t>
      </w:r>
    </w:p>
    <w:sectPr w:rsidR="00E020BD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62C8E" w:rsidRDefault="00E62C8E" w:rsidP="004E1139">
      <w:pPr>
        <w:spacing w:after="0" w:line="240" w:lineRule="auto"/>
      </w:pPr>
      <w:r>
        <w:separator/>
      </w:r>
    </w:p>
  </w:endnote>
  <w:endnote w:type="continuationSeparator" w:id="0">
    <w:p w:rsidR="00E62C8E" w:rsidRDefault="00E62C8E" w:rsidP="004E113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42661055"/>
      <w:docPartObj>
        <w:docPartGallery w:val="Page Numbers (Bottom of Page)"/>
        <w:docPartUnique/>
      </w:docPartObj>
    </w:sdtPr>
    <w:sdtEndPr/>
    <w:sdtContent>
      <w:p w:rsidR="008915AF" w:rsidRDefault="008915AF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0B57C9">
          <w:rPr>
            <w:noProof/>
          </w:rPr>
          <w:t>1</w:t>
        </w:r>
        <w:r>
          <w:fldChar w:fldCharType="end"/>
        </w:r>
      </w:p>
    </w:sdtContent>
  </w:sdt>
  <w:p w:rsidR="008915AF" w:rsidRDefault="008915AF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62C8E" w:rsidRDefault="00E62C8E" w:rsidP="004E1139">
      <w:pPr>
        <w:spacing w:after="0" w:line="240" w:lineRule="auto"/>
      </w:pPr>
      <w:r>
        <w:separator/>
      </w:r>
    </w:p>
  </w:footnote>
  <w:footnote w:type="continuationSeparator" w:id="0">
    <w:p w:rsidR="00E62C8E" w:rsidRDefault="00E62C8E" w:rsidP="004E113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E1139" w:rsidRPr="00435877" w:rsidRDefault="008256B3" w:rsidP="004E1139">
    <w:pPr>
      <w:spacing w:after="0"/>
      <w:rPr>
        <w:rFonts w:ascii="Arial" w:hAnsi="Arial" w:cs="Arial"/>
        <w:b/>
        <w:i/>
      </w:rPr>
    </w:pPr>
    <w:bookmarkStart w:id="1" w:name="Title2nd"/>
    <w:proofErr w:type="spellStart"/>
    <w:r>
      <w:rPr>
        <w:rFonts w:ascii="Arial" w:hAnsi="Arial" w:cs="Arial"/>
        <w:b/>
        <w:i/>
      </w:rPr>
      <w:t>Piarg</w:t>
    </w:r>
    <w:proofErr w:type="spellEnd"/>
    <w:r>
      <w:rPr>
        <w:rFonts w:ascii="Arial" w:hAnsi="Arial" w:cs="Arial"/>
        <w:b/>
        <w:i/>
      </w:rPr>
      <w:t xml:space="preserve"> </w:t>
    </w:r>
    <w:proofErr w:type="spellStart"/>
    <w:r>
      <w:rPr>
        <w:rFonts w:ascii="Arial" w:hAnsi="Arial" w:cs="Arial"/>
        <w:b/>
        <w:i/>
      </w:rPr>
      <w:t>home</w:t>
    </w:r>
    <w:proofErr w:type="spellEnd"/>
    <w:r w:rsidR="004E1139">
      <w:rPr>
        <w:rFonts w:ascii="Arial" w:hAnsi="Arial" w:cs="Arial"/>
        <w:b/>
        <w:i/>
      </w:rPr>
      <w:t xml:space="preserve"> s.r.o.</w:t>
    </w:r>
    <w:bookmarkEnd w:id="1"/>
    <w:r w:rsidR="004E1139" w:rsidRPr="00435877">
      <w:rPr>
        <w:rFonts w:ascii="Arial" w:hAnsi="Arial" w:cs="Arial"/>
        <w:b/>
        <w:i/>
      </w:rPr>
      <w:t xml:space="preserve"> </w:t>
    </w:r>
  </w:p>
  <w:p w:rsidR="004E1139" w:rsidRPr="00E7199A" w:rsidRDefault="004E1139" w:rsidP="004E1139">
    <w:pPr>
      <w:pStyle w:val="lines"/>
    </w:pPr>
    <w:r w:rsidRPr="00E7199A">
      <w:t xml:space="preserve">Poznámky </w:t>
    </w:r>
    <w:proofErr w:type="spellStart"/>
    <w:r w:rsidR="008256B3">
      <w:t>Úč</w:t>
    </w:r>
    <w:proofErr w:type="spellEnd"/>
    <w:r w:rsidR="008256B3">
      <w:t xml:space="preserve"> MÚJ 3-01</w:t>
    </w:r>
    <w:r w:rsidR="008256B3">
      <w:tab/>
      <w:t>IČO:46413740</w:t>
    </w:r>
    <w:r>
      <w:tab/>
    </w:r>
    <w:r>
      <w:tab/>
      <w:t xml:space="preserve">DIČ: </w:t>
    </w:r>
    <w:r w:rsidR="008256B3">
      <w:t>2023370822</w:t>
    </w:r>
  </w:p>
  <w:p w:rsidR="004E1139" w:rsidRDefault="004E1139">
    <w:pPr>
      <w:pStyle w:val="Hlavika"/>
    </w:pPr>
  </w:p>
  <w:p w:rsidR="004E1139" w:rsidRDefault="004E1139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36C62EB"/>
    <w:multiLevelType w:val="hybridMultilevel"/>
    <w:tmpl w:val="9EFA6A14"/>
    <w:lvl w:ilvl="0" w:tplc="EC3E9F2A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3E33D30"/>
    <w:multiLevelType w:val="hybridMultilevel"/>
    <w:tmpl w:val="B66CC34E"/>
    <w:lvl w:ilvl="0" w:tplc="8CAAD93E">
      <w:start w:val="1"/>
      <w:numFmt w:val="decimal"/>
      <w:lvlText w:val="%1."/>
      <w:lvlJc w:val="left"/>
      <w:pPr>
        <w:ind w:left="844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54028B2"/>
    <w:multiLevelType w:val="hybridMultilevel"/>
    <w:tmpl w:val="FC0AD374"/>
    <w:lvl w:ilvl="0" w:tplc="EAE885E6">
      <w:start w:val="1"/>
      <w:numFmt w:val="decimal"/>
      <w:lvlText w:val="%1."/>
      <w:lvlJc w:val="left"/>
      <w:pPr>
        <w:ind w:left="844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671575A"/>
    <w:multiLevelType w:val="hybridMultilevel"/>
    <w:tmpl w:val="B870222A"/>
    <w:lvl w:ilvl="0" w:tplc="EC3E9F2A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5C3951D3"/>
    <w:multiLevelType w:val="hybridMultilevel"/>
    <w:tmpl w:val="8348BFB8"/>
    <w:lvl w:ilvl="0" w:tplc="041B000F">
      <w:start w:val="1"/>
      <w:numFmt w:val="decimal"/>
      <w:lvlText w:val="%1."/>
      <w:lvlJc w:val="left"/>
      <w:pPr>
        <w:ind w:left="844" w:hanging="360"/>
      </w:pPr>
    </w:lvl>
    <w:lvl w:ilvl="1" w:tplc="041B0019" w:tentative="1">
      <w:start w:val="1"/>
      <w:numFmt w:val="lowerLetter"/>
      <w:lvlText w:val="%2."/>
      <w:lvlJc w:val="left"/>
      <w:pPr>
        <w:ind w:left="1564" w:hanging="360"/>
      </w:pPr>
    </w:lvl>
    <w:lvl w:ilvl="2" w:tplc="041B001B" w:tentative="1">
      <w:start w:val="1"/>
      <w:numFmt w:val="lowerRoman"/>
      <w:lvlText w:val="%3."/>
      <w:lvlJc w:val="right"/>
      <w:pPr>
        <w:ind w:left="2284" w:hanging="180"/>
      </w:pPr>
    </w:lvl>
    <w:lvl w:ilvl="3" w:tplc="041B000F" w:tentative="1">
      <w:start w:val="1"/>
      <w:numFmt w:val="decimal"/>
      <w:lvlText w:val="%4."/>
      <w:lvlJc w:val="left"/>
      <w:pPr>
        <w:ind w:left="3004" w:hanging="360"/>
      </w:pPr>
    </w:lvl>
    <w:lvl w:ilvl="4" w:tplc="041B0019" w:tentative="1">
      <w:start w:val="1"/>
      <w:numFmt w:val="lowerLetter"/>
      <w:lvlText w:val="%5."/>
      <w:lvlJc w:val="left"/>
      <w:pPr>
        <w:ind w:left="3724" w:hanging="360"/>
      </w:pPr>
    </w:lvl>
    <w:lvl w:ilvl="5" w:tplc="041B001B" w:tentative="1">
      <w:start w:val="1"/>
      <w:numFmt w:val="lowerRoman"/>
      <w:lvlText w:val="%6."/>
      <w:lvlJc w:val="right"/>
      <w:pPr>
        <w:ind w:left="4444" w:hanging="180"/>
      </w:pPr>
    </w:lvl>
    <w:lvl w:ilvl="6" w:tplc="041B000F" w:tentative="1">
      <w:start w:val="1"/>
      <w:numFmt w:val="decimal"/>
      <w:lvlText w:val="%7."/>
      <w:lvlJc w:val="left"/>
      <w:pPr>
        <w:ind w:left="5164" w:hanging="360"/>
      </w:pPr>
    </w:lvl>
    <w:lvl w:ilvl="7" w:tplc="041B0019" w:tentative="1">
      <w:start w:val="1"/>
      <w:numFmt w:val="lowerLetter"/>
      <w:lvlText w:val="%8."/>
      <w:lvlJc w:val="left"/>
      <w:pPr>
        <w:ind w:left="5884" w:hanging="360"/>
      </w:pPr>
    </w:lvl>
    <w:lvl w:ilvl="8" w:tplc="041B001B" w:tentative="1">
      <w:start w:val="1"/>
      <w:numFmt w:val="lowerRoman"/>
      <w:lvlText w:val="%9."/>
      <w:lvlJc w:val="right"/>
      <w:pPr>
        <w:ind w:left="6604" w:hanging="180"/>
      </w:pPr>
    </w:lvl>
  </w:abstractNum>
  <w:num w:numId="1">
    <w:abstractNumId w:val="4"/>
  </w:num>
  <w:num w:numId="2">
    <w:abstractNumId w:val="1"/>
  </w:num>
  <w:num w:numId="3">
    <w:abstractNumId w:val="2"/>
  </w:num>
  <w:num w:numId="4">
    <w:abstractNumId w:val="0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E1139"/>
    <w:rsid w:val="000B57C9"/>
    <w:rsid w:val="00153519"/>
    <w:rsid w:val="002E6756"/>
    <w:rsid w:val="00363365"/>
    <w:rsid w:val="003D4D38"/>
    <w:rsid w:val="004357E4"/>
    <w:rsid w:val="00487ADF"/>
    <w:rsid w:val="004E1139"/>
    <w:rsid w:val="00512C77"/>
    <w:rsid w:val="006E6369"/>
    <w:rsid w:val="00725B7C"/>
    <w:rsid w:val="00787C26"/>
    <w:rsid w:val="007A67AA"/>
    <w:rsid w:val="008256B3"/>
    <w:rsid w:val="008915AF"/>
    <w:rsid w:val="008A0F36"/>
    <w:rsid w:val="008F3234"/>
    <w:rsid w:val="009D0D46"/>
    <w:rsid w:val="00A14573"/>
    <w:rsid w:val="00A25729"/>
    <w:rsid w:val="00AB52C4"/>
    <w:rsid w:val="00C0484D"/>
    <w:rsid w:val="00CE74B5"/>
    <w:rsid w:val="00DA1E5A"/>
    <w:rsid w:val="00E020BD"/>
    <w:rsid w:val="00E62C8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4E113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4E113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E1139"/>
  </w:style>
  <w:style w:type="paragraph" w:styleId="Pta">
    <w:name w:val="footer"/>
    <w:basedOn w:val="Normlny"/>
    <w:link w:val="PtaChar"/>
    <w:uiPriority w:val="99"/>
    <w:unhideWhenUsed/>
    <w:rsid w:val="004E113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4E1139"/>
  </w:style>
  <w:style w:type="paragraph" w:styleId="Textbubliny">
    <w:name w:val="Balloon Text"/>
    <w:basedOn w:val="Normlny"/>
    <w:link w:val="TextbublinyChar"/>
    <w:uiPriority w:val="99"/>
    <w:semiHidden/>
    <w:unhideWhenUsed/>
    <w:rsid w:val="004E113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E1139"/>
    <w:rPr>
      <w:rFonts w:ascii="Tahoma" w:hAnsi="Tahoma" w:cs="Tahoma"/>
      <w:sz w:val="16"/>
      <w:szCs w:val="16"/>
    </w:rPr>
  </w:style>
  <w:style w:type="paragraph" w:customStyle="1" w:styleId="lines">
    <w:name w:val="line_s"/>
    <w:basedOn w:val="Normlny"/>
    <w:autoRedefine/>
    <w:rsid w:val="004E1139"/>
    <w:pPr>
      <w:pBdr>
        <w:bottom w:val="single" w:sz="4" w:space="0" w:color="auto"/>
      </w:pBdr>
      <w:spacing w:after="0" w:line="240" w:lineRule="auto"/>
    </w:pPr>
    <w:rPr>
      <w:rFonts w:ascii="Arial" w:eastAsia="Times New Roman" w:hAnsi="Arial" w:cs="Arial"/>
      <w:b/>
      <w:i/>
      <w:sz w:val="20"/>
      <w:szCs w:val="24"/>
      <w:lang w:eastAsia="sk-SK"/>
    </w:rPr>
  </w:style>
  <w:style w:type="paragraph" w:styleId="Odsekzoznamu">
    <w:name w:val="List Paragraph"/>
    <w:basedOn w:val="Normlny"/>
    <w:uiPriority w:val="34"/>
    <w:qFormat/>
    <w:rsid w:val="007A67AA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4E113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4E113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E1139"/>
  </w:style>
  <w:style w:type="paragraph" w:styleId="Pta">
    <w:name w:val="footer"/>
    <w:basedOn w:val="Normlny"/>
    <w:link w:val="PtaChar"/>
    <w:uiPriority w:val="99"/>
    <w:unhideWhenUsed/>
    <w:rsid w:val="004E113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4E1139"/>
  </w:style>
  <w:style w:type="paragraph" w:styleId="Textbubliny">
    <w:name w:val="Balloon Text"/>
    <w:basedOn w:val="Normlny"/>
    <w:link w:val="TextbublinyChar"/>
    <w:uiPriority w:val="99"/>
    <w:semiHidden/>
    <w:unhideWhenUsed/>
    <w:rsid w:val="004E113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E1139"/>
    <w:rPr>
      <w:rFonts w:ascii="Tahoma" w:hAnsi="Tahoma" w:cs="Tahoma"/>
      <w:sz w:val="16"/>
      <w:szCs w:val="16"/>
    </w:rPr>
  </w:style>
  <w:style w:type="paragraph" w:customStyle="1" w:styleId="lines">
    <w:name w:val="line_s"/>
    <w:basedOn w:val="Normlny"/>
    <w:autoRedefine/>
    <w:rsid w:val="004E1139"/>
    <w:pPr>
      <w:pBdr>
        <w:bottom w:val="single" w:sz="4" w:space="0" w:color="auto"/>
      </w:pBdr>
      <w:spacing w:after="0" w:line="240" w:lineRule="auto"/>
    </w:pPr>
    <w:rPr>
      <w:rFonts w:ascii="Arial" w:eastAsia="Times New Roman" w:hAnsi="Arial" w:cs="Arial"/>
      <w:b/>
      <w:i/>
      <w:sz w:val="20"/>
      <w:szCs w:val="24"/>
      <w:lang w:eastAsia="sk-SK"/>
    </w:rPr>
  </w:style>
  <w:style w:type="paragraph" w:styleId="Odsekzoznamu">
    <w:name w:val="List Paragraph"/>
    <w:basedOn w:val="Normlny"/>
    <w:uiPriority w:val="34"/>
    <w:qFormat/>
    <w:rsid w:val="007A67A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4</Pages>
  <Words>974</Words>
  <Characters>5553</Characters>
  <Application>Microsoft Office Word</Application>
  <DocSecurity>0</DocSecurity>
  <Lines>46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DADON, s.r.o.</Company>
  <LinksUpToDate>false</LinksUpToDate>
  <CharactersWithSpaces>6514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rea</dc:creator>
  <cp:lastModifiedBy>rea</cp:lastModifiedBy>
  <cp:revision>3</cp:revision>
  <dcterms:created xsi:type="dcterms:W3CDTF">2022-06-26T13:13:00Z</dcterms:created>
  <dcterms:modified xsi:type="dcterms:W3CDTF">2022-06-26T13:17:00Z</dcterms:modified>
</cp:coreProperties>
</file>