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225E8F" w14:textId="77777777" w:rsidR="00114A9E" w:rsidRPr="00114A9E" w:rsidRDefault="00114A9E" w:rsidP="00114A9E">
      <w:pPr>
        <w:spacing w:after="200" w:line="276" w:lineRule="auto"/>
        <w:rPr>
          <w:rFonts w:ascii="Calibri" w:eastAsia="Calibri" w:hAnsi="Calibri" w:cs="Times New Roman"/>
          <w:b/>
          <w:sz w:val="28"/>
          <w:szCs w:val="28"/>
        </w:rPr>
      </w:pPr>
    </w:p>
    <w:p w14:paraId="0392567D" w14:textId="77777777" w:rsidR="00114A9E" w:rsidRPr="00114A9E" w:rsidRDefault="00114A9E" w:rsidP="00114A9E">
      <w:pPr>
        <w:numPr>
          <w:ilvl w:val="0"/>
          <w:numId w:val="1"/>
        </w:numPr>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07.Informácie o účtovnej jednotke:</w:t>
      </w:r>
    </w:p>
    <w:p w14:paraId="200CB847" w14:textId="77777777" w:rsidR="00114A9E" w:rsidRPr="00114A9E" w:rsidRDefault="00114A9E" w:rsidP="00114A9E">
      <w:pPr>
        <w:spacing w:after="200" w:line="276" w:lineRule="auto"/>
        <w:ind w:left="720"/>
        <w:contextualSpacing/>
        <w:rPr>
          <w:rFonts w:ascii="Calibri" w:eastAsia="Calibri" w:hAnsi="Calibri" w:cs="Times New Roman"/>
          <w:b/>
          <w:sz w:val="28"/>
          <w:szCs w:val="28"/>
        </w:rPr>
      </w:pPr>
    </w:p>
    <w:p w14:paraId="23063E7B" w14:textId="1352ED7C"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Spoločnosť </w:t>
      </w:r>
      <w:r w:rsidR="00715F39">
        <w:rPr>
          <w:rFonts w:ascii="Calibri" w:eastAsia="Calibri" w:hAnsi="Calibri" w:cs="Times New Roman"/>
          <w:sz w:val="24"/>
          <w:szCs w:val="24"/>
        </w:rPr>
        <w:t xml:space="preserve">ROBI SLOVAKIA </w:t>
      </w:r>
      <w:r w:rsidRPr="00114A9E">
        <w:rPr>
          <w:rFonts w:ascii="Calibri" w:eastAsia="Calibri" w:hAnsi="Calibri" w:cs="Times New Roman"/>
          <w:sz w:val="24"/>
          <w:szCs w:val="24"/>
        </w:rPr>
        <w:t xml:space="preserve"> s.r.o., bola založená v obchodnom registri zakladateľskou listinou dňa </w:t>
      </w:r>
      <w:r w:rsidR="00715F39">
        <w:rPr>
          <w:rFonts w:ascii="Calibri" w:eastAsia="Calibri" w:hAnsi="Calibri" w:cs="Times New Roman"/>
          <w:sz w:val="24"/>
          <w:szCs w:val="24"/>
        </w:rPr>
        <w:t>1.9.2021</w:t>
      </w:r>
      <w:r w:rsidRPr="00114A9E">
        <w:rPr>
          <w:rFonts w:ascii="Calibri" w:eastAsia="Calibri" w:hAnsi="Calibri" w:cs="Times New Roman"/>
          <w:sz w:val="24"/>
          <w:szCs w:val="24"/>
        </w:rPr>
        <w:t xml:space="preserve">. Je zapísaná v obchodnom registri Okresného súdu Banská Bystrica, oddiel s.r.o., vložka </w:t>
      </w:r>
      <w:r w:rsidR="00715F39">
        <w:rPr>
          <w:rFonts w:ascii="Calibri" w:eastAsia="Calibri" w:hAnsi="Calibri" w:cs="Times New Roman"/>
          <w:sz w:val="24"/>
          <w:szCs w:val="24"/>
        </w:rPr>
        <w:t>41868/S</w:t>
      </w:r>
      <w:r w:rsidRPr="00114A9E">
        <w:rPr>
          <w:rFonts w:ascii="Calibri" w:eastAsia="Calibri" w:hAnsi="Calibri" w:cs="Times New Roman"/>
          <w:sz w:val="24"/>
          <w:szCs w:val="24"/>
        </w:rPr>
        <w:t xml:space="preserve">. Deň zápisu </w:t>
      </w:r>
      <w:r w:rsidR="00715F39">
        <w:rPr>
          <w:rFonts w:ascii="Calibri" w:eastAsia="Calibri" w:hAnsi="Calibri" w:cs="Times New Roman"/>
          <w:sz w:val="24"/>
          <w:szCs w:val="24"/>
        </w:rPr>
        <w:t>1.9.2021</w:t>
      </w:r>
      <w:r w:rsidRPr="00114A9E">
        <w:rPr>
          <w:rFonts w:ascii="Calibri" w:eastAsia="Calibri" w:hAnsi="Calibri" w:cs="Times New Roman"/>
          <w:sz w:val="24"/>
          <w:szCs w:val="24"/>
        </w:rPr>
        <w:t>.</w:t>
      </w:r>
    </w:p>
    <w:p w14:paraId="4197C17C" w14:textId="77777777"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Hlavné činnosti spoločnosti sú: </w:t>
      </w:r>
    </w:p>
    <w:p w14:paraId="75E692DA" w14:textId="3383E424" w:rsidR="00114A9E" w:rsidRPr="00114A9E" w:rsidRDefault="00715F39" w:rsidP="00114A9E">
      <w:pPr>
        <w:spacing w:after="200" w:line="276" w:lineRule="auto"/>
        <w:ind w:left="1080"/>
        <w:contextualSpacing/>
        <w:rPr>
          <w:rFonts w:ascii="Calibri" w:eastAsia="Calibri" w:hAnsi="Calibri" w:cs="Times New Roman"/>
          <w:sz w:val="24"/>
          <w:szCs w:val="24"/>
        </w:rPr>
      </w:pPr>
      <w:r>
        <w:rPr>
          <w:rFonts w:ascii="Calibri" w:eastAsia="Calibri" w:hAnsi="Calibri" w:cs="Times New Roman"/>
          <w:sz w:val="24"/>
          <w:szCs w:val="24"/>
        </w:rPr>
        <w:t>Vedenie účtovníctva</w:t>
      </w:r>
    </w:p>
    <w:p w14:paraId="299CA91C" w14:textId="6F0FD851"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K dátumu zostavenia účtovnej uzávierky mala spoločnosť </w:t>
      </w:r>
      <w:r w:rsidR="00715F39">
        <w:rPr>
          <w:rFonts w:ascii="Calibri" w:eastAsia="Calibri" w:hAnsi="Calibri" w:cs="Times New Roman"/>
          <w:sz w:val="24"/>
          <w:szCs w:val="24"/>
        </w:rPr>
        <w:t>0</w:t>
      </w:r>
      <w:r w:rsidRPr="00114A9E">
        <w:rPr>
          <w:rFonts w:ascii="Calibri" w:eastAsia="Calibri" w:hAnsi="Calibri" w:cs="Times New Roman"/>
          <w:sz w:val="24"/>
          <w:szCs w:val="24"/>
        </w:rPr>
        <w:t xml:space="preserve"> zamestnancov, </w:t>
      </w:r>
      <w:r w:rsidR="00715F39">
        <w:rPr>
          <w:rFonts w:ascii="Calibri" w:eastAsia="Calibri" w:hAnsi="Calibri" w:cs="Times New Roman"/>
          <w:sz w:val="24"/>
          <w:szCs w:val="24"/>
        </w:rPr>
        <w:t>2</w:t>
      </w:r>
      <w:r w:rsidR="0096795B">
        <w:rPr>
          <w:rFonts w:ascii="Calibri" w:eastAsia="Calibri" w:hAnsi="Calibri" w:cs="Times New Roman"/>
          <w:sz w:val="24"/>
          <w:szCs w:val="24"/>
        </w:rPr>
        <w:t xml:space="preserve"> </w:t>
      </w:r>
      <w:r w:rsidR="00715F39">
        <w:rPr>
          <w:rFonts w:ascii="Calibri" w:eastAsia="Calibri" w:hAnsi="Calibri" w:cs="Times New Roman"/>
          <w:sz w:val="24"/>
          <w:szCs w:val="24"/>
        </w:rPr>
        <w:t>spoločníci</w:t>
      </w:r>
      <w:r w:rsidR="0096795B">
        <w:rPr>
          <w:rFonts w:ascii="Calibri" w:eastAsia="Calibri" w:hAnsi="Calibri" w:cs="Times New Roman"/>
          <w:sz w:val="24"/>
          <w:szCs w:val="24"/>
        </w:rPr>
        <w:t>.</w:t>
      </w:r>
    </w:p>
    <w:p w14:paraId="7A107102" w14:textId="77777777"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Obchodná spoločnosť nie je obmedzene ručiacim spoločníkom v žiadnej spoločnosti.</w:t>
      </w:r>
    </w:p>
    <w:p w14:paraId="63CC51C3" w14:textId="2F72D285"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Účtovná uzávier</w:t>
      </w:r>
      <w:r w:rsidR="00F90D50">
        <w:rPr>
          <w:rFonts w:ascii="Calibri" w:eastAsia="Calibri" w:hAnsi="Calibri" w:cs="Times New Roman"/>
          <w:sz w:val="24"/>
          <w:szCs w:val="24"/>
        </w:rPr>
        <w:t>ka spoločnosti bola k 31.12.20</w:t>
      </w:r>
      <w:r w:rsidR="00715F39">
        <w:rPr>
          <w:rFonts w:ascii="Calibri" w:eastAsia="Calibri" w:hAnsi="Calibri" w:cs="Times New Roman"/>
          <w:sz w:val="24"/>
          <w:szCs w:val="24"/>
        </w:rPr>
        <w:t>21</w:t>
      </w:r>
      <w:r w:rsidRPr="00114A9E">
        <w:rPr>
          <w:rFonts w:ascii="Calibri" w:eastAsia="Calibri" w:hAnsi="Calibri" w:cs="Times New Roman"/>
          <w:sz w:val="24"/>
          <w:szCs w:val="24"/>
        </w:rPr>
        <w:t xml:space="preserve"> zostavená ako riadna účtovná uzávierka podľa § 17ods. 6 zákona č. 431/2002 Z.z. o účtovníctve v znení neskorších predpisov.</w:t>
      </w:r>
    </w:p>
    <w:p w14:paraId="30697F61" w14:textId="06134EC5" w:rsidR="00114A9E" w:rsidRPr="00114A9E" w:rsidRDefault="00114A9E" w:rsidP="00114A9E">
      <w:pPr>
        <w:numPr>
          <w:ilvl w:val="0"/>
          <w:numId w:val="2"/>
        </w:numPr>
        <w:spacing w:after="200" w:line="276" w:lineRule="auto"/>
        <w:contextualSpacing/>
        <w:rPr>
          <w:rFonts w:ascii="Calibri" w:eastAsia="Calibri" w:hAnsi="Calibri" w:cs="Times New Roman"/>
          <w:sz w:val="24"/>
          <w:szCs w:val="24"/>
        </w:rPr>
      </w:pPr>
    </w:p>
    <w:p w14:paraId="5A488866" w14:textId="77777777" w:rsidR="00114A9E" w:rsidRPr="00114A9E" w:rsidRDefault="00114A9E" w:rsidP="00114A9E">
      <w:pPr>
        <w:spacing w:after="200" w:line="276" w:lineRule="auto"/>
        <w:rPr>
          <w:rFonts w:ascii="Calibri" w:eastAsia="Calibri" w:hAnsi="Calibri" w:cs="Times New Roman"/>
          <w:sz w:val="24"/>
          <w:szCs w:val="24"/>
        </w:rPr>
      </w:pPr>
    </w:p>
    <w:p w14:paraId="2BA59AEE" w14:textId="77777777" w:rsidR="00114A9E" w:rsidRPr="00114A9E" w:rsidRDefault="00114A9E" w:rsidP="00114A9E">
      <w:pPr>
        <w:numPr>
          <w:ilvl w:val="0"/>
          <w:numId w:val="3"/>
        </w:numPr>
        <w:spacing w:after="200" w:line="276" w:lineRule="auto"/>
        <w:contextualSpacing/>
        <w:rPr>
          <w:rFonts w:ascii="Calibri" w:eastAsia="Calibri" w:hAnsi="Calibri" w:cs="Times New Roman"/>
          <w:b/>
        </w:rPr>
      </w:pPr>
      <w:r w:rsidRPr="00114A9E">
        <w:rPr>
          <w:rFonts w:ascii="Calibri" w:eastAsia="Calibri" w:hAnsi="Calibri" w:cs="Times New Roman"/>
          <w:b/>
          <w:sz w:val="24"/>
          <w:szCs w:val="24"/>
        </w:rPr>
        <w:t>Informácie o počte zamestnancov</w:t>
      </w:r>
    </w:p>
    <w:tbl>
      <w:tblPr>
        <w:tblStyle w:val="Mriekatabuky1"/>
        <w:tblW w:w="9782" w:type="dxa"/>
        <w:tblInd w:w="-318" w:type="dxa"/>
        <w:tblLook w:val="04A0" w:firstRow="1" w:lastRow="0" w:firstColumn="1" w:lastColumn="0" w:noHBand="0" w:noVBand="1"/>
      </w:tblPr>
      <w:tblGrid>
        <w:gridCol w:w="3085"/>
        <w:gridCol w:w="2778"/>
        <w:gridCol w:w="3919"/>
      </w:tblGrid>
      <w:tr w:rsidR="00114A9E" w:rsidRPr="00114A9E" w14:paraId="782C2988" w14:textId="77777777" w:rsidTr="002D2998">
        <w:tc>
          <w:tcPr>
            <w:tcW w:w="3085" w:type="dxa"/>
          </w:tcPr>
          <w:p w14:paraId="0B356931"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      Názov položky</w:t>
            </w:r>
          </w:p>
          <w:p w14:paraId="1B113047" w14:textId="77777777" w:rsidR="00114A9E" w:rsidRPr="00114A9E" w:rsidRDefault="00114A9E" w:rsidP="00114A9E">
            <w:pPr>
              <w:rPr>
                <w:rFonts w:ascii="Calibri" w:eastAsia="Calibri" w:hAnsi="Calibri" w:cs="Times New Roman"/>
                <w:b/>
                <w:sz w:val="28"/>
                <w:szCs w:val="28"/>
              </w:rPr>
            </w:pPr>
          </w:p>
        </w:tc>
        <w:tc>
          <w:tcPr>
            <w:tcW w:w="2778" w:type="dxa"/>
          </w:tcPr>
          <w:p w14:paraId="7D75E576"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Bežné účtovné obdobie</w:t>
            </w:r>
          </w:p>
        </w:tc>
        <w:tc>
          <w:tcPr>
            <w:tcW w:w="3919" w:type="dxa"/>
          </w:tcPr>
          <w:p w14:paraId="2EF0DF9F"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Bezprostredne predchádzajúce </w:t>
            </w:r>
          </w:p>
          <w:p w14:paraId="69BFA50F" w14:textId="77777777" w:rsidR="00114A9E" w:rsidRPr="00114A9E" w:rsidRDefault="00114A9E" w:rsidP="00114A9E">
            <w:pPr>
              <w:rPr>
                <w:rFonts w:ascii="Calibri" w:eastAsia="Calibri" w:hAnsi="Calibri" w:cs="Times New Roman"/>
                <w:b/>
                <w:sz w:val="28"/>
                <w:szCs w:val="28"/>
              </w:rPr>
            </w:pPr>
            <w:r w:rsidRPr="00114A9E">
              <w:rPr>
                <w:rFonts w:ascii="Calibri" w:eastAsia="Calibri" w:hAnsi="Calibri" w:cs="Times New Roman"/>
                <w:b/>
                <w:sz w:val="28"/>
                <w:szCs w:val="28"/>
              </w:rPr>
              <w:t xml:space="preserve">            účtovné obdobie</w:t>
            </w:r>
          </w:p>
        </w:tc>
      </w:tr>
      <w:tr w:rsidR="00114A9E" w:rsidRPr="00114A9E" w14:paraId="0CF1B607" w14:textId="77777777" w:rsidTr="002D2998">
        <w:tc>
          <w:tcPr>
            <w:tcW w:w="3085" w:type="dxa"/>
          </w:tcPr>
          <w:p w14:paraId="514234A0" w14:textId="77777777" w:rsidR="00114A9E" w:rsidRPr="00114A9E" w:rsidRDefault="00114A9E" w:rsidP="00114A9E">
            <w:pPr>
              <w:rPr>
                <w:rFonts w:ascii="Calibri" w:eastAsia="Calibri" w:hAnsi="Calibri" w:cs="Times New Roman"/>
                <w:sz w:val="24"/>
                <w:szCs w:val="24"/>
              </w:rPr>
            </w:pPr>
            <w:r w:rsidRPr="00114A9E">
              <w:rPr>
                <w:rFonts w:ascii="Calibri" w:eastAsia="Calibri" w:hAnsi="Calibri" w:cs="Times New Roman"/>
                <w:sz w:val="24"/>
                <w:szCs w:val="24"/>
              </w:rPr>
              <w:t xml:space="preserve">Priemerný prepočítaný počet zamestnancov </w:t>
            </w:r>
          </w:p>
        </w:tc>
        <w:tc>
          <w:tcPr>
            <w:tcW w:w="2778" w:type="dxa"/>
          </w:tcPr>
          <w:p w14:paraId="73E9BF74" w14:textId="75FE0623" w:rsidR="00114A9E" w:rsidRPr="00114A9E" w:rsidRDefault="00715F39" w:rsidP="00114A9E">
            <w:pPr>
              <w:rPr>
                <w:rFonts w:ascii="Calibri" w:eastAsia="Calibri" w:hAnsi="Calibri" w:cs="Times New Roman"/>
                <w:b/>
              </w:rPr>
            </w:pPr>
            <w:r>
              <w:rPr>
                <w:rFonts w:ascii="Calibri" w:eastAsia="Calibri" w:hAnsi="Calibri" w:cs="Times New Roman"/>
                <w:b/>
              </w:rPr>
              <w:t>0</w:t>
            </w:r>
          </w:p>
        </w:tc>
        <w:tc>
          <w:tcPr>
            <w:tcW w:w="3919" w:type="dxa"/>
          </w:tcPr>
          <w:p w14:paraId="6962C378" w14:textId="3A55A9B0" w:rsidR="00114A9E" w:rsidRPr="00114A9E" w:rsidRDefault="00715F39" w:rsidP="00114A9E">
            <w:pPr>
              <w:rPr>
                <w:rFonts w:ascii="Calibri" w:eastAsia="Calibri" w:hAnsi="Calibri" w:cs="Times New Roman"/>
                <w:b/>
              </w:rPr>
            </w:pPr>
            <w:r>
              <w:rPr>
                <w:rFonts w:ascii="Calibri" w:eastAsia="Calibri" w:hAnsi="Calibri" w:cs="Times New Roman"/>
                <w:b/>
              </w:rPr>
              <w:t>0</w:t>
            </w:r>
          </w:p>
        </w:tc>
      </w:tr>
      <w:tr w:rsidR="00114A9E" w:rsidRPr="00114A9E" w14:paraId="6BCE6D8C" w14:textId="77777777" w:rsidTr="002D2998">
        <w:tc>
          <w:tcPr>
            <w:tcW w:w="3085" w:type="dxa"/>
          </w:tcPr>
          <w:p w14:paraId="2FE0DF72" w14:textId="77777777" w:rsidR="00114A9E" w:rsidRPr="00114A9E" w:rsidRDefault="00114A9E" w:rsidP="00114A9E">
            <w:pPr>
              <w:rPr>
                <w:rFonts w:ascii="Calibri" w:eastAsia="Calibri" w:hAnsi="Calibri" w:cs="Times New Roman"/>
                <w:sz w:val="24"/>
                <w:szCs w:val="24"/>
              </w:rPr>
            </w:pPr>
            <w:r w:rsidRPr="00114A9E">
              <w:rPr>
                <w:rFonts w:ascii="Calibri" w:eastAsia="Calibri" w:hAnsi="Calibri" w:cs="Times New Roman"/>
                <w:sz w:val="24"/>
                <w:szCs w:val="24"/>
              </w:rPr>
              <w:t>Stav zamestnancov ku dňu, ku ktorému sa zostavuje účtovná závierka , z toho:</w:t>
            </w:r>
          </w:p>
        </w:tc>
        <w:tc>
          <w:tcPr>
            <w:tcW w:w="2778" w:type="dxa"/>
          </w:tcPr>
          <w:p w14:paraId="60E8D508" w14:textId="503595E9" w:rsidR="00114A9E" w:rsidRPr="00114A9E" w:rsidRDefault="00715F39" w:rsidP="00114A9E">
            <w:pPr>
              <w:rPr>
                <w:rFonts w:ascii="Calibri" w:eastAsia="Calibri" w:hAnsi="Calibri" w:cs="Times New Roman"/>
                <w:b/>
              </w:rPr>
            </w:pPr>
            <w:r>
              <w:rPr>
                <w:rFonts w:ascii="Calibri" w:eastAsia="Calibri" w:hAnsi="Calibri" w:cs="Times New Roman"/>
                <w:b/>
              </w:rPr>
              <w:t>0</w:t>
            </w:r>
          </w:p>
        </w:tc>
        <w:tc>
          <w:tcPr>
            <w:tcW w:w="3919" w:type="dxa"/>
          </w:tcPr>
          <w:p w14:paraId="5F416BB8" w14:textId="6B127F0B" w:rsidR="00114A9E" w:rsidRPr="00114A9E" w:rsidRDefault="00715F39" w:rsidP="00114A9E">
            <w:pPr>
              <w:rPr>
                <w:rFonts w:ascii="Calibri" w:eastAsia="Calibri" w:hAnsi="Calibri" w:cs="Times New Roman"/>
                <w:b/>
              </w:rPr>
            </w:pPr>
            <w:r>
              <w:rPr>
                <w:rFonts w:ascii="Calibri" w:eastAsia="Calibri" w:hAnsi="Calibri" w:cs="Times New Roman"/>
                <w:b/>
              </w:rPr>
              <w:t>0</w:t>
            </w:r>
          </w:p>
        </w:tc>
      </w:tr>
      <w:tr w:rsidR="00114A9E" w:rsidRPr="00114A9E" w14:paraId="6A1C9822" w14:textId="77777777" w:rsidTr="002D2998">
        <w:tc>
          <w:tcPr>
            <w:tcW w:w="3085" w:type="dxa"/>
          </w:tcPr>
          <w:p w14:paraId="694D8FCA" w14:textId="77777777" w:rsidR="00114A9E" w:rsidRPr="00114A9E" w:rsidRDefault="00114A9E" w:rsidP="00114A9E">
            <w:pPr>
              <w:rPr>
                <w:rFonts w:ascii="Calibri" w:eastAsia="Calibri" w:hAnsi="Calibri" w:cs="Times New Roman"/>
              </w:rPr>
            </w:pPr>
            <w:r w:rsidRPr="00114A9E">
              <w:rPr>
                <w:rFonts w:ascii="Calibri" w:eastAsia="Calibri" w:hAnsi="Calibri" w:cs="Times New Roman"/>
              </w:rPr>
              <w:t>Počet vedúcich zamestnancov</w:t>
            </w:r>
          </w:p>
        </w:tc>
        <w:tc>
          <w:tcPr>
            <w:tcW w:w="2778" w:type="dxa"/>
          </w:tcPr>
          <w:p w14:paraId="5F922301" w14:textId="490E9BEA" w:rsidR="00114A9E" w:rsidRPr="00114A9E" w:rsidRDefault="00715F39" w:rsidP="00114A9E">
            <w:pPr>
              <w:rPr>
                <w:rFonts w:ascii="Calibri" w:eastAsia="Calibri" w:hAnsi="Calibri" w:cs="Times New Roman"/>
                <w:b/>
              </w:rPr>
            </w:pPr>
            <w:r>
              <w:rPr>
                <w:rFonts w:ascii="Calibri" w:eastAsia="Calibri" w:hAnsi="Calibri" w:cs="Times New Roman"/>
                <w:b/>
              </w:rPr>
              <w:t>2</w:t>
            </w:r>
          </w:p>
        </w:tc>
        <w:tc>
          <w:tcPr>
            <w:tcW w:w="3919" w:type="dxa"/>
          </w:tcPr>
          <w:p w14:paraId="0455C96A" w14:textId="6199F29D" w:rsidR="00114A9E" w:rsidRPr="00114A9E" w:rsidRDefault="00715F39" w:rsidP="00114A9E">
            <w:pPr>
              <w:rPr>
                <w:rFonts w:ascii="Calibri" w:eastAsia="Calibri" w:hAnsi="Calibri" w:cs="Times New Roman"/>
                <w:b/>
              </w:rPr>
            </w:pPr>
            <w:r>
              <w:rPr>
                <w:rFonts w:ascii="Calibri" w:eastAsia="Calibri" w:hAnsi="Calibri" w:cs="Times New Roman"/>
                <w:b/>
              </w:rPr>
              <w:t>2</w:t>
            </w:r>
          </w:p>
        </w:tc>
      </w:tr>
    </w:tbl>
    <w:p w14:paraId="66054C22" w14:textId="77777777" w:rsidR="00114A9E" w:rsidRPr="00114A9E" w:rsidRDefault="00114A9E" w:rsidP="00114A9E">
      <w:pPr>
        <w:spacing w:after="200" w:line="276" w:lineRule="auto"/>
        <w:rPr>
          <w:rFonts w:ascii="Calibri" w:eastAsia="Calibri" w:hAnsi="Calibri" w:cs="Times New Roman"/>
          <w:b/>
        </w:rPr>
      </w:pPr>
    </w:p>
    <w:p w14:paraId="744690E3" w14:textId="77777777" w:rsidR="00114A9E" w:rsidRPr="00114A9E" w:rsidRDefault="00114A9E" w:rsidP="00114A9E">
      <w:pPr>
        <w:spacing w:after="200" w:line="276" w:lineRule="auto"/>
        <w:rPr>
          <w:rFonts w:ascii="Calibri" w:eastAsia="Calibri" w:hAnsi="Calibri" w:cs="Times New Roman"/>
          <w:b/>
        </w:rPr>
      </w:pPr>
    </w:p>
    <w:p w14:paraId="52313AD1" w14:textId="77777777" w:rsidR="00114A9E" w:rsidRPr="00114A9E" w:rsidRDefault="00114A9E" w:rsidP="00114A9E">
      <w:pPr>
        <w:spacing w:after="200" w:line="276" w:lineRule="auto"/>
        <w:rPr>
          <w:rFonts w:ascii="Calibri" w:eastAsia="Calibri" w:hAnsi="Calibri" w:cs="Times New Roman"/>
          <w:b/>
        </w:rPr>
      </w:pPr>
      <w:r w:rsidRPr="00114A9E">
        <w:rPr>
          <w:rFonts w:ascii="Calibri" w:eastAsia="Calibri" w:hAnsi="Calibri" w:cs="Times New Roman"/>
          <w:b/>
        </w:rPr>
        <w:t xml:space="preserve">                 Informácie o konsolidovanom celku :</w:t>
      </w:r>
    </w:p>
    <w:p w14:paraId="45AA428F" w14:textId="77777777" w:rsidR="00114A9E" w:rsidRPr="00114A9E" w:rsidRDefault="00114A9E" w:rsidP="00114A9E">
      <w:pPr>
        <w:tabs>
          <w:tab w:val="left" w:pos="1365"/>
        </w:tabs>
        <w:spacing w:after="200" w:line="276" w:lineRule="auto"/>
        <w:rPr>
          <w:rFonts w:ascii="Calibri" w:eastAsia="Calibri" w:hAnsi="Calibri" w:cs="Times New Roman"/>
        </w:rPr>
      </w:pPr>
      <w:r w:rsidRPr="00114A9E">
        <w:rPr>
          <w:rFonts w:ascii="Calibri" w:eastAsia="Calibri" w:hAnsi="Calibri" w:cs="Times New Roman"/>
          <w:b/>
        </w:rPr>
        <w:t xml:space="preserve">                 </w:t>
      </w:r>
      <w:r w:rsidRPr="00114A9E">
        <w:rPr>
          <w:rFonts w:ascii="Calibri" w:eastAsia="Calibri" w:hAnsi="Calibri" w:cs="Times New Roman"/>
        </w:rPr>
        <w:t>Spoločnosť nie je súčasťou konsolidovaného celku.</w:t>
      </w:r>
    </w:p>
    <w:p w14:paraId="2FC85199" w14:textId="77777777" w:rsidR="00114A9E" w:rsidRPr="00114A9E" w:rsidRDefault="00114A9E" w:rsidP="00114A9E">
      <w:pPr>
        <w:tabs>
          <w:tab w:val="left" w:pos="1365"/>
        </w:tabs>
        <w:spacing w:after="200" w:line="276" w:lineRule="auto"/>
        <w:rPr>
          <w:rFonts w:ascii="Calibri" w:eastAsia="Calibri" w:hAnsi="Calibri" w:cs="Times New Roman"/>
        </w:rPr>
      </w:pPr>
    </w:p>
    <w:p w14:paraId="32EF38C5" w14:textId="77777777" w:rsidR="00114A9E" w:rsidRPr="00114A9E" w:rsidRDefault="00114A9E" w:rsidP="00114A9E">
      <w:pPr>
        <w:tabs>
          <w:tab w:val="left" w:pos="1365"/>
        </w:tabs>
        <w:spacing w:after="200" w:line="276" w:lineRule="auto"/>
        <w:rPr>
          <w:rFonts w:ascii="Calibri" w:eastAsia="Calibri" w:hAnsi="Calibri" w:cs="Times New Roman"/>
          <w:b/>
        </w:rPr>
      </w:pPr>
    </w:p>
    <w:p w14:paraId="1E619D68"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Informácie o orgánoch účtovnej jednotky</w:t>
      </w:r>
    </w:p>
    <w:p w14:paraId="21E06F55"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b/>
          <w:sz w:val="28"/>
          <w:szCs w:val="28"/>
        </w:rPr>
      </w:pPr>
    </w:p>
    <w:p w14:paraId="3A1BCD78" w14:textId="1F384FBF" w:rsidR="00114A9E" w:rsidRPr="00114A9E" w:rsidRDefault="00830C34" w:rsidP="00114A9E">
      <w:pPr>
        <w:tabs>
          <w:tab w:val="left" w:pos="1365"/>
        </w:tabs>
        <w:spacing w:after="200" w:line="276" w:lineRule="auto"/>
        <w:ind w:left="720"/>
        <w:contextualSpacing/>
        <w:rPr>
          <w:rFonts w:ascii="Calibri" w:eastAsia="Calibri" w:hAnsi="Calibri" w:cs="Times New Roman"/>
          <w:sz w:val="24"/>
          <w:szCs w:val="24"/>
        </w:rPr>
      </w:pPr>
      <w:r>
        <w:rPr>
          <w:rFonts w:ascii="Calibri" w:eastAsia="Calibri" w:hAnsi="Calibri" w:cs="Times New Roman"/>
          <w:sz w:val="24"/>
          <w:szCs w:val="24"/>
        </w:rPr>
        <w:t>Konatel</w:t>
      </w:r>
      <w:r w:rsidR="001F5B90">
        <w:rPr>
          <w:rFonts w:ascii="Calibri" w:eastAsia="Calibri" w:hAnsi="Calibri" w:cs="Times New Roman"/>
          <w:sz w:val="24"/>
          <w:szCs w:val="24"/>
        </w:rPr>
        <w:t>ia</w:t>
      </w:r>
      <w:r w:rsidR="00114A9E" w:rsidRPr="00114A9E">
        <w:rPr>
          <w:rFonts w:ascii="Calibri" w:eastAsia="Calibri" w:hAnsi="Calibri" w:cs="Times New Roman"/>
          <w:sz w:val="24"/>
          <w:szCs w:val="24"/>
        </w:rPr>
        <w:t xml:space="preserve">: </w:t>
      </w:r>
      <w:r w:rsidR="00817F84">
        <w:rPr>
          <w:rFonts w:ascii="Calibri" w:eastAsia="Calibri" w:hAnsi="Calibri" w:cs="Times New Roman"/>
          <w:sz w:val="24"/>
          <w:szCs w:val="24"/>
        </w:rPr>
        <w:t xml:space="preserve"> </w:t>
      </w:r>
      <w:r w:rsidR="0063671C">
        <w:rPr>
          <w:rFonts w:ascii="Calibri" w:eastAsia="Calibri" w:hAnsi="Calibri" w:cs="Times New Roman"/>
          <w:sz w:val="24"/>
          <w:szCs w:val="24"/>
        </w:rPr>
        <w:t xml:space="preserve">Bibiána Janšová, Roman </w:t>
      </w:r>
      <w:proofErr w:type="spellStart"/>
      <w:r w:rsidR="0063671C">
        <w:rPr>
          <w:rFonts w:ascii="Calibri" w:eastAsia="Calibri" w:hAnsi="Calibri" w:cs="Times New Roman"/>
          <w:sz w:val="24"/>
          <w:szCs w:val="24"/>
        </w:rPr>
        <w:t>Janšo</w:t>
      </w:r>
      <w:proofErr w:type="spellEnd"/>
    </w:p>
    <w:p w14:paraId="57A65A45" w14:textId="2935ED87" w:rsidR="00114A9E" w:rsidRPr="00114A9E" w:rsidRDefault="00BA7AAC" w:rsidP="00114A9E">
      <w:pPr>
        <w:tabs>
          <w:tab w:val="left" w:pos="1365"/>
        </w:tabs>
        <w:spacing w:after="200" w:line="276" w:lineRule="auto"/>
        <w:ind w:left="720"/>
        <w:contextualSpacing/>
        <w:rPr>
          <w:rFonts w:ascii="Calibri" w:eastAsia="Calibri" w:hAnsi="Calibri" w:cs="Times New Roman"/>
          <w:sz w:val="24"/>
          <w:szCs w:val="24"/>
        </w:rPr>
      </w:pPr>
      <w:r>
        <w:rPr>
          <w:rFonts w:ascii="Calibri" w:eastAsia="Calibri" w:hAnsi="Calibri" w:cs="Times New Roman"/>
          <w:sz w:val="24"/>
          <w:szCs w:val="24"/>
        </w:rPr>
        <w:lastRenderedPageBreak/>
        <w:t>Konateľom</w:t>
      </w:r>
      <w:r w:rsidR="00F90D50">
        <w:rPr>
          <w:rFonts w:ascii="Calibri" w:eastAsia="Calibri" w:hAnsi="Calibri" w:cs="Times New Roman"/>
          <w:sz w:val="24"/>
          <w:szCs w:val="24"/>
        </w:rPr>
        <w:t xml:space="preserve"> neboli v roku 20</w:t>
      </w:r>
      <w:r w:rsidR="0063671C">
        <w:rPr>
          <w:rFonts w:ascii="Calibri" w:eastAsia="Calibri" w:hAnsi="Calibri" w:cs="Times New Roman"/>
          <w:sz w:val="24"/>
          <w:szCs w:val="24"/>
        </w:rPr>
        <w:t>21</w:t>
      </w:r>
      <w:r w:rsidR="00114A9E" w:rsidRPr="00114A9E">
        <w:rPr>
          <w:rFonts w:ascii="Calibri" w:eastAsia="Calibri" w:hAnsi="Calibri" w:cs="Times New Roman"/>
          <w:sz w:val="24"/>
          <w:szCs w:val="24"/>
        </w:rPr>
        <w:t xml:space="preserve"> poskytnuté pôžičky, záruky alebo iné formy zabezpečenia, ani finančné prostriedky alebo iné plnenia na súkromné účely.</w:t>
      </w:r>
    </w:p>
    <w:p w14:paraId="23E1F591" w14:textId="781E9C49" w:rsidR="00114A9E" w:rsidRPr="00114A9E" w:rsidRDefault="00114A9E" w:rsidP="00114A9E">
      <w:pPr>
        <w:tabs>
          <w:tab w:val="left" w:pos="1365"/>
        </w:tabs>
        <w:spacing w:after="200" w:line="276" w:lineRule="auto"/>
        <w:ind w:left="720"/>
        <w:contextualSpacing/>
        <w:rPr>
          <w:rFonts w:ascii="Calibri" w:eastAsia="Calibri" w:hAnsi="Calibri" w:cs="Times New Roman"/>
          <w:sz w:val="24"/>
          <w:szCs w:val="24"/>
        </w:rPr>
      </w:pPr>
      <w:r w:rsidRPr="00114A9E">
        <w:rPr>
          <w:rFonts w:ascii="Calibri" w:eastAsia="Calibri" w:hAnsi="Calibri" w:cs="Times New Roman"/>
          <w:sz w:val="24"/>
          <w:szCs w:val="24"/>
        </w:rPr>
        <w:t>Spoločníci:</w:t>
      </w:r>
      <w:r w:rsidR="001F5B90">
        <w:rPr>
          <w:rFonts w:ascii="Calibri" w:eastAsia="Calibri" w:hAnsi="Calibri" w:cs="Times New Roman"/>
          <w:sz w:val="24"/>
          <w:szCs w:val="24"/>
        </w:rPr>
        <w:t xml:space="preserve"> </w:t>
      </w:r>
      <w:r w:rsidR="0063671C">
        <w:rPr>
          <w:rFonts w:ascii="Calibri" w:eastAsia="Calibri" w:hAnsi="Calibri" w:cs="Times New Roman"/>
          <w:sz w:val="24"/>
          <w:szCs w:val="24"/>
        </w:rPr>
        <w:t xml:space="preserve">Bibiána Janšová, Roman </w:t>
      </w:r>
      <w:proofErr w:type="spellStart"/>
      <w:r w:rsidR="0063671C">
        <w:rPr>
          <w:rFonts w:ascii="Calibri" w:eastAsia="Calibri" w:hAnsi="Calibri" w:cs="Times New Roman"/>
          <w:sz w:val="24"/>
          <w:szCs w:val="24"/>
        </w:rPr>
        <w:t>Janšo</w:t>
      </w:r>
      <w:proofErr w:type="spellEnd"/>
    </w:p>
    <w:p w14:paraId="2E966FC1"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sz w:val="24"/>
          <w:szCs w:val="24"/>
        </w:rPr>
      </w:pPr>
    </w:p>
    <w:p w14:paraId="5C49FBCE" w14:textId="77777777" w:rsidR="00114A9E" w:rsidRPr="00114A9E" w:rsidRDefault="00114A9E" w:rsidP="00114A9E">
      <w:pPr>
        <w:tabs>
          <w:tab w:val="left" w:pos="1365"/>
        </w:tabs>
        <w:spacing w:after="200" w:line="276" w:lineRule="auto"/>
        <w:ind w:left="720"/>
        <w:contextualSpacing/>
        <w:rPr>
          <w:rFonts w:ascii="Calibri" w:eastAsia="Calibri" w:hAnsi="Calibri" w:cs="Times New Roman"/>
          <w:sz w:val="24"/>
          <w:szCs w:val="24"/>
        </w:rPr>
      </w:pPr>
    </w:p>
    <w:p w14:paraId="1D4DEC9F"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Informácie o použitých účtovných zásadách a účtovných metódach :  </w:t>
      </w:r>
    </w:p>
    <w:p w14:paraId="517B60FC"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r w:rsidRPr="00114A9E">
        <w:rPr>
          <w:rFonts w:ascii="Calibri" w:eastAsia="Calibri" w:hAnsi="Calibri" w:cs="Times New Roman"/>
          <w:sz w:val="24"/>
          <w:szCs w:val="24"/>
        </w:rPr>
        <w:t>Základné účtovné metódy použité pri zostavovaní tejto individuálnej účtovnej závierky sú opísané nižšie . Tieto metódy sa uplatňujú konzistentne počas všetkých účtovných období, ak nie je uvedené inak.</w:t>
      </w:r>
    </w:p>
    <w:p w14:paraId="0544797E"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r w:rsidRPr="00114A9E">
        <w:rPr>
          <w:rFonts w:ascii="Calibri" w:eastAsia="Calibri" w:hAnsi="Calibri" w:cs="Times New Roman"/>
          <w:sz w:val="24"/>
          <w:szCs w:val="24"/>
        </w:rPr>
        <w:t>Spoločnosť zostavila účtovnú závierku za predpokladu nepretržitého pokračovania vo svojej činnosti.</w:t>
      </w:r>
    </w:p>
    <w:p w14:paraId="2EF5975D"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1EBC944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Spôsob oceňovania jednotlivých zložiek majetku a záväzkov :</w:t>
      </w:r>
    </w:p>
    <w:p w14:paraId="4391BBFD"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4"/>
          <w:szCs w:val="24"/>
        </w:rPr>
      </w:pPr>
      <w:r w:rsidRPr="00114A9E">
        <w:rPr>
          <w:rFonts w:ascii="Calibri" w:eastAsia="Calibri" w:hAnsi="Calibri" w:cs="Times New Roman"/>
          <w:b/>
          <w:sz w:val="24"/>
          <w:szCs w:val="24"/>
        </w:rPr>
        <w:t>Dlhodobý nehmotný majetok</w:t>
      </w:r>
    </w:p>
    <w:p w14:paraId="48E5C256" w14:textId="77777777" w:rsidR="00114A9E" w:rsidRPr="00114A9E" w:rsidRDefault="00114A9E" w:rsidP="00114A9E">
      <w:pPr>
        <w:numPr>
          <w:ilvl w:val="0"/>
          <w:numId w:val="4"/>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nehmotný majetok nakupovaný sa oceňuje obstarávacou cenou, ktorá zahŕňa cenu obstarania a náklady súvisiace s obstaraním ( clo, prepravu, montáž, poistné a pod.) Súčasťou obstarávacej ceny dlhodobého nehmotného majetku nie sú úroky z úverov súvisiacich s obstaraním majetku, ktoré vznikli do momentu zaradenia majetku do užívania.</w:t>
      </w:r>
    </w:p>
    <w:p w14:paraId="315D2686" w14:textId="77777777" w:rsidR="00114A9E" w:rsidRPr="00114A9E" w:rsidRDefault="00114A9E" w:rsidP="00114A9E">
      <w:pPr>
        <w:numPr>
          <w:ilvl w:val="0"/>
          <w:numId w:val="4"/>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nehmotný majetok vytvorený vlastnou činnosťou sa oceňuje vlastnými nákladmi. Vlastnými nákladmi sú všetky priame náklady vynaložené na výrobu alebo na inú činnosť a nepriame náklady, ktoré sa vzťahujú na výrobu a činnosť.</w:t>
      </w:r>
    </w:p>
    <w:p w14:paraId="5D9BAEE1" w14:textId="77777777" w:rsidR="00114A9E" w:rsidRPr="00114A9E" w:rsidRDefault="00114A9E" w:rsidP="00114A9E">
      <w:pPr>
        <w:tabs>
          <w:tab w:val="left" w:pos="1365"/>
        </w:tabs>
        <w:spacing w:after="200" w:line="276" w:lineRule="auto"/>
        <w:ind w:left="644"/>
        <w:rPr>
          <w:rFonts w:ascii="Calibri" w:eastAsia="Calibri" w:hAnsi="Calibri" w:cs="Times New Roman"/>
          <w:sz w:val="24"/>
          <w:szCs w:val="24"/>
        </w:rPr>
      </w:pPr>
      <w:r w:rsidRPr="00114A9E">
        <w:rPr>
          <w:rFonts w:ascii="Calibri" w:eastAsia="Calibri" w:hAnsi="Calibri" w:cs="Times New Roman"/>
          <w:b/>
          <w:sz w:val="24"/>
          <w:szCs w:val="24"/>
        </w:rPr>
        <w:t>Dlhodobý hmotný majetok</w:t>
      </w:r>
    </w:p>
    <w:p w14:paraId="3890E387"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Dlhodobý hmotný majetok nakupovaný sa oceňuje obstarávacou cenou, ktorá zahŕňa cenu obstarania a náklady súvisiace s obstaraním (clo, prepravu, montáž, poistné a pod.) Súčasťou obstarávacej ceny dlhodobého hmotného majetku nie sú úroku z úverov súvisiacich s obstaraním majetku, ktoré vznikli do momentu zaradenia majetku do užívania.</w:t>
      </w:r>
    </w:p>
    <w:p w14:paraId="29757A33"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 dlhodobého hmotného majetku patrí majetok, ku ktorému má účtovná jednotka vlastnícke právo. Súčasťou dlhodobého hmot. majetku je aj majetok, ktorý spoločnosť obstarala na základe zmluvy o finančnom prenájme.</w:t>
      </w:r>
    </w:p>
    <w:p w14:paraId="1ADDCD4C"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Odpisy dlhodobého hmot. majetku sú stanovené podľa predpokladanej doby jeho používania a predpokladaného priebehu jeho opotrebenia. Pozemky sa neodpisujú.</w:t>
      </w:r>
    </w:p>
    <w:p w14:paraId="4A199D1F"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Vypracuje sa odpisový plán pre jednotlivé druhy majetku so stanovenou metódou odpisovania a ročnou odpisovou sadzbou.</w:t>
      </w:r>
    </w:p>
    <w:p w14:paraId="53AD9729" w14:textId="77777777" w:rsidR="00114A9E" w:rsidRPr="00114A9E" w:rsidRDefault="00114A9E" w:rsidP="00114A9E">
      <w:pPr>
        <w:numPr>
          <w:ilvl w:val="0"/>
          <w:numId w:val="5"/>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Technické zhodnotenie dlhodobého hmotného majetku nie je technickým zhodnotením, ak neprevyšuje úhrnne za účtovné obdobie sumu 1700 eur.</w:t>
      </w:r>
    </w:p>
    <w:p w14:paraId="458CE51F"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493EBF50"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073E2CDE"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p>
    <w:p w14:paraId="774BFB17"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Cenné papiere a podiely</w:t>
      </w:r>
    </w:p>
    <w:p w14:paraId="38EC9545" w14:textId="77777777" w:rsidR="00114A9E" w:rsidRPr="00114A9E" w:rsidRDefault="00114A9E" w:rsidP="00114A9E">
      <w:pPr>
        <w:numPr>
          <w:ilvl w:val="0"/>
          <w:numId w:val="6"/>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Cenné papiere a podiely sa oceňujú pri nadobudnutí obstarávacou cenou, vrátane nákladov súvisiacich s obstaraním.</w:t>
      </w:r>
    </w:p>
    <w:p w14:paraId="672751E7" w14:textId="77777777" w:rsidR="00114A9E" w:rsidRPr="00114A9E" w:rsidRDefault="00114A9E" w:rsidP="00114A9E">
      <w:pPr>
        <w:numPr>
          <w:ilvl w:val="0"/>
          <w:numId w:val="6"/>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Ku dňu, ku ktorému sa zostavuje účtovná závierka spoločnosť nevlastnila cenné papiere a podiely</w:t>
      </w:r>
    </w:p>
    <w:p w14:paraId="6A7E02F3"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       Zásoby</w:t>
      </w:r>
    </w:p>
    <w:p w14:paraId="7F442407"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 zásob patrí skladovaný materiál a skladovaný tovar a priame náklady na neukončené servisné opravy.</w:t>
      </w:r>
    </w:p>
    <w:p w14:paraId="74271521"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Materiál a tovar sa prvotne oceňujú obstarávacou cenou, ktorú tvorí cena obstarania a náklady súvisiace s obstaraním (prepravné, poistné, provízie, skonto). Úroky z úverov nie sú súčasťou obstarávacej ceny.</w:t>
      </w:r>
    </w:p>
    <w:p w14:paraId="1A62851B" w14:textId="77777777" w:rsidR="00114A9E" w:rsidRPr="00114A9E" w:rsidRDefault="00114A9E" w:rsidP="00114A9E">
      <w:pPr>
        <w:numPr>
          <w:ilvl w:val="0"/>
          <w:numId w:val="7"/>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Nakupované zásoby sa:</w:t>
      </w:r>
    </w:p>
    <w:p w14:paraId="509928DC" w14:textId="77777777" w:rsidR="00114A9E" w:rsidRPr="00114A9E" w:rsidRDefault="00114A9E" w:rsidP="00114A9E">
      <w:pPr>
        <w:numPr>
          <w:ilvl w:val="0"/>
          <w:numId w:val="8"/>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Vyskladňujú váženým aritmetickým priemerom z obstarávaných cien</w:t>
      </w:r>
    </w:p>
    <w:p w14:paraId="1EC167C6" w14:textId="77777777" w:rsidR="00114A9E" w:rsidRPr="00114A9E" w:rsidRDefault="00114A9E" w:rsidP="00114A9E">
      <w:pPr>
        <w:numPr>
          <w:ilvl w:val="0"/>
          <w:numId w:val="8"/>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Úbytok vedľajších nákladov, pripadajúcich na spotrebované zásoby sa určí – úbytok zásob za mesiac*priemerné percento /100</w:t>
      </w:r>
    </w:p>
    <w:p w14:paraId="7CB6E753" w14:textId="77777777" w:rsidR="00114A9E" w:rsidRPr="00114A9E" w:rsidRDefault="00114A9E" w:rsidP="00114A9E">
      <w:pPr>
        <w:tabs>
          <w:tab w:val="left" w:pos="1365"/>
        </w:tabs>
        <w:spacing w:after="200" w:line="276" w:lineRule="auto"/>
        <w:ind w:left="1080"/>
        <w:contextualSpacing/>
        <w:rPr>
          <w:rFonts w:ascii="Calibri" w:eastAsia="Calibri" w:hAnsi="Calibri" w:cs="Times New Roman"/>
          <w:sz w:val="24"/>
          <w:szCs w:val="24"/>
        </w:rPr>
      </w:pPr>
    </w:p>
    <w:p w14:paraId="0FD55789"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Pohľadávky</w:t>
      </w:r>
    </w:p>
    <w:p w14:paraId="068BEA54"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14:paraId="40A95DE6"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Pohľadávky s dobou splatnosti od dňa, ktorému sa zostavuje účtovná závierka menej ako 12 mesiacov sú dlhodobé a pohľadávky s dobou splatnosti odo dňa ku ktorému sa zostavuje účtovná závierka menej ako 12 mesiacov sa vykazujú ako krátkodobé.</w:t>
      </w:r>
    </w:p>
    <w:p w14:paraId="3C842209"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Ak je zostatková doba splatnosti pohľadávky dlhšia ako jeden rok, vytvára sa opravná položka, ktorá predstavuje rozdiel medzi menovitou a súčasnou hodnotou pohľadávky.</w:t>
      </w:r>
    </w:p>
    <w:p w14:paraId="341A992C" w14:textId="77777777" w:rsidR="00114A9E" w:rsidRPr="00114A9E" w:rsidRDefault="00114A9E" w:rsidP="00114A9E">
      <w:pPr>
        <w:numPr>
          <w:ilvl w:val="0"/>
          <w:numId w:val="9"/>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7B730805"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07079C42"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4A024DF1"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5574F8B5"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sz w:val="24"/>
          <w:szCs w:val="24"/>
        </w:rPr>
      </w:pPr>
    </w:p>
    <w:p w14:paraId="03760FA6"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Peňažné prostriedky, ekvivalenty peňažných prostriedkov a peňažné ekvivalenty</w:t>
      </w:r>
    </w:p>
    <w:p w14:paraId="63430940"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 xml:space="preserve">            </w:t>
      </w:r>
      <w:r w:rsidRPr="00114A9E">
        <w:rPr>
          <w:rFonts w:ascii="Calibri" w:eastAsia="Calibri" w:hAnsi="Calibri" w:cs="Times New Roman"/>
          <w:sz w:val="24"/>
          <w:szCs w:val="24"/>
        </w:rPr>
        <w:t>Peňažné prostriedky a ceniny sa oceňujú ich menovitou hodnotou. Zníženie ich hodnoty sa vyjadruje opravnou položkou. Peňažné prostriedky a peňažné ekvivalenty zahŕňajú peňažnú hotovosť, termínované vklady v bankách, iné krátkodobé vysoko likvidné investície s pôvodnou lehotou splatnosti do troch mesiacov a kontokorentné úvery. V súvahe sú kontokorentné úvery vykázané ako krátkodobé bankové úvery.</w:t>
      </w:r>
    </w:p>
    <w:p w14:paraId="1DC6D410"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6FC22E4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Náklady budúcich období a príjmy budúcich období</w:t>
      </w:r>
    </w:p>
    <w:p w14:paraId="0776F43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Náklady budúcich období a príjmy budúcich období sa vykazujú vo výške, ktorá je potrebná na dodržanie zásady vecnej a časovej súvislosti s účtovným obdobím.</w:t>
      </w:r>
    </w:p>
    <w:p w14:paraId="7983133A"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Rezervy</w:t>
      </w:r>
    </w:p>
    <w:p w14:paraId="34859BF2"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Rezervy sa vytvárajú, ak má obchodná spoločnosť súčasný zákonný, zmluvný alebo mimozmluvný záväzok, ktorý je dôsledkom minulých udalostí a na základe ktorého pravdepodobne dôjde k úbytku ekonomických úžitkov, a zároveň je možné vykonať spoľahlivý odhad výšky týchto záväzkov. Rezervy sú záväzky s neurčitým časovým vymedzením alebo výškou, tvoria sa na krytie známych rizík alebo strát z podnikania. Oceňujú sa v očakávanej výške záväzku. Rezervy sa oceňujú odhadom v sume dostatočnej na splnenie existujúcej povinnosti ku dňu , ku ktorému sa zostavuje účtovná závierka pri zohľadnení rizík a neistôt.</w:t>
      </w:r>
    </w:p>
    <w:p w14:paraId="04BC60C5"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Záväzky </w:t>
      </w:r>
    </w:p>
    <w:p w14:paraId="49D90E7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70D3EE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Odložené dane</w:t>
      </w:r>
    </w:p>
    <w:p w14:paraId="423302ED"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Odložené dane sa vzťahujú na :</w:t>
      </w:r>
    </w:p>
    <w:p w14:paraId="3A04243A"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Dočasné rozdiely medzi účtovnou hodnotou majetku a účtovnou hodnotou záväzkov vykázanou v súvahe a ich daňovou základňou,</w:t>
      </w:r>
    </w:p>
    <w:p w14:paraId="4BEE8EA6"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Možnosť umorovať daňovú stratu v budúcnosti, ktorou sa rozumie možnosť odpočítať daňovú stratu od základu dane v budúcnosti,</w:t>
      </w:r>
    </w:p>
    <w:p w14:paraId="19E35E62" w14:textId="77777777" w:rsidR="00114A9E" w:rsidRPr="00114A9E" w:rsidRDefault="00114A9E" w:rsidP="00114A9E">
      <w:pPr>
        <w:numPr>
          <w:ilvl w:val="0"/>
          <w:numId w:val="10"/>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sz w:val="24"/>
          <w:szCs w:val="24"/>
        </w:rPr>
        <w:t xml:space="preserve">Možnosť previesť nevyužité daňové odpočty a iné daňové nároky do budúcich období. Odložená daň z príjmov sa účtuje použitím záväzkovej metódy. O odloženej dani z príjmov sa neúčtuje , ak vzniká pri prvotnom zaúčtovaní </w:t>
      </w:r>
      <w:r w:rsidRPr="00114A9E">
        <w:rPr>
          <w:rFonts w:ascii="Calibri" w:eastAsia="Calibri" w:hAnsi="Calibri" w:cs="Times New Roman"/>
          <w:sz w:val="24"/>
          <w:szCs w:val="24"/>
        </w:rPr>
        <w:lastRenderedPageBreak/>
        <w:t>majetku alebo záväzku v účtovníctve ,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 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 Odložené daňové pohľadávky sa účtujú, ak je pravdepodobné, že v budúcnosti bude generovaný zisk, voči ktorému sa budú môcť dočasné rozdiely zrealizovať.</w:t>
      </w:r>
    </w:p>
    <w:p w14:paraId="42A8948B" w14:textId="77777777" w:rsidR="00114A9E" w:rsidRPr="00114A9E" w:rsidRDefault="00114A9E" w:rsidP="00114A9E">
      <w:pPr>
        <w:tabs>
          <w:tab w:val="left" w:pos="1365"/>
        </w:tabs>
        <w:spacing w:after="200" w:line="276" w:lineRule="auto"/>
        <w:ind w:left="990"/>
        <w:contextualSpacing/>
        <w:rPr>
          <w:rFonts w:ascii="Calibri" w:eastAsia="Calibri" w:hAnsi="Calibri" w:cs="Times New Roman"/>
          <w:sz w:val="24"/>
          <w:szCs w:val="24"/>
        </w:rPr>
      </w:pPr>
    </w:p>
    <w:p w14:paraId="58576226"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Výdavky budúcich období a výnosy budúcich období</w:t>
      </w:r>
    </w:p>
    <w:p w14:paraId="2B5D3AD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Výdavky budúcich období a výnosy budúcich období sa vykazujú vo výške, ktorá je potrebná na dodržanie zásady vecnej a časovej súvislosti s účtovným obdobím.</w:t>
      </w:r>
    </w:p>
    <w:p w14:paraId="32A77804"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Cudzia mena</w:t>
      </w:r>
    </w:p>
    <w:p w14:paraId="5DB3FB7B"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Majetok a záväzky vyjadrené v cudzej mene sa ku dňu uskutočnenia účtovného prípadu prepočítavajú a menu euro referenčným výmenným kurzom určeným a vyhláseným Európskou centrálnou bankou alebo Národnou bankou Slovenskej republiky v deň predchádzajúci dňu uskutočnenia účtovného prípadu.</w:t>
      </w:r>
    </w:p>
    <w:p w14:paraId="5CC3893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Majetok a záväzky vyjadrené v cudzej mene (okrem prijatých a poskytnutých preddavkov)sa ku dňu, ku ktorému sa zostavuje účtovná závierka, prepočítavajú na menu euro referenčným výmenným kurzom určeným a vyhláseným Európskou centrálnou bankou alebo Národnou bankou Slovenska v deň, ku ktorému sa zostavuje účtovná závierka a účtujú sa vplyvom na výsledok hospodárenia.</w:t>
      </w:r>
    </w:p>
    <w:p w14:paraId="547382D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Prijaté a poskytnuté preddavky v cudzej mene sa prepočítavajú a menu euro referenčným výmenným kurzom určeným a vyhláseným Európskou centrálnou bankou alebo Národnou </w:t>
      </w:r>
    </w:p>
    <w:p w14:paraId="6E6EF147"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312B3112"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bankou Slovenska v deň predchádzajúci dňu uskutočnenia účtovného prípadu. Ku dňu,ku ktorému sa zostavuje účtovná závierka sa na menu euro neprepočítavajú.</w:t>
      </w:r>
    </w:p>
    <w:p w14:paraId="6106582D"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Výnosy </w:t>
      </w:r>
    </w:p>
    <w:p w14:paraId="4B71B1FB"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Tržba za vlastné výkony a tovar neobsahuje daň z pridanej hodnoty. Sú tiež znížené o zľavy a zrážky (rabaty, bonusy, skontá, dobropisy a pod.)bez ohľadu na to, či zákazník mal vopred nárok, alebo či ide o dodatočne uznanú zľavu.</w:t>
      </w:r>
    </w:p>
    <w:p w14:paraId="63C5B8C8"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Oprava chýb minulých účtovných období</w:t>
      </w:r>
    </w:p>
    <w:p w14:paraId="334EBF40" w14:textId="25990ECD" w:rsidR="00114A9E" w:rsidRPr="00114A9E" w:rsidRDefault="00F90D50" w:rsidP="00114A9E">
      <w:pPr>
        <w:tabs>
          <w:tab w:val="left" w:pos="1365"/>
        </w:tabs>
        <w:spacing w:after="200" w:line="276" w:lineRule="auto"/>
        <w:rPr>
          <w:rFonts w:ascii="Calibri" w:eastAsia="Calibri" w:hAnsi="Calibri" w:cs="Times New Roman"/>
          <w:sz w:val="24"/>
          <w:szCs w:val="24"/>
        </w:rPr>
      </w:pPr>
      <w:r>
        <w:rPr>
          <w:rFonts w:ascii="Calibri" w:eastAsia="Calibri" w:hAnsi="Calibri" w:cs="Times New Roman"/>
          <w:sz w:val="24"/>
          <w:szCs w:val="24"/>
        </w:rPr>
        <w:lastRenderedPageBreak/>
        <w:t>V roku 201</w:t>
      </w:r>
      <w:r w:rsidR="00CE29C7">
        <w:rPr>
          <w:rFonts w:ascii="Calibri" w:eastAsia="Calibri" w:hAnsi="Calibri" w:cs="Times New Roman"/>
          <w:sz w:val="24"/>
          <w:szCs w:val="24"/>
        </w:rPr>
        <w:t>9</w:t>
      </w:r>
      <w:r w:rsidR="00114A9E" w:rsidRPr="00114A9E">
        <w:rPr>
          <w:rFonts w:ascii="Calibri" w:eastAsia="Calibri" w:hAnsi="Calibri" w:cs="Times New Roman"/>
          <w:sz w:val="24"/>
          <w:szCs w:val="24"/>
        </w:rPr>
        <w:t xml:space="preserve"> spoločnosť neúčtovala o oprave chýb minulých účtovných období.</w:t>
      </w:r>
    </w:p>
    <w:p w14:paraId="6F0BD7F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 </w:t>
      </w:r>
    </w:p>
    <w:p w14:paraId="3469C14E"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Informácie k položkám úvahy z výkazu ziskov a strát</w:t>
      </w:r>
    </w:p>
    <w:p w14:paraId="58299065"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8"/>
          <w:szCs w:val="28"/>
        </w:rPr>
      </w:pPr>
    </w:p>
    <w:p w14:paraId="4D956256"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8"/>
          <w:szCs w:val="28"/>
        </w:rPr>
      </w:pPr>
    </w:p>
    <w:tbl>
      <w:tblPr>
        <w:tblStyle w:val="Mriekatabuky1"/>
        <w:tblW w:w="9923" w:type="dxa"/>
        <w:tblInd w:w="-176" w:type="dxa"/>
        <w:tblLook w:val="04A0" w:firstRow="1" w:lastRow="0" w:firstColumn="1" w:lastColumn="0" w:noHBand="0" w:noVBand="1"/>
      </w:tblPr>
      <w:tblGrid>
        <w:gridCol w:w="3424"/>
        <w:gridCol w:w="2615"/>
        <w:gridCol w:w="3884"/>
      </w:tblGrid>
      <w:tr w:rsidR="00114A9E" w:rsidRPr="00114A9E" w14:paraId="26D7521C" w14:textId="77777777" w:rsidTr="00114A9E">
        <w:tc>
          <w:tcPr>
            <w:tcW w:w="3424" w:type="dxa"/>
            <w:tcBorders>
              <w:top w:val="single" w:sz="4" w:space="0" w:color="auto"/>
              <w:left w:val="single" w:sz="4" w:space="0" w:color="auto"/>
              <w:bottom w:val="nil"/>
              <w:right w:val="single" w:sz="4" w:space="0" w:color="auto"/>
            </w:tcBorders>
            <w:shd w:val="clear" w:color="auto" w:fill="FDE9D9"/>
          </w:tcPr>
          <w:p w14:paraId="76EA4971"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Názov položky</w:t>
            </w:r>
          </w:p>
        </w:tc>
        <w:tc>
          <w:tcPr>
            <w:tcW w:w="2615" w:type="dxa"/>
            <w:tcBorders>
              <w:top w:val="single" w:sz="4" w:space="0" w:color="auto"/>
              <w:left w:val="single" w:sz="4" w:space="0" w:color="auto"/>
              <w:bottom w:val="nil"/>
              <w:right w:val="single" w:sz="4" w:space="0" w:color="auto"/>
            </w:tcBorders>
            <w:shd w:val="clear" w:color="auto" w:fill="FDE9D9"/>
          </w:tcPr>
          <w:p w14:paraId="151069D7"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Bežné účtovné </w:t>
            </w:r>
          </w:p>
        </w:tc>
        <w:tc>
          <w:tcPr>
            <w:tcW w:w="3884" w:type="dxa"/>
            <w:tcBorders>
              <w:top w:val="single" w:sz="4" w:space="0" w:color="auto"/>
              <w:left w:val="single" w:sz="4" w:space="0" w:color="auto"/>
              <w:bottom w:val="nil"/>
              <w:right w:val="single" w:sz="4" w:space="0" w:color="auto"/>
            </w:tcBorders>
            <w:shd w:val="clear" w:color="auto" w:fill="FDE9D9"/>
          </w:tcPr>
          <w:p w14:paraId="31B92543"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Bezprostredne predchádzajúce </w:t>
            </w:r>
          </w:p>
        </w:tc>
      </w:tr>
      <w:tr w:rsidR="00114A9E" w:rsidRPr="00114A9E" w14:paraId="7663DD1F" w14:textId="77777777" w:rsidTr="00114A9E">
        <w:tc>
          <w:tcPr>
            <w:tcW w:w="3424" w:type="dxa"/>
            <w:tcBorders>
              <w:top w:val="nil"/>
              <w:left w:val="single" w:sz="4" w:space="0" w:color="auto"/>
              <w:bottom w:val="single" w:sz="4" w:space="0" w:color="auto"/>
              <w:right w:val="single" w:sz="4" w:space="0" w:color="auto"/>
            </w:tcBorders>
            <w:shd w:val="clear" w:color="auto" w:fill="FDE9D9"/>
          </w:tcPr>
          <w:p w14:paraId="2D75BCB0"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2615" w:type="dxa"/>
            <w:tcBorders>
              <w:top w:val="nil"/>
              <w:left w:val="single" w:sz="4" w:space="0" w:color="auto"/>
              <w:bottom w:val="single" w:sz="4" w:space="0" w:color="auto"/>
              <w:right w:val="single" w:sz="4" w:space="0" w:color="auto"/>
            </w:tcBorders>
            <w:shd w:val="clear" w:color="auto" w:fill="FDE9D9"/>
          </w:tcPr>
          <w:p w14:paraId="18D46E7A"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obdobie</w:t>
            </w:r>
          </w:p>
        </w:tc>
        <w:tc>
          <w:tcPr>
            <w:tcW w:w="3884" w:type="dxa"/>
            <w:tcBorders>
              <w:top w:val="nil"/>
              <w:left w:val="single" w:sz="4" w:space="0" w:color="auto"/>
              <w:bottom w:val="single" w:sz="4" w:space="0" w:color="auto"/>
              <w:right w:val="single" w:sz="4" w:space="0" w:color="auto"/>
            </w:tcBorders>
            <w:shd w:val="clear" w:color="auto" w:fill="FDE9D9"/>
          </w:tcPr>
          <w:p w14:paraId="289EFD30" w14:textId="77777777" w:rsidR="00114A9E" w:rsidRPr="00114A9E" w:rsidRDefault="00114A9E" w:rsidP="00114A9E">
            <w:pPr>
              <w:tabs>
                <w:tab w:val="left" w:pos="1365"/>
              </w:tabs>
              <w:contextualSpacing/>
              <w:rPr>
                <w:rFonts w:ascii="Calibri" w:eastAsia="Calibri" w:hAnsi="Calibri" w:cs="Times New Roman"/>
                <w:b/>
                <w:sz w:val="28"/>
                <w:szCs w:val="28"/>
              </w:rPr>
            </w:pPr>
            <w:r w:rsidRPr="00114A9E">
              <w:rPr>
                <w:rFonts w:ascii="Calibri" w:eastAsia="Calibri" w:hAnsi="Calibri" w:cs="Times New Roman"/>
                <w:b/>
                <w:sz w:val="28"/>
                <w:szCs w:val="28"/>
              </w:rPr>
              <w:t xml:space="preserve">            účtovné obdobie</w:t>
            </w:r>
          </w:p>
        </w:tc>
      </w:tr>
      <w:tr w:rsidR="00114A9E" w:rsidRPr="00114A9E" w14:paraId="41BCA268" w14:textId="77777777" w:rsidTr="002D2998">
        <w:tc>
          <w:tcPr>
            <w:tcW w:w="3424" w:type="dxa"/>
            <w:tcBorders>
              <w:top w:val="single" w:sz="4" w:space="0" w:color="auto"/>
              <w:bottom w:val="single" w:sz="4" w:space="0" w:color="auto"/>
            </w:tcBorders>
          </w:tcPr>
          <w:p w14:paraId="7026E16D"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Záväzky po lehote splatnosti</w:t>
            </w:r>
          </w:p>
        </w:tc>
        <w:tc>
          <w:tcPr>
            <w:tcW w:w="2615" w:type="dxa"/>
            <w:tcBorders>
              <w:top w:val="single" w:sz="4" w:space="0" w:color="auto"/>
              <w:bottom w:val="single" w:sz="4" w:space="0" w:color="auto"/>
            </w:tcBorders>
          </w:tcPr>
          <w:p w14:paraId="1EA2F37B" w14:textId="79D41F0F"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single" w:sz="4" w:space="0" w:color="auto"/>
              <w:bottom w:val="single" w:sz="4" w:space="0" w:color="auto"/>
            </w:tcBorders>
          </w:tcPr>
          <w:p w14:paraId="6C638A46" w14:textId="4EC7D9F0"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1A11B05A" w14:textId="77777777" w:rsidTr="002D2998">
        <w:tc>
          <w:tcPr>
            <w:tcW w:w="3424" w:type="dxa"/>
            <w:tcBorders>
              <w:top w:val="single" w:sz="4" w:space="0" w:color="auto"/>
              <w:left w:val="single" w:sz="4" w:space="0" w:color="auto"/>
              <w:bottom w:val="nil"/>
              <w:right w:val="single" w:sz="4" w:space="0" w:color="auto"/>
            </w:tcBorders>
          </w:tcPr>
          <w:p w14:paraId="7CAF36BC"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Záväzky so zostatkovou dobou splatnosti do jedného roka vrátane</w:t>
            </w:r>
          </w:p>
        </w:tc>
        <w:tc>
          <w:tcPr>
            <w:tcW w:w="2615" w:type="dxa"/>
            <w:tcBorders>
              <w:top w:val="single" w:sz="4" w:space="0" w:color="auto"/>
              <w:left w:val="single" w:sz="4" w:space="0" w:color="auto"/>
              <w:bottom w:val="nil"/>
              <w:right w:val="single" w:sz="4" w:space="0" w:color="auto"/>
            </w:tcBorders>
          </w:tcPr>
          <w:p w14:paraId="68D3CB06" w14:textId="726ECADD"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single" w:sz="4" w:space="0" w:color="auto"/>
              <w:left w:val="single" w:sz="4" w:space="0" w:color="auto"/>
              <w:bottom w:val="nil"/>
              <w:right w:val="single" w:sz="4" w:space="0" w:color="auto"/>
            </w:tcBorders>
          </w:tcPr>
          <w:p w14:paraId="2020816B" w14:textId="339A4F70"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1FE795A4" w14:textId="77777777" w:rsidTr="002D2998">
        <w:tc>
          <w:tcPr>
            <w:tcW w:w="3424" w:type="dxa"/>
            <w:tcBorders>
              <w:top w:val="nil"/>
              <w:left w:val="single" w:sz="4" w:space="0" w:color="auto"/>
              <w:bottom w:val="single" w:sz="4" w:space="0" w:color="auto"/>
              <w:right w:val="single" w:sz="4" w:space="0" w:color="auto"/>
            </w:tcBorders>
          </w:tcPr>
          <w:p w14:paraId="33A7354D"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2615" w:type="dxa"/>
            <w:tcBorders>
              <w:top w:val="nil"/>
              <w:left w:val="single" w:sz="4" w:space="0" w:color="auto"/>
              <w:bottom w:val="single" w:sz="4" w:space="0" w:color="auto"/>
              <w:right w:val="single" w:sz="4" w:space="0" w:color="auto"/>
            </w:tcBorders>
          </w:tcPr>
          <w:p w14:paraId="30B4A530"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nil"/>
              <w:left w:val="single" w:sz="4" w:space="0" w:color="auto"/>
              <w:bottom w:val="single" w:sz="4" w:space="0" w:color="auto"/>
              <w:right w:val="single" w:sz="4" w:space="0" w:color="auto"/>
            </w:tcBorders>
          </w:tcPr>
          <w:p w14:paraId="1D31F097"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7AD7E154" w14:textId="77777777" w:rsidTr="002D2998">
        <w:tc>
          <w:tcPr>
            <w:tcW w:w="3424" w:type="dxa"/>
            <w:tcBorders>
              <w:top w:val="single" w:sz="4" w:space="0" w:color="auto"/>
              <w:bottom w:val="single" w:sz="4" w:space="0" w:color="auto"/>
            </w:tcBorders>
          </w:tcPr>
          <w:p w14:paraId="126484AE" w14:textId="77777777" w:rsidR="00114A9E" w:rsidRPr="00114A9E" w:rsidRDefault="00114A9E" w:rsidP="00114A9E">
            <w:pPr>
              <w:tabs>
                <w:tab w:val="left" w:pos="1365"/>
              </w:tabs>
              <w:contextualSpacing/>
              <w:rPr>
                <w:rFonts w:ascii="Calibri" w:eastAsia="Calibri" w:hAnsi="Calibri" w:cs="Times New Roman"/>
                <w:b/>
                <w:sz w:val="24"/>
                <w:szCs w:val="24"/>
              </w:rPr>
            </w:pPr>
            <w:r w:rsidRPr="00114A9E">
              <w:rPr>
                <w:rFonts w:ascii="Calibri" w:eastAsia="Calibri" w:hAnsi="Calibri" w:cs="Times New Roman"/>
                <w:b/>
                <w:sz w:val="24"/>
                <w:szCs w:val="24"/>
              </w:rPr>
              <w:t>Krátkodobé záväzky spolu</w:t>
            </w:r>
          </w:p>
        </w:tc>
        <w:tc>
          <w:tcPr>
            <w:tcW w:w="2615" w:type="dxa"/>
            <w:tcBorders>
              <w:top w:val="single" w:sz="4" w:space="0" w:color="auto"/>
              <w:bottom w:val="single" w:sz="4" w:space="0" w:color="auto"/>
            </w:tcBorders>
          </w:tcPr>
          <w:p w14:paraId="3542C15B" w14:textId="066FCBDF"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single" w:sz="4" w:space="0" w:color="auto"/>
              <w:bottom w:val="single" w:sz="4" w:space="0" w:color="auto"/>
            </w:tcBorders>
          </w:tcPr>
          <w:p w14:paraId="5D009819" w14:textId="4AE3B005"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0CF37B13" w14:textId="77777777" w:rsidTr="002D2998">
        <w:tc>
          <w:tcPr>
            <w:tcW w:w="3424" w:type="dxa"/>
            <w:tcBorders>
              <w:top w:val="single" w:sz="4" w:space="0" w:color="auto"/>
              <w:left w:val="single" w:sz="4" w:space="0" w:color="auto"/>
              <w:bottom w:val="nil"/>
              <w:right w:val="single" w:sz="4" w:space="0" w:color="auto"/>
            </w:tcBorders>
          </w:tcPr>
          <w:p w14:paraId="46EC4315"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 xml:space="preserve">Záväzky so zostatkovou dobou splatnosti jeden rok až päť </w:t>
            </w:r>
          </w:p>
        </w:tc>
        <w:tc>
          <w:tcPr>
            <w:tcW w:w="2615" w:type="dxa"/>
            <w:tcBorders>
              <w:top w:val="single" w:sz="4" w:space="0" w:color="auto"/>
              <w:left w:val="single" w:sz="4" w:space="0" w:color="auto"/>
              <w:bottom w:val="nil"/>
              <w:right w:val="single" w:sz="4" w:space="0" w:color="auto"/>
            </w:tcBorders>
          </w:tcPr>
          <w:p w14:paraId="70D6684C" w14:textId="1DA7FA70"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single" w:sz="4" w:space="0" w:color="auto"/>
              <w:left w:val="single" w:sz="4" w:space="0" w:color="auto"/>
              <w:bottom w:val="nil"/>
              <w:right w:val="single" w:sz="4" w:space="0" w:color="auto"/>
            </w:tcBorders>
          </w:tcPr>
          <w:p w14:paraId="6C6C2C7C" w14:textId="2AF0B47F"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53F7AEBE" w14:textId="77777777" w:rsidTr="002D2998">
        <w:tc>
          <w:tcPr>
            <w:tcW w:w="3424" w:type="dxa"/>
            <w:tcBorders>
              <w:top w:val="nil"/>
              <w:left w:val="single" w:sz="4" w:space="0" w:color="auto"/>
              <w:bottom w:val="single" w:sz="4" w:space="0" w:color="auto"/>
              <w:right w:val="single" w:sz="4" w:space="0" w:color="auto"/>
            </w:tcBorders>
          </w:tcPr>
          <w:p w14:paraId="73C53C46"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rokov</w:t>
            </w:r>
          </w:p>
        </w:tc>
        <w:tc>
          <w:tcPr>
            <w:tcW w:w="2615" w:type="dxa"/>
            <w:tcBorders>
              <w:top w:val="nil"/>
              <w:left w:val="single" w:sz="4" w:space="0" w:color="auto"/>
              <w:bottom w:val="single" w:sz="4" w:space="0" w:color="auto"/>
              <w:right w:val="single" w:sz="4" w:space="0" w:color="auto"/>
            </w:tcBorders>
          </w:tcPr>
          <w:p w14:paraId="70A6485B"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nil"/>
              <w:left w:val="single" w:sz="4" w:space="0" w:color="auto"/>
              <w:bottom w:val="single" w:sz="4" w:space="0" w:color="auto"/>
              <w:right w:val="single" w:sz="4" w:space="0" w:color="auto"/>
            </w:tcBorders>
          </w:tcPr>
          <w:p w14:paraId="3632BFDF"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0C1A73A0" w14:textId="77777777" w:rsidTr="002D2998">
        <w:tc>
          <w:tcPr>
            <w:tcW w:w="3424" w:type="dxa"/>
            <w:tcBorders>
              <w:top w:val="single" w:sz="4" w:space="0" w:color="auto"/>
              <w:left w:val="single" w:sz="4" w:space="0" w:color="auto"/>
              <w:bottom w:val="nil"/>
              <w:right w:val="single" w:sz="4" w:space="0" w:color="auto"/>
            </w:tcBorders>
          </w:tcPr>
          <w:p w14:paraId="5FF79BF8"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Záväzky so zostatkovou dobou</w:t>
            </w:r>
          </w:p>
        </w:tc>
        <w:tc>
          <w:tcPr>
            <w:tcW w:w="2615" w:type="dxa"/>
            <w:tcBorders>
              <w:top w:val="single" w:sz="4" w:space="0" w:color="auto"/>
              <w:left w:val="single" w:sz="4" w:space="0" w:color="auto"/>
              <w:bottom w:val="nil"/>
              <w:right w:val="single" w:sz="4" w:space="0" w:color="auto"/>
            </w:tcBorders>
          </w:tcPr>
          <w:p w14:paraId="392756FB"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single" w:sz="4" w:space="0" w:color="auto"/>
              <w:left w:val="single" w:sz="4" w:space="0" w:color="auto"/>
              <w:bottom w:val="nil"/>
              <w:right w:val="single" w:sz="4" w:space="0" w:color="auto"/>
            </w:tcBorders>
          </w:tcPr>
          <w:p w14:paraId="3540A583"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349AB9CC" w14:textId="77777777" w:rsidTr="002D2998">
        <w:tc>
          <w:tcPr>
            <w:tcW w:w="3424" w:type="dxa"/>
            <w:tcBorders>
              <w:top w:val="nil"/>
              <w:left w:val="single" w:sz="4" w:space="0" w:color="auto"/>
              <w:bottom w:val="single" w:sz="4" w:space="0" w:color="auto"/>
              <w:right w:val="single" w:sz="4" w:space="0" w:color="auto"/>
            </w:tcBorders>
          </w:tcPr>
          <w:p w14:paraId="6DD27D37" w14:textId="77777777" w:rsidR="00114A9E" w:rsidRPr="00114A9E" w:rsidRDefault="00114A9E" w:rsidP="00114A9E">
            <w:pPr>
              <w:tabs>
                <w:tab w:val="left" w:pos="1365"/>
              </w:tabs>
              <w:contextualSpacing/>
              <w:rPr>
                <w:rFonts w:ascii="Calibri" w:eastAsia="Calibri" w:hAnsi="Calibri" w:cs="Times New Roman"/>
                <w:sz w:val="24"/>
                <w:szCs w:val="24"/>
              </w:rPr>
            </w:pPr>
            <w:r w:rsidRPr="00114A9E">
              <w:rPr>
                <w:rFonts w:ascii="Calibri" w:eastAsia="Calibri" w:hAnsi="Calibri" w:cs="Times New Roman"/>
                <w:sz w:val="24"/>
                <w:szCs w:val="24"/>
              </w:rPr>
              <w:t>splatnosti nad päť rokov</w:t>
            </w:r>
          </w:p>
        </w:tc>
        <w:tc>
          <w:tcPr>
            <w:tcW w:w="2615" w:type="dxa"/>
            <w:tcBorders>
              <w:top w:val="nil"/>
              <w:left w:val="single" w:sz="4" w:space="0" w:color="auto"/>
              <w:bottom w:val="single" w:sz="4" w:space="0" w:color="auto"/>
              <w:right w:val="single" w:sz="4" w:space="0" w:color="auto"/>
            </w:tcBorders>
          </w:tcPr>
          <w:p w14:paraId="3F1A9ABF" w14:textId="77777777"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Borders>
              <w:top w:val="nil"/>
              <w:left w:val="single" w:sz="4" w:space="0" w:color="auto"/>
              <w:bottom w:val="single" w:sz="4" w:space="0" w:color="auto"/>
              <w:right w:val="single" w:sz="4" w:space="0" w:color="auto"/>
            </w:tcBorders>
          </w:tcPr>
          <w:p w14:paraId="7AAF5D49" w14:textId="77777777" w:rsidR="00114A9E" w:rsidRPr="00114A9E" w:rsidRDefault="00114A9E" w:rsidP="00114A9E">
            <w:pPr>
              <w:tabs>
                <w:tab w:val="left" w:pos="1365"/>
              </w:tabs>
              <w:contextualSpacing/>
              <w:rPr>
                <w:rFonts w:ascii="Calibri" w:eastAsia="Calibri" w:hAnsi="Calibri" w:cs="Times New Roman"/>
                <w:b/>
                <w:sz w:val="28"/>
                <w:szCs w:val="28"/>
              </w:rPr>
            </w:pPr>
          </w:p>
        </w:tc>
      </w:tr>
      <w:tr w:rsidR="00114A9E" w:rsidRPr="00114A9E" w14:paraId="45A0352D" w14:textId="77777777" w:rsidTr="002D2998">
        <w:tc>
          <w:tcPr>
            <w:tcW w:w="3424" w:type="dxa"/>
          </w:tcPr>
          <w:p w14:paraId="2ED69FC0" w14:textId="77777777" w:rsidR="00114A9E" w:rsidRPr="00114A9E" w:rsidRDefault="00114A9E" w:rsidP="00114A9E">
            <w:pPr>
              <w:tabs>
                <w:tab w:val="left" w:pos="1365"/>
              </w:tabs>
              <w:contextualSpacing/>
              <w:rPr>
                <w:rFonts w:ascii="Calibri" w:eastAsia="Calibri" w:hAnsi="Calibri" w:cs="Times New Roman"/>
                <w:b/>
                <w:sz w:val="24"/>
                <w:szCs w:val="24"/>
              </w:rPr>
            </w:pPr>
            <w:r w:rsidRPr="00114A9E">
              <w:rPr>
                <w:rFonts w:ascii="Calibri" w:eastAsia="Calibri" w:hAnsi="Calibri" w:cs="Times New Roman"/>
                <w:b/>
                <w:sz w:val="24"/>
                <w:szCs w:val="24"/>
              </w:rPr>
              <w:t>Dlhodobé záväzky spolu</w:t>
            </w:r>
          </w:p>
        </w:tc>
        <w:tc>
          <w:tcPr>
            <w:tcW w:w="2615" w:type="dxa"/>
          </w:tcPr>
          <w:p w14:paraId="7ABB5E04" w14:textId="4041447A" w:rsidR="00114A9E" w:rsidRPr="00114A9E" w:rsidRDefault="00114A9E" w:rsidP="00114A9E">
            <w:pPr>
              <w:tabs>
                <w:tab w:val="left" w:pos="1365"/>
              </w:tabs>
              <w:contextualSpacing/>
              <w:rPr>
                <w:rFonts w:ascii="Calibri" w:eastAsia="Calibri" w:hAnsi="Calibri" w:cs="Times New Roman"/>
                <w:b/>
                <w:sz w:val="28"/>
                <w:szCs w:val="28"/>
              </w:rPr>
            </w:pPr>
          </w:p>
        </w:tc>
        <w:tc>
          <w:tcPr>
            <w:tcW w:w="3884" w:type="dxa"/>
          </w:tcPr>
          <w:p w14:paraId="0112B46C" w14:textId="4EA75AA7" w:rsidR="00114A9E" w:rsidRPr="00114A9E" w:rsidRDefault="00114A9E" w:rsidP="00114A9E">
            <w:pPr>
              <w:tabs>
                <w:tab w:val="left" w:pos="1365"/>
              </w:tabs>
              <w:contextualSpacing/>
              <w:rPr>
                <w:rFonts w:ascii="Calibri" w:eastAsia="Calibri" w:hAnsi="Calibri" w:cs="Times New Roman"/>
                <w:b/>
                <w:sz w:val="28"/>
                <w:szCs w:val="28"/>
              </w:rPr>
            </w:pPr>
          </w:p>
        </w:tc>
      </w:tr>
    </w:tbl>
    <w:p w14:paraId="378549EC" w14:textId="77777777" w:rsidR="00114A9E" w:rsidRPr="00114A9E" w:rsidRDefault="00114A9E" w:rsidP="00114A9E">
      <w:pPr>
        <w:tabs>
          <w:tab w:val="left" w:pos="1365"/>
        </w:tabs>
        <w:spacing w:after="200" w:line="276" w:lineRule="auto"/>
        <w:rPr>
          <w:rFonts w:ascii="Calibri" w:eastAsia="Calibri" w:hAnsi="Calibri" w:cs="Times New Roman"/>
          <w:b/>
          <w:sz w:val="28"/>
          <w:szCs w:val="28"/>
        </w:rPr>
      </w:pPr>
    </w:p>
    <w:p w14:paraId="0F71B037" w14:textId="77777777" w:rsidR="00114A9E" w:rsidRPr="00114A9E" w:rsidRDefault="00114A9E" w:rsidP="00114A9E">
      <w:pPr>
        <w:tabs>
          <w:tab w:val="left" w:pos="1365"/>
        </w:tabs>
        <w:spacing w:after="200" w:line="276" w:lineRule="auto"/>
        <w:rPr>
          <w:rFonts w:ascii="Calibri" w:eastAsia="Calibri" w:hAnsi="Calibri" w:cs="Times New Roman"/>
          <w:b/>
          <w:sz w:val="28"/>
          <w:szCs w:val="28"/>
        </w:rPr>
      </w:pPr>
    </w:p>
    <w:p w14:paraId="1781DA6A"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b/>
          <w:sz w:val="28"/>
          <w:szCs w:val="28"/>
        </w:rPr>
      </w:pPr>
      <w:r w:rsidRPr="00114A9E">
        <w:rPr>
          <w:rFonts w:ascii="Calibri" w:eastAsia="Calibri" w:hAnsi="Calibri" w:cs="Times New Roman"/>
          <w:b/>
          <w:sz w:val="28"/>
          <w:szCs w:val="28"/>
        </w:rPr>
        <w:t>Informácie o iných aktívach a pasívach</w:t>
      </w:r>
    </w:p>
    <w:p w14:paraId="6BA4E354"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Spoločnosť nemá podmienené záväzky.</w:t>
      </w:r>
    </w:p>
    <w:p w14:paraId="2FB21104"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r w:rsidRPr="00114A9E">
        <w:rPr>
          <w:rFonts w:ascii="Calibri" w:eastAsia="Calibri" w:hAnsi="Calibri" w:cs="Times New Roman"/>
          <w:b/>
          <w:sz w:val="24"/>
          <w:szCs w:val="24"/>
        </w:rPr>
        <w:t xml:space="preserve">  Najatý majetok </w:t>
      </w:r>
    </w:p>
    <w:p w14:paraId="5D4397E6" w14:textId="157FAF3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b/>
          <w:sz w:val="24"/>
          <w:szCs w:val="24"/>
        </w:rPr>
        <w:t xml:space="preserve">   </w:t>
      </w:r>
      <w:r w:rsidRPr="00114A9E">
        <w:rPr>
          <w:rFonts w:ascii="Calibri" w:eastAsia="Calibri" w:hAnsi="Calibri" w:cs="Times New Roman"/>
          <w:sz w:val="24"/>
          <w:szCs w:val="24"/>
        </w:rPr>
        <w:t>Spoločnosť</w:t>
      </w:r>
      <w:r w:rsidR="008A4CC0">
        <w:rPr>
          <w:rFonts w:ascii="Calibri" w:eastAsia="Calibri" w:hAnsi="Calibri" w:cs="Times New Roman"/>
          <w:sz w:val="24"/>
          <w:szCs w:val="24"/>
        </w:rPr>
        <w:t xml:space="preserve"> nemá prenajatý majetok.</w:t>
      </w:r>
    </w:p>
    <w:p w14:paraId="05273D6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4D6B7301" w14:textId="77777777" w:rsidR="00114A9E" w:rsidRPr="00114A9E" w:rsidRDefault="00114A9E" w:rsidP="00114A9E">
      <w:pPr>
        <w:numPr>
          <w:ilvl w:val="0"/>
          <w:numId w:val="1"/>
        </w:numPr>
        <w:tabs>
          <w:tab w:val="left" w:pos="1365"/>
        </w:tabs>
        <w:spacing w:after="200" w:line="276" w:lineRule="auto"/>
        <w:contextualSpacing/>
        <w:rPr>
          <w:rFonts w:ascii="Calibri" w:eastAsia="Calibri" w:hAnsi="Calibri" w:cs="Times New Roman"/>
          <w:sz w:val="24"/>
          <w:szCs w:val="24"/>
        </w:rPr>
      </w:pPr>
      <w:r w:rsidRPr="00114A9E">
        <w:rPr>
          <w:rFonts w:ascii="Calibri" w:eastAsia="Calibri" w:hAnsi="Calibri" w:cs="Times New Roman"/>
          <w:b/>
          <w:sz w:val="28"/>
          <w:szCs w:val="28"/>
        </w:rPr>
        <w:t>Informácie o skutočnostiach, ktoré nastali po dni, ku ktorému sa zostavuje účtovná závierka do dňa zostavenia účtovnej závierky</w:t>
      </w:r>
    </w:p>
    <w:p w14:paraId="2E27DE5B" w14:textId="77777777" w:rsidR="00114A9E" w:rsidRPr="00114A9E" w:rsidRDefault="00114A9E" w:rsidP="00114A9E">
      <w:pPr>
        <w:tabs>
          <w:tab w:val="left" w:pos="1365"/>
        </w:tabs>
        <w:spacing w:after="200" w:line="276" w:lineRule="auto"/>
        <w:ind w:left="284"/>
        <w:rPr>
          <w:rFonts w:ascii="Calibri" w:eastAsia="Calibri" w:hAnsi="Calibri" w:cs="Times New Roman"/>
          <w:sz w:val="24"/>
          <w:szCs w:val="24"/>
        </w:rPr>
      </w:pPr>
      <w:r w:rsidRPr="00114A9E">
        <w:rPr>
          <w:rFonts w:ascii="Calibri" w:eastAsia="Calibri" w:hAnsi="Calibri" w:cs="Times New Roman"/>
          <w:sz w:val="24"/>
          <w:szCs w:val="24"/>
        </w:rPr>
        <w:t>Do dňa zostavenia účtovnej závierky nevnikli žiadne skutočnosti, ktoré by mali vplyv na finančnú situáciu spoločnosti.</w:t>
      </w:r>
    </w:p>
    <w:p w14:paraId="4A8A1F9A"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2FEB28EB"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p>
    <w:p w14:paraId="6B8D8E45"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sz w:val="24"/>
          <w:szCs w:val="24"/>
        </w:rPr>
      </w:pPr>
    </w:p>
    <w:p w14:paraId="3097D12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4B40523C" w14:textId="77777777" w:rsidR="00114A9E" w:rsidRPr="00114A9E" w:rsidRDefault="00114A9E" w:rsidP="00114A9E">
      <w:pPr>
        <w:tabs>
          <w:tab w:val="left" w:pos="1365"/>
        </w:tabs>
        <w:spacing w:after="200" w:line="276" w:lineRule="auto"/>
        <w:ind w:left="990"/>
        <w:contextualSpacing/>
        <w:rPr>
          <w:rFonts w:ascii="Calibri" w:eastAsia="Calibri" w:hAnsi="Calibri" w:cs="Times New Roman"/>
          <w:sz w:val="24"/>
          <w:szCs w:val="24"/>
        </w:rPr>
      </w:pPr>
      <w:r w:rsidRPr="00114A9E">
        <w:rPr>
          <w:rFonts w:ascii="Calibri" w:eastAsia="Calibri" w:hAnsi="Calibri" w:cs="Times New Roman"/>
          <w:sz w:val="24"/>
          <w:szCs w:val="24"/>
        </w:rPr>
        <w:lastRenderedPageBreak/>
        <w:t xml:space="preserve">  </w:t>
      </w:r>
    </w:p>
    <w:p w14:paraId="7D9FAC0C"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719849E8"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p>
    <w:p w14:paraId="7A584BBA" w14:textId="77777777" w:rsidR="00114A9E" w:rsidRPr="00114A9E" w:rsidRDefault="00114A9E" w:rsidP="00114A9E">
      <w:pPr>
        <w:tabs>
          <w:tab w:val="left" w:pos="1365"/>
        </w:tabs>
        <w:spacing w:after="200" w:line="276" w:lineRule="auto"/>
        <w:rPr>
          <w:rFonts w:ascii="Calibri" w:eastAsia="Calibri" w:hAnsi="Calibri" w:cs="Times New Roman"/>
          <w:sz w:val="24"/>
          <w:szCs w:val="24"/>
        </w:rPr>
      </w:pPr>
      <w:r w:rsidRPr="00114A9E">
        <w:rPr>
          <w:rFonts w:ascii="Calibri" w:eastAsia="Calibri" w:hAnsi="Calibri" w:cs="Times New Roman"/>
          <w:sz w:val="24"/>
          <w:szCs w:val="24"/>
        </w:rPr>
        <w:t xml:space="preserve"> </w:t>
      </w:r>
    </w:p>
    <w:p w14:paraId="285E27EA" w14:textId="77777777" w:rsidR="00114A9E" w:rsidRPr="00114A9E" w:rsidRDefault="00114A9E" w:rsidP="00114A9E">
      <w:pPr>
        <w:tabs>
          <w:tab w:val="left" w:pos="1365"/>
        </w:tabs>
        <w:spacing w:after="200" w:line="276" w:lineRule="auto"/>
        <w:rPr>
          <w:rFonts w:ascii="Calibri" w:eastAsia="Calibri" w:hAnsi="Calibri" w:cs="Times New Roman"/>
          <w:b/>
          <w:sz w:val="24"/>
          <w:szCs w:val="24"/>
        </w:rPr>
      </w:pPr>
    </w:p>
    <w:p w14:paraId="3F2E13E6" w14:textId="77777777" w:rsidR="00114A9E" w:rsidRPr="00114A9E" w:rsidRDefault="00114A9E" w:rsidP="00114A9E">
      <w:pPr>
        <w:tabs>
          <w:tab w:val="left" w:pos="1365"/>
        </w:tabs>
        <w:spacing w:after="200" w:line="276" w:lineRule="auto"/>
        <w:ind w:left="840"/>
        <w:contextualSpacing/>
        <w:rPr>
          <w:rFonts w:ascii="Calibri" w:eastAsia="Calibri" w:hAnsi="Calibri" w:cs="Times New Roman"/>
          <w:b/>
          <w:sz w:val="24"/>
          <w:szCs w:val="24"/>
        </w:rPr>
      </w:pPr>
    </w:p>
    <w:p w14:paraId="65BE3ADD" w14:textId="77777777" w:rsidR="00114A9E" w:rsidRPr="00114A9E" w:rsidRDefault="00114A9E" w:rsidP="00114A9E">
      <w:pPr>
        <w:tabs>
          <w:tab w:val="left" w:pos="1365"/>
        </w:tabs>
        <w:spacing w:after="200" w:line="276" w:lineRule="auto"/>
        <w:ind w:left="1004"/>
        <w:contextualSpacing/>
        <w:rPr>
          <w:rFonts w:ascii="Calibri" w:eastAsia="Calibri" w:hAnsi="Calibri" w:cs="Times New Roman"/>
          <w:sz w:val="24"/>
          <w:szCs w:val="24"/>
        </w:rPr>
      </w:pPr>
      <w:r w:rsidRPr="00114A9E">
        <w:rPr>
          <w:rFonts w:ascii="Calibri" w:eastAsia="Calibri" w:hAnsi="Calibri" w:cs="Times New Roman"/>
          <w:sz w:val="24"/>
          <w:szCs w:val="24"/>
        </w:rPr>
        <w:t xml:space="preserve"> </w:t>
      </w:r>
    </w:p>
    <w:p w14:paraId="4DE52818" w14:textId="77777777" w:rsidR="00114A9E" w:rsidRPr="00114A9E" w:rsidRDefault="00114A9E" w:rsidP="00114A9E">
      <w:pPr>
        <w:tabs>
          <w:tab w:val="left" w:pos="1365"/>
        </w:tabs>
        <w:spacing w:after="200" w:line="276" w:lineRule="auto"/>
        <w:ind w:left="644"/>
        <w:contextualSpacing/>
        <w:rPr>
          <w:rFonts w:ascii="Calibri" w:eastAsia="Calibri" w:hAnsi="Calibri" w:cs="Times New Roman"/>
          <w:b/>
          <w:sz w:val="24"/>
          <w:szCs w:val="24"/>
        </w:rPr>
      </w:pPr>
    </w:p>
    <w:p w14:paraId="6B400B90" w14:textId="77777777" w:rsidR="007414D2" w:rsidRDefault="007414D2"/>
    <w:sectPr w:rsidR="007414D2" w:rsidSect="002C173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559C2"/>
    <w:multiLevelType w:val="hybridMultilevel"/>
    <w:tmpl w:val="00A620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5003950"/>
    <w:multiLevelType w:val="hybridMultilevel"/>
    <w:tmpl w:val="2D8010BE"/>
    <w:lvl w:ilvl="0" w:tplc="28628B44">
      <w:start w:val="1"/>
      <w:numFmt w:val="decimal"/>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 w15:restartNumberingAfterBreak="0">
    <w:nsid w:val="286E3F17"/>
    <w:multiLevelType w:val="hybridMultilevel"/>
    <w:tmpl w:val="DC2AF69A"/>
    <w:lvl w:ilvl="0" w:tplc="0214FE5C">
      <w:start w:val="1"/>
      <w:numFmt w:val="decimal"/>
      <w:lvlText w:val="%1."/>
      <w:lvlJc w:val="left"/>
      <w:pPr>
        <w:ind w:left="840" w:hanging="360"/>
      </w:pPr>
      <w:rPr>
        <w:rFonts w:hint="default"/>
      </w:rPr>
    </w:lvl>
    <w:lvl w:ilvl="1" w:tplc="041B0019" w:tentative="1">
      <w:start w:val="1"/>
      <w:numFmt w:val="lowerLetter"/>
      <w:lvlText w:val="%2."/>
      <w:lvlJc w:val="left"/>
      <w:pPr>
        <w:ind w:left="1560" w:hanging="360"/>
      </w:pPr>
    </w:lvl>
    <w:lvl w:ilvl="2" w:tplc="041B001B" w:tentative="1">
      <w:start w:val="1"/>
      <w:numFmt w:val="lowerRoman"/>
      <w:lvlText w:val="%3."/>
      <w:lvlJc w:val="right"/>
      <w:pPr>
        <w:ind w:left="2280" w:hanging="180"/>
      </w:pPr>
    </w:lvl>
    <w:lvl w:ilvl="3" w:tplc="041B000F" w:tentative="1">
      <w:start w:val="1"/>
      <w:numFmt w:val="decimal"/>
      <w:lvlText w:val="%4."/>
      <w:lvlJc w:val="left"/>
      <w:pPr>
        <w:ind w:left="3000" w:hanging="360"/>
      </w:pPr>
    </w:lvl>
    <w:lvl w:ilvl="4" w:tplc="041B0019" w:tentative="1">
      <w:start w:val="1"/>
      <w:numFmt w:val="lowerLetter"/>
      <w:lvlText w:val="%5."/>
      <w:lvlJc w:val="left"/>
      <w:pPr>
        <w:ind w:left="3720" w:hanging="360"/>
      </w:pPr>
    </w:lvl>
    <w:lvl w:ilvl="5" w:tplc="041B001B" w:tentative="1">
      <w:start w:val="1"/>
      <w:numFmt w:val="lowerRoman"/>
      <w:lvlText w:val="%6."/>
      <w:lvlJc w:val="right"/>
      <w:pPr>
        <w:ind w:left="4440" w:hanging="180"/>
      </w:pPr>
    </w:lvl>
    <w:lvl w:ilvl="6" w:tplc="041B000F" w:tentative="1">
      <w:start w:val="1"/>
      <w:numFmt w:val="decimal"/>
      <w:lvlText w:val="%7."/>
      <w:lvlJc w:val="left"/>
      <w:pPr>
        <w:ind w:left="5160" w:hanging="360"/>
      </w:pPr>
    </w:lvl>
    <w:lvl w:ilvl="7" w:tplc="041B0019" w:tentative="1">
      <w:start w:val="1"/>
      <w:numFmt w:val="lowerLetter"/>
      <w:lvlText w:val="%8."/>
      <w:lvlJc w:val="left"/>
      <w:pPr>
        <w:ind w:left="5880" w:hanging="360"/>
      </w:pPr>
    </w:lvl>
    <w:lvl w:ilvl="8" w:tplc="041B001B" w:tentative="1">
      <w:start w:val="1"/>
      <w:numFmt w:val="lowerRoman"/>
      <w:lvlText w:val="%9."/>
      <w:lvlJc w:val="right"/>
      <w:pPr>
        <w:ind w:left="6600" w:hanging="180"/>
      </w:pPr>
    </w:lvl>
  </w:abstractNum>
  <w:abstractNum w:abstractNumId="3" w15:restartNumberingAfterBreak="0">
    <w:nsid w:val="29AA1533"/>
    <w:multiLevelType w:val="hybridMultilevel"/>
    <w:tmpl w:val="CB94A022"/>
    <w:lvl w:ilvl="0" w:tplc="47864D02">
      <w:start w:val="1"/>
      <w:numFmt w:val="lowerLetter"/>
      <w:lvlText w:val="%1)"/>
      <w:lvlJc w:val="left"/>
      <w:pPr>
        <w:ind w:left="990" w:hanging="360"/>
      </w:pPr>
      <w:rPr>
        <w:rFonts w:hint="default"/>
      </w:rPr>
    </w:lvl>
    <w:lvl w:ilvl="1" w:tplc="041B0019" w:tentative="1">
      <w:start w:val="1"/>
      <w:numFmt w:val="lowerLetter"/>
      <w:lvlText w:val="%2."/>
      <w:lvlJc w:val="left"/>
      <w:pPr>
        <w:ind w:left="1710" w:hanging="360"/>
      </w:pPr>
    </w:lvl>
    <w:lvl w:ilvl="2" w:tplc="041B001B" w:tentative="1">
      <w:start w:val="1"/>
      <w:numFmt w:val="lowerRoman"/>
      <w:lvlText w:val="%3."/>
      <w:lvlJc w:val="right"/>
      <w:pPr>
        <w:ind w:left="2430" w:hanging="180"/>
      </w:pPr>
    </w:lvl>
    <w:lvl w:ilvl="3" w:tplc="041B000F" w:tentative="1">
      <w:start w:val="1"/>
      <w:numFmt w:val="decimal"/>
      <w:lvlText w:val="%4."/>
      <w:lvlJc w:val="left"/>
      <w:pPr>
        <w:ind w:left="3150" w:hanging="360"/>
      </w:pPr>
    </w:lvl>
    <w:lvl w:ilvl="4" w:tplc="041B0019" w:tentative="1">
      <w:start w:val="1"/>
      <w:numFmt w:val="lowerLetter"/>
      <w:lvlText w:val="%5."/>
      <w:lvlJc w:val="left"/>
      <w:pPr>
        <w:ind w:left="3870" w:hanging="360"/>
      </w:pPr>
    </w:lvl>
    <w:lvl w:ilvl="5" w:tplc="041B001B" w:tentative="1">
      <w:start w:val="1"/>
      <w:numFmt w:val="lowerRoman"/>
      <w:lvlText w:val="%6."/>
      <w:lvlJc w:val="right"/>
      <w:pPr>
        <w:ind w:left="4590" w:hanging="180"/>
      </w:pPr>
    </w:lvl>
    <w:lvl w:ilvl="6" w:tplc="041B000F" w:tentative="1">
      <w:start w:val="1"/>
      <w:numFmt w:val="decimal"/>
      <w:lvlText w:val="%7."/>
      <w:lvlJc w:val="left"/>
      <w:pPr>
        <w:ind w:left="5310" w:hanging="360"/>
      </w:pPr>
    </w:lvl>
    <w:lvl w:ilvl="7" w:tplc="041B0019" w:tentative="1">
      <w:start w:val="1"/>
      <w:numFmt w:val="lowerLetter"/>
      <w:lvlText w:val="%8."/>
      <w:lvlJc w:val="left"/>
      <w:pPr>
        <w:ind w:left="6030" w:hanging="360"/>
      </w:pPr>
    </w:lvl>
    <w:lvl w:ilvl="8" w:tplc="041B001B" w:tentative="1">
      <w:start w:val="1"/>
      <w:numFmt w:val="lowerRoman"/>
      <w:lvlText w:val="%9."/>
      <w:lvlJc w:val="right"/>
      <w:pPr>
        <w:ind w:left="6750" w:hanging="180"/>
      </w:pPr>
    </w:lvl>
  </w:abstractNum>
  <w:abstractNum w:abstractNumId="4" w15:restartNumberingAfterBreak="0">
    <w:nsid w:val="2B575710"/>
    <w:multiLevelType w:val="hybridMultilevel"/>
    <w:tmpl w:val="4D5AEDC6"/>
    <w:lvl w:ilvl="0" w:tplc="65A28D26">
      <w:start w:val="1"/>
      <w:numFmt w:val="decimal"/>
      <w:lvlText w:val="%1."/>
      <w:lvlJc w:val="left"/>
      <w:pPr>
        <w:ind w:left="1275" w:hanging="360"/>
      </w:pPr>
      <w:rPr>
        <w:rFonts w:hint="default"/>
      </w:r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5" w15:restartNumberingAfterBreak="0">
    <w:nsid w:val="2D2A5DEA"/>
    <w:multiLevelType w:val="hybridMultilevel"/>
    <w:tmpl w:val="B2D08094"/>
    <w:lvl w:ilvl="0" w:tplc="981A9AF2">
      <w:start w:val="1"/>
      <w:numFmt w:val="decimal"/>
      <w:lvlText w:val="%1."/>
      <w:lvlJc w:val="left"/>
      <w:pPr>
        <w:ind w:left="1110" w:hanging="360"/>
      </w:pPr>
      <w:rPr>
        <w:rFonts w:hint="default"/>
      </w:rPr>
    </w:lvl>
    <w:lvl w:ilvl="1" w:tplc="041B0019" w:tentative="1">
      <w:start w:val="1"/>
      <w:numFmt w:val="lowerLetter"/>
      <w:lvlText w:val="%2."/>
      <w:lvlJc w:val="left"/>
      <w:pPr>
        <w:ind w:left="1830" w:hanging="360"/>
      </w:pPr>
    </w:lvl>
    <w:lvl w:ilvl="2" w:tplc="041B001B" w:tentative="1">
      <w:start w:val="1"/>
      <w:numFmt w:val="lowerRoman"/>
      <w:lvlText w:val="%3."/>
      <w:lvlJc w:val="right"/>
      <w:pPr>
        <w:ind w:left="2550" w:hanging="180"/>
      </w:pPr>
    </w:lvl>
    <w:lvl w:ilvl="3" w:tplc="041B000F" w:tentative="1">
      <w:start w:val="1"/>
      <w:numFmt w:val="decimal"/>
      <w:lvlText w:val="%4."/>
      <w:lvlJc w:val="left"/>
      <w:pPr>
        <w:ind w:left="3270" w:hanging="360"/>
      </w:pPr>
    </w:lvl>
    <w:lvl w:ilvl="4" w:tplc="041B0019" w:tentative="1">
      <w:start w:val="1"/>
      <w:numFmt w:val="lowerLetter"/>
      <w:lvlText w:val="%5."/>
      <w:lvlJc w:val="left"/>
      <w:pPr>
        <w:ind w:left="3990" w:hanging="360"/>
      </w:pPr>
    </w:lvl>
    <w:lvl w:ilvl="5" w:tplc="041B001B" w:tentative="1">
      <w:start w:val="1"/>
      <w:numFmt w:val="lowerRoman"/>
      <w:lvlText w:val="%6."/>
      <w:lvlJc w:val="right"/>
      <w:pPr>
        <w:ind w:left="4710" w:hanging="180"/>
      </w:pPr>
    </w:lvl>
    <w:lvl w:ilvl="6" w:tplc="041B000F" w:tentative="1">
      <w:start w:val="1"/>
      <w:numFmt w:val="decimal"/>
      <w:lvlText w:val="%7."/>
      <w:lvlJc w:val="left"/>
      <w:pPr>
        <w:ind w:left="5430" w:hanging="360"/>
      </w:pPr>
    </w:lvl>
    <w:lvl w:ilvl="7" w:tplc="041B0019" w:tentative="1">
      <w:start w:val="1"/>
      <w:numFmt w:val="lowerLetter"/>
      <w:lvlText w:val="%8."/>
      <w:lvlJc w:val="left"/>
      <w:pPr>
        <w:ind w:left="6150" w:hanging="360"/>
      </w:pPr>
    </w:lvl>
    <w:lvl w:ilvl="8" w:tplc="041B001B" w:tentative="1">
      <w:start w:val="1"/>
      <w:numFmt w:val="lowerRoman"/>
      <w:lvlText w:val="%9."/>
      <w:lvlJc w:val="right"/>
      <w:pPr>
        <w:ind w:left="6870" w:hanging="180"/>
      </w:pPr>
    </w:lvl>
  </w:abstractNum>
  <w:abstractNum w:abstractNumId="6" w15:restartNumberingAfterBreak="0">
    <w:nsid w:val="42684F7C"/>
    <w:multiLevelType w:val="hybridMultilevel"/>
    <w:tmpl w:val="1A84C490"/>
    <w:lvl w:ilvl="0" w:tplc="E050DF40">
      <w:start w:val="1"/>
      <w:numFmt w:val="decimal"/>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7" w15:restartNumberingAfterBreak="0">
    <w:nsid w:val="51D81E5E"/>
    <w:multiLevelType w:val="hybridMultilevel"/>
    <w:tmpl w:val="899CA760"/>
    <w:lvl w:ilvl="0" w:tplc="A148BB2E">
      <w:start w:val="1"/>
      <w:numFmt w:val="upperLetter"/>
      <w:lvlText w:val="%1."/>
      <w:lvlJc w:val="left"/>
      <w:pPr>
        <w:ind w:left="644"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C7B6FD5"/>
    <w:multiLevelType w:val="hybridMultilevel"/>
    <w:tmpl w:val="6A0A69C4"/>
    <w:lvl w:ilvl="0" w:tplc="BB82133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74A3744C"/>
    <w:multiLevelType w:val="hybridMultilevel"/>
    <w:tmpl w:val="41B2CF60"/>
    <w:lvl w:ilvl="0" w:tplc="92D4547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16cid:durableId="258758219">
    <w:abstractNumId w:val="7"/>
  </w:num>
  <w:num w:numId="2" w16cid:durableId="323750022">
    <w:abstractNumId w:val="9"/>
  </w:num>
  <w:num w:numId="3" w16cid:durableId="918365955">
    <w:abstractNumId w:val="4"/>
  </w:num>
  <w:num w:numId="4" w16cid:durableId="104928192">
    <w:abstractNumId w:val="1"/>
  </w:num>
  <w:num w:numId="5" w16cid:durableId="2069643344">
    <w:abstractNumId w:val="6"/>
  </w:num>
  <w:num w:numId="6" w16cid:durableId="725106220">
    <w:abstractNumId w:val="5"/>
  </w:num>
  <w:num w:numId="7" w16cid:durableId="1060709844">
    <w:abstractNumId w:val="0"/>
  </w:num>
  <w:num w:numId="8" w16cid:durableId="1628848764">
    <w:abstractNumId w:val="8"/>
  </w:num>
  <w:num w:numId="9" w16cid:durableId="2052415397">
    <w:abstractNumId w:val="2"/>
  </w:num>
  <w:num w:numId="10" w16cid:durableId="35430965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4A9E"/>
    <w:rsid w:val="000427D8"/>
    <w:rsid w:val="000963C6"/>
    <w:rsid w:val="000D1721"/>
    <w:rsid w:val="00114A9E"/>
    <w:rsid w:val="001F5B90"/>
    <w:rsid w:val="004B79AC"/>
    <w:rsid w:val="005657FE"/>
    <w:rsid w:val="0063671C"/>
    <w:rsid w:val="00660173"/>
    <w:rsid w:val="006647E9"/>
    <w:rsid w:val="0067324A"/>
    <w:rsid w:val="006B009F"/>
    <w:rsid w:val="00715F39"/>
    <w:rsid w:val="007414D2"/>
    <w:rsid w:val="00817F84"/>
    <w:rsid w:val="00830C34"/>
    <w:rsid w:val="008A4CC0"/>
    <w:rsid w:val="00916AA7"/>
    <w:rsid w:val="0096795B"/>
    <w:rsid w:val="00984399"/>
    <w:rsid w:val="00AF5708"/>
    <w:rsid w:val="00B22870"/>
    <w:rsid w:val="00B25FD8"/>
    <w:rsid w:val="00B41FCE"/>
    <w:rsid w:val="00B64F50"/>
    <w:rsid w:val="00BA0106"/>
    <w:rsid w:val="00BA7AAC"/>
    <w:rsid w:val="00BB21E6"/>
    <w:rsid w:val="00C35E52"/>
    <w:rsid w:val="00CE29C7"/>
    <w:rsid w:val="00D550F5"/>
    <w:rsid w:val="00E821A5"/>
    <w:rsid w:val="00EC6782"/>
    <w:rsid w:val="00F234DB"/>
    <w:rsid w:val="00F90D5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2CBF68"/>
  <w15:chartTrackingRefBased/>
  <w15:docId w15:val="{8CDDCDD7-024D-4913-81FF-7C8F6D246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Mriekatabuky1">
    <w:name w:val="Mriežka tabuľky1"/>
    <w:basedOn w:val="Normlnatabuka"/>
    <w:next w:val="Mriekatabuky"/>
    <w:uiPriority w:val="59"/>
    <w:rsid w:val="00114A9E"/>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Mriekatabuky">
    <w:name w:val="Table Grid"/>
    <w:basedOn w:val="Normlnatabuka"/>
    <w:uiPriority w:val="39"/>
    <w:rsid w:val="00114A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7</Pages>
  <Words>1594</Words>
  <Characters>9087</Characters>
  <Application>Microsoft Office Word</Application>
  <DocSecurity>0</DocSecurity>
  <Lines>75</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Administrátor</dc:creator>
  <cp:keywords/>
  <dc:description/>
  <cp:lastModifiedBy>Bibiána Janšová</cp:lastModifiedBy>
  <cp:revision>6</cp:revision>
  <cp:lastPrinted>2018-06-26T10:46:00Z</cp:lastPrinted>
  <dcterms:created xsi:type="dcterms:W3CDTF">2022-06-26T16:33:00Z</dcterms:created>
  <dcterms:modified xsi:type="dcterms:W3CDTF">2022-06-26T16:36:00Z</dcterms:modified>
</cp:coreProperties>
</file>