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3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3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Style w:val="Heading1"/>
        <w:numPr>
          <w:ilvl w:val="0"/>
          <w:numId w:val="6"/>
        </w:numPr>
        <w:ind w:left="450" w:hanging="360"/>
        <w:rPr/>
      </w:pPr>
      <w:r w:rsidDel="00000000" w:rsidR="00000000" w:rsidRPr="00000000">
        <w:rPr>
          <w:rtl w:val="0"/>
        </w:rPr>
        <w:t xml:space="preserve">Všeobecné údaje</w:t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6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pStyle w:val="Heading2"/>
        <w:numPr>
          <w:ilvl w:val="0"/>
          <w:numId w:val="7"/>
        </w:numPr>
        <w:ind w:left="360" w:hanging="360"/>
        <w:rPr/>
      </w:pPr>
      <w:r w:rsidDel="00000000" w:rsidR="00000000" w:rsidRPr="00000000">
        <w:rPr>
          <w:rtl w:val="0"/>
        </w:rPr>
        <w:t xml:space="preserve">Názov právnickej osoby a jej sídlo:</w:t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6" w:right="0" w:firstLine="0"/>
        <w:jc w:val="both"/>
        <w:rPr>
          <w:sz w:val="18"/>
          <w:szCs w:val="18"/>
        </w:rPr>
      </w:pPr>
      <w:r w:rsidDel="00000000" w:rsidR="00000000" w:rsidRPr="00000000">
        <w:rPr>
          <w:sz w:val="18"/>
          <w:szCs w:val="18"/>
          <w:rtl w:val="0"/>
        </w:rPr>
        <w:t xml:space="preserve">Jaroslav Večerík s.r.o.</w:t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6" w:right="0" w:firstLine="0"/>
        <w:jc w:val="both"/>
        <w:rPr>
          <w:sz w:val="18"/>
          <w:szCs w:val="18"/>
        </w:rPr>
      </w:pPr>
      <w:r w:rsidDel="00000000" w:rsidR="00000000" w:rsidRPr="00000000">
        <w:rPr>
          <w:sz w:val="18"/>
          <w:szCs w:val="18"/>
          <w:rtl w:val="0"/>
        </w:rPr>
        <w:t xml:space="preserve">Dunajská 1065/14</w:t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6" w:right="0" w:firstLine="0"/>
        <w:jc w:val="both"/>
        <w:rPr>
          <w:sz w:val="18"/>
          <w:szCs w:val="18"/>
        </w:rPr>
      </w:pPr>
      <w:r w:rsidDel="00000000" w:rsidR="00000000" w:rsidRPr="00000000">
        <w:rPr>
          <w:sz w:val="18"/>
          <w:szCs w:val="18"/>
          <w:rtl w:val="0"/>
        </w:rPr>
        <w:t xml:space="preserve">93101, Šamorín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rPr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pStyle w:val="Heading2"/>
        <w:numPr>
          <w:ilvl w:val="0"/>
          <w:numId w:val="1"/>
        </w:numPr>
        <w:ind w:left="360" w:hanging="360"/>
        <w:rPr/>
      </w:pPr>
      <w:bookmarkStart w:colFirst="0" w:colLast="0" w:name="_gjdgxs" w:id="0"/>
      <w:bookmarkEnd w:id="0"/>
      <w:r w:rsidDel="00000000" w:rsidR="00000000" w:rsidRPr="00000000">
        <w:rPr>
          <w:rtl w:val="0"/>
        </w:rPr>
        <w:t xml:space="preserve">Informácie o konsolidovanom celku</w:t>
      </w:r>
    </w:p>
    <w:p w:rsidR="00000000" w:rsidDel="00000000" w:rsidP="00000000" w:rsidRDefault="00000000" w:rsidRPr="00000000" w14:paraId="0000000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6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Spoločnosť nie je súčasťou konsolidovaného celku.  </w:t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6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6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6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6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pStyle w:val="Heading2"/>
        <w:numPr>
          <w:ilvl w:val="0"/>
          <w:numId w:val="7"/>
        </w:numPr>
        <w:ind w:left="360" w:hanging="360"/>
        <w:rPr/>
      </w:pPr>
      <w:r w:rsidDel="00000000" w:rsidR="00000000" w:rsidRPr="00000000">
        <w:rPr>
          <w:rtl w:val="0"/>
        </w:rPr>
        <w:t xml:space="preserve">Priemerný prepočítaný počet zamestnancov: </w: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6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6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6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highlight w:val="yellow"/>
          <w:u w:val="none"/>
          <w:vertAlign w:val="baseline"/>
          <w:rtl w:val="0"/>
        </w:rPr>
        <w:t xml:space="preserve">Za bežné účtovné obdobie predstavoval priemerný prepočítaný počet bol: </w:t>
      </w:r>
      <w:r w:rsidDel="00000000" w:rsidR="00000000" w:rsidRPr="00000000">
        <w:rPr>
          <w:sz w:val="18"/>
          <w:szCs w:val="18"/>
          <w:highlight w:val="yellow"/>
          <w:rtl w:val="0"/>
        </w:rPr>
        <w:t xml:space="preserve">0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6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         </w:t>
      </w:r>
    </w:p>
    <w:p w:rsidR="00000000" w:rsidDel="00000000" w:rsidP="00000000" w:rsidRDefault="00000000" w:rsidRPr="00000000" w14:paraId="00000015">
      <w:pPr>
        <w:pStyle w:val="Heading1"/>
        <w:numPr>
          <w:ilvl w:val="0"/>
          <w:numId w:val="6"/>
        </w:numPr>
        <w:ind w:left="450" w:hanging="360"/>
        <w:rPr/>
      </w:pPr>
      <w:r w:rsidDel="00000000" w:rsidR="00000000" w:rsidRPr="00000000">
        <w:rPr>
          <w:rtl w:val="0"/>
        </w:rPr>
        <w:t xml:space="preserve">informácia  o  prijatých  postupoch .</w:t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6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6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6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pStyle w:val="Heading2"/>
        <w:numPr>
          <w:ilvl w:val="0"/>
          <w:numId w:val="5"/>
        </w:numPr>
        <w:ind w:left="360" w:hanging="360"/>
        <w:rPr/>
      </w:pPr>
      <w:r w:rsidDel="00000000" w:rsidR="00000000" w:rsidRPr="00000000">
        <w:rPr>
          <w:rtl w:val="0"/>
        </w:rPr>
        <w:t xml:space="preserve">Východiská pre zostavenie účtovnej závierky</w:t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5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Účtovná závierka bola zostavená za predpokladu, že Spoločnosť bude nepretržite pokračovať vo svojej činnosti (goingconcern).</w:t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5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pStyle w:val="Heading2"/>
        <w:numPr>
          <w:ilvl w:val="0"/>
          <w:numId w:val="5"/>
        </w:numPr>
        <w:ind w:left="360" w:hanging="360"/>
        <w:rPr/>
      </w:pPr>
      <w:r w:rsidDel="00000000" w:rsidR="00000000" w:rsidRPr="00000000">
        <w:rPr>
          <w:rtl w:val="0"/>
        </w:rPr>
        <w:t xml:space="preserve">Spôsob oceňovania jednotlivých položiek majetku a záväzkov</w:t>
      </w:r>
    </w:p>
    <w:p w:rsidR="00000000" w:rsidDel="00000000" w:rsidP="00000000" w:rsidRDefault="00000000" w:rsidRPr="00000000" w14:paraId="0000001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09" w:right="0" w:hanging="360"/>
        <w:jc w:val="both"/>
        <w:rPr/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Dlhodobý nehmotný majetok a dlhodobý hmotný majetok</w:t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6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Súčasťou obstarávacej ceny dlhodobého hmotného majetku nie sú úroky z cudzích zdrojov ani realizované kurzové rozdiely, ktoré vznikli do momentu uvedenia dlhodobého majetku do používania.</w:t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6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Súčasťou obstarávacej ceny dlhodobého nehmotného majetku nie sú úroky z cudzích zdrojov, ktoré vznikli do momentu zaradenia dlhodobého nehmotného majetku do používania.</w:t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6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000000" w:rsidDel="00000000" w:rsidP="00000000" w:rsidRDefault="00000000" w:rsidRPr="00000000" w14:paraId="0000002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09" w:right="0" w:hanging="360"/>
        <w:jc w:val="both"/>
        <w:rPr/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Zásoby </w:t>
      </w:r>
    </w:p>
    <w:p w:rsidR="00000000" w:rsidDel="00000000" w:rsidP="00000000" w:rsidRDefault="00000000" w:rsidRPr="00000000" w14:paraId="0000002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Zásoby sa oceňujú obstarávacou cenou.</w:t>
      </w:r>
    </w:p>
    <w:p w:rsidR="00000000" w:rsidDel="00000000" w:rsidP="00000000" w:rsidRDefault="00000000" w:rsidRPr="00000000" w14:paraId="0000002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6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000000" w:rsidDel="00000000" w:rsidP="00000000" w:rsidRDefault="00000000" w:rsidRPr="00000000" w14:paraId="0000002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6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Zníženie hodnoty zásob sa zohľadňuje vytvorením opravnej položky.</w:t>
      </w:r>
    </w:p>
    <w:p w:rsidR="00000000" w:rsidDel="00000000" w:rsidP="00000000" w:rsidRDefault="00000000" w:rsidRPr="00000000" w14:paraId="0000002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09" w:right="0" w:hanging="360"/>
        <w:jc w:val="both"/>
        <w:rPr/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Pohľadávky</w:t>
      </w:r>
    </w:p>
    <w:p w:rsidR="00000000" w:rsidDel="00000000" w:rsidP="00000000" w:rsidRDefault="00000000" w:rsidRPr="00000000" w14:paraId="0000003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000000" w:rsidDel="00000000" w:rsidP="00000000" w:rsidRDefault="00000000" w:rsidRPr="00000000" w14:paraId="0000003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09" w:right="0" w:hanging="360"/>
        <w:jc w:val="both"/>
        <w:rPr/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Krátkodobý finančný majetok</w:t>
      </w:r>
    </w:p>
    <w:p w:rsidR="00000000" w:rsidDel="00000000" w:rsidP="00000000" w:rsidRDefault="00000000" w:rsidRPr="00000000" w14:paraId="0000003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Peňažné prostriedky a ceniny sa oceňujú ich menovitou hodnotou. Zníženie ich hodnoty sa vyjadruje opravnou položkou.</w:t>
      </w:r>
    </w:p>
    <w:p w:rsidR="00000000" w:rsidDel="00000000" w:rsidP="00000000" w:rsidRDefault="00000000" w:rsidRPr="00000000" w14:paraId="0000003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60" w:right="0" w:hanging="426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09" w:right="0" w:hanging="360"/>
        <w:jc w:val="both"/>
        <w:rPr/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Záväzky vrátane rezerv, dlhopisov, pôžičiek a úverov</w:t>
      </w:r>
    </w:p>
    <w:p w:rsidR="00000000" w:rsidDel="00000000" w:rsidP="00000000" w:rsidRDefault="00000000" w:rsidRPr="00000000" w14:paraId="0000003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426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00000" w:rsidDel="00000000" w:rsidP="00000000" w:rsidRDefault="00000000" w:rsidRPr="00000000" w14:paraId="0000003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Rezervy sú záväzky s neurčitým časovým vymedzením alebo výškou; tvoria sa na krytie známych rizík alebo strát z podnikania. Oceňujú sa v očakávanej výške záväzku.</w:t>
      </w:r>
    </w:p>
    <w:p w:rsidR="00000000" w:rsidDel="00000000" w:rsidP="00000000" w:rsidRDefault="00000000" w:rsidRPr="00000000" w14:paraId="0000003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5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B">
      <w:pPr>
        <w:pStyle w:val="Heading2"/>
        <w:numPr>
          <w:ilvl w:val="0"/>
          <w:numId w:val="5"/>
        </w:numPr>
        <w:ind w:left="360" w:hanging="360"/>
        <w:rPr/>
      </w:pPr>
      <w:r w:rsidDel="00000000" w:rsidR="00000000" w:rsidRPr="00000000">
        <w:rPr>
          <w:rtl w:val="0"/>
        </w:rPr>
        <w:t xml:space="preserve">Tvorba odpisovaného plánu</w:t>
      </w:r>
    </w:p>
    <w:p w:rsidR="00000000" w:rsidDel="00000000" w:rsidP="00000000" w:rsidRDefault="00000000" w:rsidRPr="00000000" w14:paraId="0000003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6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6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</w:t>
      </w:r>
    </w:p>
    <w:p w:rsidR="00000000" w:rsidDel="00000000" w:rsidP="00000000" w:rsidRDefault="00000000" w:rsidRPr="00000000" w14:paraId="0000003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6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6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000000" w:rsidDel="00000000" w:rsidP="00000000" w:rsidRDefault="00000000" w:rsidRPr="00000000" w14:paraId="0000004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6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8788.0" w:type="dxa"/>
        <w:jc w:val="left"/>
        <w:tblInd w:w="456.0" w:type="dxa"/>
        <w:tblLayout w:type="fixed"/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  <w:tblGridChange w:id="0">
          <w:tblGrid>
            <w:gridCol w:w="2976"/>
            <w:gridCol w:w="142"/>
            <w:gridCol w:w="1985"/>
            <w:gridCol w:w="141"/>
            <w:gridCol w:w="1701"/>
            <w:gridCol w:w="142"/>
            <w:gridCol w:w="1701"/>
          </w:tblGrid>
        </w:tblGridChange>
      </w:tblGrid>
      <w:tr>
        <w:trPr>
          <w:cantSplit w:val="0"/>
          <w:trHeight w:val="250" w:hRule="atLeast"/>
          <w:tblHeader w:val="0"/>
        </w:trPr>
        <w:tc>
          <w:tcPr>
            <w:gridSpan w:val="2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Predpokladaná</w:t>
            </w:r>
          </w:p>
        </w:tc>
        <w:tc>
          <w:tcPr/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Metóda</w:t>
            </w:r>
          </w:p>
        </w:tc>
        <w:tc>
          <w:tcPr/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Ročná odpisová</w:t>
            </w:r>
          </w:p>
        </w:tc>
      </w:tr>
      <w:tr>
        <w:trPr>
          <w:cantSplit w:val="0"/>
          <w:trHeight w:val="250" w:hRule="atLeast"/>
          <w:tblHeader w:val="0"/>
        </w:trPr>
        <w:tc>
          <w:tcPr>
            <w:tcBorders>
              <w:bottom w:color="000000" w:space="0" w:sz="4" w:val="single"/>
            </w:tcBorders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</w:tcBorders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</w:tcBorders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doba používania v rokoch</w:t>
            </w:r>
          </w:p>
        </w:tc>
        <w:tc>
          <w:tcPr>
            <w:tcBorders>
              <w:bottom w:color="000000" w:space="0" w:sz="4" w:val="single"/>
            </w:tcBorders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</w:tcBorders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odpisovania</w:t>
            </w:r>
          </w:p>
        </w:tc>
        <w:tc>
          <w:tcPr>
            <w:tcBorders>
              <w:bottom w:color="000000" w:space="0" w:sz="4" w:val="single"/>
            </w:tcBorders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</w:tcBorders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sadzba v %</w:t>
            </w:r>
          </w:p>
        </w:tc>
      </w:tr>
      <w:tr>
        <w:trPr>
          <w:cantSplit w:val="0"/>
          <w:trHeight w:val="250" w:hRule="atLeast"/>
          <w:tblHeader w:val="0"/>
        </w:trPr>
        <w:tc>
          <w:tcPr>
            <w:gridSpan w:val="2"/>
            <w:tcBorders>
              <w:top w:color="000000" w:space="0" w:sz="4" w:val="single"/>
            </w:tcBorders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Stavby</w:t>
            </w:r>
          </w:p>
        </w:tc>
        <w:tc>
          <w:tcPr>
            <w:tcBorders>
              <w:top w:color="000000" w:space="0" w:sz="4" w:val="single"/>
            </w:tcBorders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20</w:t>
            </w:r>
          </w:p>
        </w:tc>
        <w:tc>
          <w:tcPr>
            <w:tcBorders>
              <w:top w:color="000000" w:space="0" w:sz="4" w:val="single"/>
            </w:tcBorders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</w:tcBorders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lineárna</w:t>
            </w:r>
          </w:p>
        </w:tc>
        <w:tc>
          <w:tcPr>
            <w:tcBorders>
              <w:top w:color="000000" w:space="0" w:sz="4" w:val="single"/>
            </w:tcBorders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</w:tcBorders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5</w:t>
            </w:r>
          </w:p>
        </w:tc>
      </w:tr>
      <w:tr>
        <w:trPr>
          <w:cantSplit w:val="0"/>
          <w:trHeight w:val="250" w:hRule="atLeast"/>
          <w:tblHeader w:val="0"/>
        </w:trPr>
        <w:tc>
          <w:tcPr>
            <w:gridSpan w:val="2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Stroje, prístroje a zariadenia</w:t>
            </w:r>
          </w:p>
        </w:tc>
        <w:tc>
          <w:tcPr/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4 až 6</w:t>
            </w:r>
          </w:p>
        </w:tc>
        <w:tc>
          <w:tcPr/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lineárna</w:t>
            </w:r>
          </w:p>
        </w:tc>
        <w:tc>
          <w:tcPr/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 až 25</w:t>
            </w:r>
          </w:p>
        </w:tc>
      </w:tr>
      <w:tr>
        <w:trPr>
          <w:cantSplit w:val="0"/>
          <w:trHeight w:val="250" w:hRule="atLeast"/>
          <w:tblHeader w:val="0"/>
        </w:trPr>
        <w:tc>
          <w:tcPr>
            <w:gridSpan w:val="2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Dopravné prostriedky</w:t>
            </w:r>
          </w:p>
        </w:tc>
        <w:tc>
          <w:tcPr/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3 až 4</w:t>
            </w:r>
          </w:p>
        </w:tc>
        <w:tc>
          <w:tcPr/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lineárna</w:t>
            </w:r>
          </w:p>
        </w:tc>
        <w:tc>
          <w:tcPr/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25 až 33</w:t>
            </w:r>
          </w:p>
        </w:tc>
      </w:tr>
      <w:tr>
        <w:trPr>
          <w:cantSplit w:val="0"/>
          <w:trHeight w:val="250" w:hRule="atLeast"/>
          <w:tblHeader w:val="0"/>
        </w:trPr>
        <w:tc>
          <w:tcPr>
            <w:gridSpan w:val="2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Drobný dlhodobý hmotný majetok</w:t>
            </w:r>
          </w:p>
        </w:tc>
        <w:tc>
          <w:tcPr/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rôzna</w:t>
            </w:r>
          </w:p>
        </w:tc>
        <w:tc>
          <w:tcPr/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jednorazový odpis</w:t>
            </w:r>
          </w:p>
        </w:tc>
        <w:tc>
          <w:tcPr/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100</w:t>
            </w:r>
          </w:p>
        </w:tc>
      </w:tr>
      <w:tr>
        <w:trPr>
          <w:cantSplit w:val="0"/>
          <w:trHeight w:val="250" w:hRule="atLeast"/>
          <w:tblHeader w:val="0"/>
        </w:trPr>
        <w:tc>
          <w:tcPr>
            <w:gridSpan w:val="2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highlight w:val="yellow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highlight w:val="yellow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highlight w:val="yellow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highlight w:val="yellow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highlight w:val="yellow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highlight w:val="yellow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72">
      <w:pPr>
        <w:pStyle w:val="Heading2"/>
        <w:numPr>
          <w:ilvl w:val="0"/>
          <w:numId w:val="5"/>
        </w:numPr>
        <w:ind w:left="360" w:hanging="360"/>
        <w:rPr/>
      </w:pPr>
      <w:r w:rsidDel="00000000" w:rsidR="00000000" w:rsidRPr="00000000">
        <w:rPr>
          <w:rtl w:val="0"/>
        </w:rPr>
        <w:t xml:space="preserve">Počas účtovného obdobia neboli prijaté zmeny účtovných zásad a účtovných metód</w:t>
      </w:r>
    </w:p>
    <w:p w:rsidR="00000000" w:rsidDel="00000000" w:rsidP="00000000" w:rsidRDefault="00000000" w:rsidRPr="00000000" w14:paraId="0000007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5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5">
      <w:pPr>
        <w:pStyle w:val="Heading2"/>
        <w:numPr>
          <w:ilvl w:val="0"/>
          <w:numId w:val="5"/>
        </w:numPr>
        <w:ind w:left="360" w:hanging="360"/>
        <w:rPr/>
      </w:pPr>
      <w:r w:rsidDel="00000000" w:rsidR="00000000" w:rsidRPr="00000000">
        <w:rPr>
          <w:rtl w:val="0"/>
        </w:rPr>
        <w:t xml:space="preserve">Informácie o dotáciách a ich oceňovanie v účtovníctve</w:t>
      </w:r>
    </w:p>
    <w:p w:rsidR="00000000" w:rsidDel="00000000" w:rsidP="00000000" w:rsidRDefault="00000000" w:rsidRPr="00000000" w14:paraId="0000007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7">
      <w:pPr>
        <w:ind w:left="450" w:firstLine="0"/>
        <w:jc w:val="both"/>
        <w:rPr>
          <w:sz w:val="18"/>
          <w:szCs w:val="18"/>
        </w:rPr>
      </w:pPr>
      <w:r w:rsidDel="00000000" w:rsidR="00000000" w:rsidRPr="00000000">
        <w:rPr>
          <w:sz w:val="18"/>
          <w:szCs w:val="18"/>
          <w:rtl w:val="0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00000" w:rsidDel="00000000" w:rsidP="00000000" w:rsidRDefault="00000000" w:rsidRPr="00000000" w14:paraId="00000078">
      <w:pPr>
        <w:ind w:left="450" w:firstLine="0"/>
        <w:jc w:val="both"/>
        <w:rPr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9">
      <w:pPr>
        <w:ind w:left="450" w:firstLine="0"/>
        <w:jc w:val="both"/>
        <w:rPr>
          <w:sz w:val="18"/>
          <w:szCs w:val="18"/>
        </w:rPr>
      </w:pPr>
      <w:r w:rsidDel="00000000" w:rsidR="00000000" w:rsidRPr="00000000">
        <w:rPr>
          <w:sz w:val="18"/>
          <w:szCs w:val="18"/>
          <w:rtl w:val="0"/>
        </w:rPr>
        <w:t xml:space="preserve"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000000" w:rsidDel="00000000" w:rsidP="00000000" w:rsidRDefault="00000000" w:rsidRPr="00000000" w14:paraId="0000007A">
      <w:pPr>
        <w:ind w:left="450" w:firstLine="0"/>
        <w:jc w:val="both"/>
        <w:rPr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B">
      <w:pPr>
        <w:ind w:left="450" w:firstLine="0"/>
        <w:jc w:val="both"/>
        <w:rPr>
          <w:sz w:val="18"/>
          <w:szCs w:val="18"/>
        </w:rPr>
      </w:pPr>
      <w:r w:rsidDel="00000000" w:rsidR="00000000" w:rsidRPr="00000000">
        <w:rPr>
          <w:sz w:val="18"/>
          <w:szCs w:val="18"/>
          <w:rtl w:val="0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</w:t>
        <w:br w:type="textWrapping"/>
        <w:t xml:space="preserve">z tohto dlhodobého majetku. </w:t>
      </w:r>
    </w:p>
    <w:p w:rsidR="00000000" w:rsidDel="00000000" w:rsidP="00000000" w:rsidRDefault="00000000" w:rsidRPr="00000000" w14:paraId="0000007C">
      <w:pPr>
        <w:ind w:left="450" w:firstLine="0"/>
        <w:jc w:val="both"/>
        <w:rPr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D">
      <w:pPr>
        <w:ind w:left="450" w:firstLine="0"/>
        <w:jc w:val="both"/>
        <w:rPr>
          <w:sz w:val="18"/>
          <w:szCs w:val="18"/>
        </w:rPr>
      </w:pPr>
      <w:bookmarkStart w:colFirst="0" w:colLast="0" w:name="_30j0zll" w:id="1"/>
      <w:bookmarkEnd w:id="1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E">
      <w:pPr>
        <w:pStyle w:val="Heading2"/>
        <w:numPr>
          <w:ilvl w:val="0"/>
          <w:numId w:val="5"/>
        </w:numPr>
        <w:ind w:left="360" w:hanging="360"/>
        <w:rPr/>
      </w:pPr>
      <w:r w:rsidDel="00000000" w:rsidR="00000000" w:rsidRPr="00000000">
        <w:rPr>
          <w:rtl w:val="0"/>
        </w:rPr>
        <w:t xml:space="preserve">Informácia o opravách významných chýb minulých účtovných období</w:t>
      </w:r>
    </w:p>
    <w:p w:rsidR="00000000" w:rsidDel="00000000" w:rsidP="00000000" w:rsidRDefault="00000000" w:rsidRPr="00000000" w14:paraId="0000007F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0">
      <w:pPr>
        <w:ind w:left="450" w:firstLine="0"/>
        <w:jc w:val="both"/>
        <w:rPr>
          <w:sz w:val="18"/>
          <w:szCs w:val="18"/>
        </w:rPr>
      </w:pPr>
      <w:r w:rsidDel="00000000" w:rsidR="00000000" w:rsidRPr="00000000">
        <w:rPr>
          <w:sz w:val="18"/>
          <w:szCs w:val="18"/>
          <w:rtl w:val="0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000000" w:rsidDel="00000000" w:rsidP="00000000" w:rsidRDefault="00000000" w:rsidRPr="00000000" w14:paraId="00000081">
      <w:pPr>
        <w:ind w:left="450" w:firstLine="0"/>
        <w:jc w:val="both"/>
        <w:rPr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2">
      <w:pPr>
        <w:pStyle w:val="Heading1"/>
        <w:numPr>
          <w:ilvl w:val="0"/>
          <w:numId w:val="6"/>
        </w:numPr>
        <w:ind w:left="450" w:hanging="360"/>
        <w:rPr/>
      </w:pPr>
      <w:bookmarkStart w:colFirst="0" w:colLast="0" w:name="_1fob9te" w:id="2"/>
      <w:bookmarkEnd w:id="2"/>
      <w:r w:rsidDel="00000000" w:rsidR="00000000" w:rsidRPr="00000000">
        <w:rPr>
          <w:rtl w:val="0"/>
        </w:rPr>
        <w:t xml:space="preserve">informácie, ktoré vysvetľujú a dopĺňajú súvahu a výkaz ziskov a strát </w:t>
      </w:r>
    </w:p>
    <w:p w:rsidR="00000000" w:rsidDel="00000000" w:rsidP="00000000" w:rsidRDefault="00000000" w:rsidRPr="00000000" w14:paraId="00000083">
      <w:pPr>
        <w:pStyle w:val="Heading1"/>
        <w:ind w:left="36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4">
      <w:pPr>
        <w:pStyle w:val="Heading1"/>
        <w:ind w:left="360" w:hanging="36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6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6">
      <w:pPr>
        <w:pStyle w:val="Heading2"/>
        <w:ind w:left="36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7">
      <w:pPr>
        <w:pStyle w:val="Heading2"/>
        <w:numPr>
          <w:ilvl w:val="0"/>
          <w:numId w:val="3"/>
        </w:numPr>
        <w:ind w:left="360" w:hanging="360"/>
        <w:rPr/>
      </w:pPr>
      <w:r w:rsidDel="00000000" w:rsidR="00000000" w:rsidRPr="00000000">
        <w:rPr>
          <w:rtl w:val="0"/>
        </w:rPr>
        <w:t xml:space="preserve">Informácia o sume a dôvodoch vzniku jednotlivých položiek nákladov alebo výnosov, ktoré majú výnimočný rozsah alebo výskyt</w:t>
      </w:r>
    </w:p>
    <w:p w:rsidR="00000000" w:rsidDel="00000000" w:rsidP="00000000" w:rsidRDefault="00000000" w:rsidRPr="00000000" w14:paraId="00000088">
      <w:pPr>
        <w:rPr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9">
      <w:pPr>
        <w:ind w:left="426" w:firstLine="0"/>
        <w:jc w:val="both"/>
        <w:rPr>
          <w:sz w:val="18"/>
          <w:szCs w:val="18"/>
        </w:rPr>
      </w:pPr>
      <w:r w:rsidDel="00000000" w:rsidR="00000000" w:rsidRPr="00000000">
        <w:rPr>
          <w:sz w:val="18"/>
          <w:szCs w:val="18"/>
          <w:rtl w:val="0"/>
        </w:rPr>
        <w:t xml:space="preserve">Spoločnosť nedosiahla náklady a výnosy, ktoré by mali výnimočný rozsah a výskyt ako napríklad výnosy z predaja podniku alebo časti podniku, náklady z dôvodu predaja podniku alebo časti podniku, škody z dôvodu živelných pohrôm.</w:t>
      </w:r>
    </w:p>
    <w:p w:rsidR="00000000" w:rsidDel="00000000" w:rsidP="00000000" w:rsidRDefault="00000000" w:rsidRPr="00000000" w14:paraId="0000008A">
      <w:pPr>
        <w:ind w:left="426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B">
      <w:pPr>
        <w:pStyle w:val="Heading2"/>
        <w:numPr>
          <w:ilvl w:val="0"/>
          <w:numId w:val="3"/>
        </w:numPr>
        <w:ind w:left="360" w:hanging="360"/>
        <w:rPr/>
      </w:pPr>
      <w:r w:rsidDel="00000000" w:rsidR="00000000" w:rsidRPr="00000000">
        <w:rPr>
          <w:rtl w:val="0"/>
        </w:rPr>
        <w:t xml:space="preserve">Informácie o záväzkoch</w:t>
      </w:r>
    </w:p>
    <w:p w:rsidR="00000000" w:rsidDel="00000000" w:rsidP="00000000" w:rsidRDefault="00000000" w:rsidRPr="00000000" w14:paraId="0000008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6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86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Spoločnosť mená zabezpečené záväzky</w:t>
      </w:r>
    </w:p>
    <w:p w:rsidR="00000000" w:rsidDel="00000000" w:rsidP="00000000" w:rsidRDefault="00000000" w:rsidRPr="00000000" w14:paraId="0000008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6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F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6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1">
      <w:pPr>
        <w:pStyle w:val="Heading2"/>
        <w:numPr>
          <w:ilvl w:val="0"/>
          <w:numId w:val="3"/>
        </w:numPr>
        <w:ind w:left="360" w:hanging="360"/>
        <w:rPr/>
      </w:pPr>
      <w:r w:rsidDel="00000000" w:rsidR="00000000" w:rsidRPr="00000000">
        <w:rPr>
          <w:rtl w:val="0"/>
        </w:rPr>
        <w:t xml:space="preserve">Informácie o vlastných akciách:</w:t>
      </w:r>
    </w:p>
    <w:p w:rsidR="00000000" w:rsidDel="00000000" w:rsidP="00000000" w:rsidRDefault="00000000" w:rsidRPr="00000000" w14:paraId="0000009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6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6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Spoločnosť nemá vlastné akcie</w:t>
      </w:r>
    </w:p>
    <w:p w:rsidR="00000000" w:rsidDel="00000000" w:rsidP="00000000" w:rsidRDefault="00000000" w:rsidRPr="00000000" w14:paraId="0000009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6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5">
      <w:pPr>
        <w:spacing w:after="200" w:line="276" w:lineRule="auto"/>
        <w:rPr>
          <w:b w:val="1"/>
          <w:sz w:val="18"/>
          <w:szCs w:val="18"/>
        </w:rPr>
      </w:pPr>
      <w:bookmarkStart w:colFirst="0" w:colLast="0" w:name="_3znysh7" w:id="3"/>
      <w:bookmarkEnd w:id="3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6">
      <w:pPr>
        <w:pStyle w:val="Heading2"/>
        <w:numPr>
          <w:ilvl w:val="0"/>
          <w:numId w:val="3"/>
        </w:numPr>
        <w:ind w:left="360" w:hanging="360"/>
        <w:rPr/>
      </w:pPr>
      <w:r w:rsidDel="00000000" w:rsidR="00000000" w:rsidRPr="00000000">
        <w:rPr>
          <w:rtl w:val="0"/>
        </w:rPr>
        <w:t xml:space="preserve">Informácie o orgánoch účtovnej jednotky</w:t>
      </w:r>
    </w:p>
    <w:p w:rsidR="00000000" w:rsidDel="00000000" w:rsidP="00000000" w:rsidRDefault="00000000" w:rsidRPr="00000000" w14:paraId="0000009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6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8">
      <w:pPr>
        <w:keepNext w:val="0"/>
        <w:keepLines w:val="0"/>
        <w:pageBreakBefore w:val="0"/>
        <w:widowControl w:val="1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86" w:right="0" w:hanging="360"/>
        <w:jc w:val="both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Výška jednotlivých druhov záruk alebo iných zabezpečení poskytnutých pre členov štatutárneho orgánu, dozorného orgánu a iného orgánu ÚJ:</w:t>
      </w:r>
    </w:p>
    <w:p w:rsidR="00000000" w:rsidDel="00000000" w:rsidP="00000000" w:rsidRDefault="00000000" w:rsidRPr="00000000" w14:paraId="00000099">
      <w:pPr>
        <w:keepNext w:val="0"/>
        <w:keepLines w:val="0"/>
        <w:pageBreakBefore w:val="0"/>
        <w:widowControl w:val="1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86" w:right="0" w:hanging="360"/>
        <w:jc w:val="both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Informácia o pôžičkách:</w:t>
      </w:r>
    </w:p>
    <w:p w:rsidR="00000000" w:rsidDel="00000000" w:rsidP="00000000" w:rsidRDefault="00000000" w:rsidRPr="00000000" w14:paraId="0000009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86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Celková suma poskytnutých pôžičiek k 31.12. bežného obdobia podľa jednotlivých orgánov:</w:t>
      </w:r>
    </w:p>
    <w:p w:rsidR="00000000" w:rsidDel="00000000" w:rsidP="00000000" w:rsidRDefault="00000000" w:rsidRPr="00000000" w14:paraId="0000009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86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ab/>
        <w:t xml:space="preserve">Konateľ:</w:t>
      </w:r>
    </w:p>
    <w:p w:rsidR="00000000" w:rsidDel="00000000" w:rsidP="00000000" w:rsidRDefault="00000000" w:rsidRPr="00000000" w14:paraId="0000009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86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ab/>
        <w:t xml:space="preserve">Predseda predstavenstva:</w:t>
      </w:r>
    </w:p>
    <w:p w:rsidR="00000000" w:rsidDel="00000000" w:rsidP="00000000" w:rsidRDefault="00000000" w:rsidRPr="00000000" w14:paraId="0000009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86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ab/>
        <w:t xml:space="preserve">Člen predstavenstva:</w:t>
      </w:r>
    </w:p>
    <w:p w:rsidR="00000000" w:rsidDel="00000000" w:rsidP="00000000" w:rsidRDefault="00000000" w:rsidRPr="00000000" w14:paraId="0000009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86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Celková suma splatených pôžičiek za posledné účtovné obdobie:</w:t>
      </w:r>
    </w:p>
    <w:p w:rsidR="00000000" w:rsidDel="00000000" w:rsidP="00000000" w:rsidRDefault="00000000" w:rsidRPr="00000000" w14:paraId="0000009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86" w:right="0" w:firstLine="63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Konateľ:</w:t>
      </w:r>
    </w:p>
    <w:p w:rsidR="00000000" w:rsidDel="00000000" w:rsidP="00000000" w:rsidRDefault="00000000" w:rsidRPr="00000000" w14:paraId="000000A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86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ab/>
        <w:t xml:space="preserve">Predseda predstavenstva:</w:t>
      </w:r>
    </w:p>
    <w:p w:rsidR="00000000" w:rsidDel="00000000" w:rsidP="00000000" w:rsidRDefault="00000000" w:rsidRPr="00000000" w14:paraId="000000A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86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ab/>
        <w:t xml:space="preserve">Člen predstavenstva:</w:t>
      </w:r>
    </w:p>
    <w:p w:rsidR="00000000" w:rsidDel="00000000" w:rsidP="00000000" w:rsidRDefault="00000000" w:rsidRPr="00000000" w14:paraId="000000A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86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Celková suma odpustených pôžičiek a odpísaných pôžičiek k 31.12. bežného obdobia:</w:t>
      </w:r>
    </w:p>
    <w:p w:rsidR="00000000" w:rsidDel="00000000" w:rsidP="00000000" w:rsidRDefault="00000000" w:rsidRPr="00000000" w14:paraId="000000A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86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V roku 2019 nebola odpustené ani odpísané žiadne pôžičky</w:t>
      </w:r>
    </w:p>
    <w:p w:rsidR="00000000" w:rsidDel="00000000" w:rsidP="00000000" w:rsidRDefault="00000000" w:rsidRPr="00000000" w14:paraId="000000A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86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highlight w:val="yellow"/>
          <w:u w:val="non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5">
      <w:pPr>
        <w:pStyle w:val="Heading2"/>
        <w:numPr>
          <w:ilvl w:val="0"/>
          <w:numId w:val="3"/>
        </w:numPr>
        <w:ind w:left="360" w:hanging="360"/>
        <w:rPr/>
      </w:pPr>
      <w:r w:rsidDel="00000000" w:rsidR="00000000" w:rsidRPr="00000000">
        <w:rPr>
          <w:rtl w:val="0"/>
        </w:rPr>
        <w:t xml:space="preserve">Informácie o povinnostiach účtovnej jednotky </w:t>
      </w:r>
    </w:p>
    <w:p w:rsidR="00000000" w:rsidDel="00000000" w:rsidP="00000000" w:rsidRDefault="00000000" w:rsidRPr="00000000" w14:paraId="000000A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66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Spoločnosť neeviduje iné aktíva a iné pasíva ani ostatné významné povinnosti a významné podmienené záväzky</w:t>
      </w:r>
    </w:p>
    <w:p w:rsidR="00000000" w:rsidDel="00000000" w:rsidP="00000000" w:rsidRDefault="00000000" w:rsidRPr="00000000" w14:paraId="000000A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6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6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D">
      <w:pPr>
        <w:pStyle w:val="Heading1"/>
        <w:ind w:left="360" w:hanging="360"/>
        <w:rPr/>
      </w:pPr>
      <w:r w:rsidDel="00000000" w:rsidR="00000000" w:rsidRPr="00000000">
        <w:rPr>
          <w:rtl w:val="0"/>
        </w:rPr>
        <w:t xml:space="preserve">6. </w:t>
      </w:r>
      <w:r w:rsidDel="00000000" w:rsidR="00000000" w:rsidRPr="00000000">
        <w:rPr>
          <w:smallCaps w:val="0"/>
          <w:rtl w:val="0"/>
        </w:rPr>
        <w:t xml:space="preserve">Informácia o udelení výlučného práva alebo osobitného práva, ktorým sa udelilo právo poskytovať služby vo verejnom záujme</w:t>
      </w: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A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F">
      <w:pPr>
        <w:rPr>
          <w:sz w:val="18"/>
          <w:szCs w:val="18"/>
        </w:rPr>
      </w:pPr>
      <w:r w:rsidDel="00000000" w:rsidR="00000000" w:rsidRPr="00000000">
        <w:rPr>
          <w:sz w:val="18"/>
          <w:szCs w:val="18"/>
          <w:rtl w:val="0"/>
        </w:rPr>
        <w:t xml:space="preserve">Spoločnosti nebolo udelené výlučného právo alebo osobitné práva, ktorým sa udelilo právo poskytovať služby vo verejnom záujme.</w:t>
      </w:r>
    </w:p>
    <w:sectPr>
      <w:headerReference r:id="rId6" w:type="default"/>
      <w:headerReference r:id="rId7" w:type="first"/>
      <w:headerReference r:id="rId8" w:type="even"/>
      <w:footerReference r:id="rId9" w:type="default"/>
      <w:footerReference r:id="rId10" w:type="first"/>
      <w:footerReference r:id="rId11" w:type="even"/>
      <w:pgSz w:h="16838" w:w="11906" w:orient="portrait"/>
      <w:pgMar w:bottom="1134" w:top="1110" w:left="1418" w:right="991" w:header="426" w:footer="4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DA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536"/>
        <w:tab w:val="right" w:pos="9072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DB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536"/>
        <w:tab w:val="right" w:pos="9072"/>
        <w:tab w:val="right" w:pos="921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DC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536"/>
        <w:tab w:val="right" w:pos="9072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B0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left"/>
      <w:rPr>
        <w:sz w:val="18"/>
        <w:szCs w:val="18"/>
      </w:rPr>
    </w:pPr>
    <w:r w:rsidDel="00000000" w:rsidR="00000000" w:rsidRPr="00000000">
      <w:rPr>
        <w:rtl w:val="0"/>
      </w:rPr>
    </w:r>
  </w:p>
  <w:tbl>
    <w:tblPr>
      <w:tblStyle w:val="Table2"/>
      <w:tblW w:w="9193.999999999998" w:type="dxa"/>
      <w:jc w:val="center"/>
      <w:tblLayout w:type="fixed"/>
      <w:tblLook w:val="0000"/>
    </w:tblPr>
    <w:tblGrid>
      <w:gridCol w:w="2785"/>
      <w:gridCol w:w="350"/>
      <w:gridCol w:w="534"/>
      <w:gridCol w:w="248"/>
      <w:gridCol w:w="249"/>
      <w:gridCol w:w="249"/>
      <w:gridCol w:w="249"/>
      <w:gridCol w:w="249"/>
      <w:gridCol w:w="249"/>
      <w:gridCol w:w="249"/>
      <w:gridCol w:w="249"/>
      <w:gridCol w:w="249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tblGridChange w:id="0">
        <w:tblGrid>
          <w:gridCol w:w="2785"/>
          <w:gridCol w:w="350"/>
          <w:gridCol w:w="534"/>
          <w:gridCol w:w="248"/>
          <w:gridCol w:w="249"/>
          <w:gridCol w:w="249"/>
          <w:gridCol w:w="249"/>
          <w:gridCol w:w="249"/>
          <w:gridCol w:w="249"/>
          <w:gridCol w:w="249"/>
          <w:gridCol w:w="249"/>
          <w:gridCol w:w="249"/>
          <w:gridCol w:w="485"/>
          <w:gridCol w:w="280"/>
          <w:gridCol w:w="280"/>
          <w:gridCol w:w="280"/>
          <w:gridCol w:w="280"/>
          <w:gridCol w:w="280"/>
          <w:gridCol w:w="280"/>
          <w:gridCol w:w="280"/>
          <w:gridCol w:w="280"/>
          <w:gridCol w:w="280"/>
          <w:gridCol w:w="280"/>
        </w:tblGrid>
      </w:tblGridChange>
    </w:tblGrid>
    <w:tr>
      <w:trPr>
        <w:cantSplit w:val="0"/>
        <w:trHeight w:val="330" w:hRule="atLeast"/>
        <w:tblHeader w:val="0"/>
      </w:trPr>
      <w:tc>
        <w:tcPr>
          <w:tcBorders>
            <w:top w:color="000000" w:space="0" w:sz="4" w:val="single"/>
            <w:left w:color="000000" w:space="0" w:sz="4" w:val="single"/>
            <w:bottom w:color="000000" w:space="0" w:sz="4" w:val="single"/>
            <w:right w:color="000000" w:space="0" w:sz="4" w:val="single"/>
          </w:tcBorders>
          <w:vAlign w:val="bottom"/>
        </w:tcPr>
        <w:p w:rsidR="00000000" w:rsidDel="00000000" w:rsidP="00000000" w:rsidRDefault="00000000" w:rsidRPr="00000000" w14:paraId="000000B1">
          <w:pPr>
            <w:rPr>
              <w:color w:val="000000"/>
            </w:rPr>
          </w:pPr>
          <w:r w:rsidDel="00000000" w:rsidR="00000000" w:rsidRPr="00000000">
            <w:rPr>
              <w:color w:val="000000"/>
              <w:rtl w:val="0"/>
            </w:rPr>
            <w:t xml:space="preserve">Poznámky Úč MÚJ 3 - 01</w:t>
          </w:r>
        </w:p>
      </w:tc>
      <w:tc>
        <w:tcPr>
          <w:tcBorders>
            <w:top w:color="000000" w:space="0" w:sz="0" w:val="nil"/>
            <w:left w:color="000000" w:space="0" w:sz="0" w:val="nil"/>
            <w:bottom w:color="000000" w:space="0" w:sz="0" w:val="nil"/>
            <w:right w:color="000000" w:space="0" w:sz="0" w:val="nil"/>
          </w:tcBorders>
        </w:tcPr>
        <w:p w:rsidR="00000000" w:rsidDel="00000000" w:rsidP="00000000" w:rsidRDefault="00000000" w:rsidRPr="00000000" w14:paraId="000000B2">
          <w:pPr>
            <w:jc w:val="center"/>
            <w:rPr>
              <w:color w:val="000000"/>
            </w:rPr>
          </w:pPr>
          <w:r w:rsidDel="00000000" w:rsidR="00000000" w:rsidRPr="00000000">
            <w:rPr>
              <w:rtl w:val="0"/>
            </w:rPr>
          </w:r>
        </w:p>
      </w:tc>
      <w:tc>
        <w:tcPr>
          <w:tcBorders>
            <w:top w:color="000000" w:space="0" w:sz="0" w:val="nil"/>
            <w:left w:color="000000" w:space="0" w:sz="0" w:val="nil"/>
            <w:bottom w:color="000000" w:space="0" w:sz="0" w:val="nil"/>
            <w:right w:color="000000" w:space="0" w:sz="4" w:val="single"/>
          </w:tcBorders>
          <w:vAlign w:val="center"/>
        </w:tcPr>
        <w:p w:rsidR="00000000" w:rsidDel="00000000" w:rsidP="00000000" w:rsidRDefault="00000000" w:rsidRPr="00000000" w14:paraId="000000B3">
          <w:pPr>
            <w:jc w:val="center"/>
            <w:rPr>
              <w:color w:val="000000"/>
            </w:rPr>
          </w:pPr>
          <w:r w:rsidDel="00000000" w:rsidR="00000000" w:rsidRPr="00000000">
            <w:rPr>
              <w:color w:val="000000"/>
              <w:rtl w:val="0"/>
            </w:rPr>
            <w:t xml:space="preserve">IČO</w:t>
          </w:r>
        </w:p>
      </w:tc>
      <w:tc>
        <w:tcPr>
          <w:tcBorders>
            <w:top w:color="000000" w:space="0" w:sz="4" w:val="single"/>
            <w:left w:color="000000" w:space="0" w:sz="4" w:val="single"/>
            <w:bottom w:color="000000" w:space="0" w:sz="4" w:val="single"/>
            <w:right w:color="000000" w:space="0" w:sz="4" w:val="single"/>
          </w:tcBorders>
          <w:vAlign w:val="center"/>
        </w:tcPr>
        <w:p w:rsidR="00000000" w:rsidDel="00000000" w:rsidP="00000000" w:rsidRDefault="00000000" w:rsidRPr="00000000" w14:paraId="000000B4">
          <w:pPr>
            <w:rPr>
              <w:color w:val="000000"/>
            </w:rPr>
          </w:pPr>
          <w:r w:rsidDel="00000000" w:rsidR="00000000" w:rsidRPr="00000000">
            <w:rPr>
              <w:rtl w:val="0"/>
            </w:rPr>
            <w:t xml:space="preserve">5</w:t>
          </w:r>
          <w:r w:rsidDel="00000000" w:rsidR="00000000" w:rsidRPr="00000000">
            <w:rPr>
              <w:rtl w:val="0"/>
            </w:rPr>
          </w:r>
        </w:p>
      </w:tc>
      <w:tc>
        <w:tcPr>
          <w:tcBorders>
            <w:top w:color="000000" w:space="0" w:sz="4" w:val="single"/>
            <w:left w:color="000000" w:space="0" w:sz="4" w:val="single"/>
            <w:bottom w:color="000000" w:space="0" w:sz="4" w:val="single"/>
            <w:right w:color="000000" w:space="0" w:sz="4" w:val="single"/>
          </w:tcBorders>
          <w:vAlign w:val="center"/>
        </w:tcPr>
        <w:p w:rsidR="00000000" w:rsidDel="00000000" w:rsidP="00000000" w:rsidRDefault="00000000" w:rsidRPr="00000000" w14:paraId="000000B5">
          <w:pPr>
            <w:rPr>
              <w:color w:val="000000"/>
            </w:rPr>
          </w:pPr>
          <w:r w:rsidDel="00000000" w:rsidR="00000000" w:rsidRPr="00000000">
            <w:rPr>
              <w:rtl w:val="0"/>
            </w:rPr>
            <w:t xml:space="preserve">3</w:t>
          </w:r>
          <w:r w:rsidDel="00000000" w:rsidR="00000000" w:rsidRPr="00000000">
            <w:rPr>
              <w:rtl w:val="0"/>
            </w:rPr>
          </w:r>
        </w:p>
      </w:tc>
      <w:tc>
        <w:tcPr>
          <w:tcBorders>
            <w:top w:color="000000" w:space="0" w:sz="4" w:val="single"/>
            <w:left w:color="000000" w:space="0" w:sz="4" w:val="single"/>
            <w:bottom w:color="000000" w:space="0" w:sz="4" w:val="single"/>
            <w:right w:color="000000" w:space="0" w:sz="4" w:val="single"/>
          </w:tcBorders>
          <w:vAlign w:val="center"/>
        </w:tcPr>
        <w:p w:rsidR="00000000" w:rsidDel="00000000" w:rsidP="00000000" w:rsidRDefault="00000000" w:rsidRPr="00000000" w14:paraId="000000B6">
          <w:pPr>
            <w:rPr>
              <w:color w:val="000000"/>
            </w:rPr>
          </w:pPr>
          <w:r w:rsidDel="00000000" w:rsidR="00000000" w:rsidRPr="00000000">
            <w:rPr>
              <w:rtl w:val="0"/>
            </w:rPr>
            <w:t xml:space="preserve">8</w:t>
          </w:r>
          <w:r w:rsidDel="00000000" w:rsidR="00000000" w:rsidRPr="00000000">
            <w:rPr>
              <w:rtl w:val="0"/>
            </w:rPr>
          </w:r>
        </w:p>
      </w:tc>
      <w:tc>
        <w:tcPr>
          <w:tcBorders>
            <w:top w:color="000000" w:space="0" w:sz="4" w:val="single"/>
            <w:left w:color="000000" w:space="0" w:sz="4" w:val="single"/>
            <w:bottom w:color="000000" w:space="0" w:sz="4" w:val="single"/>
            <w:right w:color="000000" w:space="0" w:sz="4" w:val="single"/>
          </w:tcBorders>
          <w:vAlign w:val="center"/>
        </w:tcPr>
        <w:p w:rsidR="00000000" w:rsidDel="00000000" w:rsidP="00000000" w:rsidRDefault="00000000" w:rsidRPr="00000000" w14:paraId="000000B7">
          <w:pPr>
            <w:rPr>
              <w:color w:val="000000"/>
            </w:rPr>
          </w:pPr>
          <w:r w:rsidDel="00000000" w:rsidR="00000000" w:rsidRPr="00000000">
            <w:rPr>
              <w:rtl w:val="0"/>
            </w:rPr>
            <w:t xml:space="preserve">7</w:t>
          </w:r>
          <w:r w:rsidDel="00000000" w:rsidR="00000000" w:rsidRPr="00000000">
            <w:rPr>
              <w:rtl w:val="0"/>
            </w:rPr>
          </w:r>
        </w:p>
      </w:tc>
      <w:tc>
        <w:tcPr>
          <w:tcBorders>
            <w:top w:color="000000" w:space="0" w:sz="4" w:val="single"/>
            <w:left w:color="000000" w:space="0" w:sz="4" w:val="single"/>
            <w:bottom w:color="000000" w:space="0" w:sz="4" w:val="single"/>
            <w:right w:color="000000" w:space="0" w:sz="4" w:val="single"/>
          </w:tcBorders>
          <w:vAlign w:val="center"/>
        </w:tcPr>
        <w:p w:rsidR="00000000" w:rsidDel="00000000" w:rsidP="00000000" w:rsidRDefault="00000000" w:rsidRPr="00000000" w14:paraId="000000B8">
          <w:pPr>
            <w:rPr>
              <w:color w:val="000000"/>
            </w:rPr>
          </w:pPr>
          <w:r w:rsidDel="00000000" w:rsidR="00000000" w:rsidRPr="00000000">
            <w:rPr>
              <w:rtl w:val="0"/>
            </w:rPr>
            <w:t xml:space="preserve">7</w:t>
          </w:r>
          <w:r w:rsidDel="00000000" w:rsidR="00000000" w:rsidRPr="00000000">
            <w:rPr>
              <w:rtl w:val="0"/>
            </w:rPr>
          </w:r>
        </w:p>
      </w:tc>
      <w:tc>
        <w:tcPr>
          <w:tcBorders>
            <w:top w:color="000000" w:space="0" w:sz="4" w:val="single"/>
            <w:left w:color="000000" w:space="0" w:sz="4" w:val="single"/>
            <w:bottom w:color="000000" w:space="0" w:sz="4" w:val="single"/>
            <w:right w:color="000000" w:space="0" w:sz="4" w:val="single"/>
          </w:tcBorders>
          <w:vAlign w:val="center"/>
        </w:tcPr>
        <w:p w:rsidR="00000000" w:rsidDel="00000000" w:rsidP="00000000" w:rsidRDefault="00000000" w:rsidRPr="00000000" w14:paraId="000000B9">
          <w:pPr>
            <w:rPr>
              <w:color w:val="000000"/>
            </w:rPr>
          </w:pPr>
          <w:r w:rsidDel="00000000" w:rsidR="00000000" w:rsidRPr="00000000">
            <w:rPr>
              <w:rtl w:val="0"/>
            </w:rPr>
            <w:t xml:space="preserve">0</w:t>
          </w:r>
          <w:r w:rsidDel="00000000" w:rsidR="00000000" w:rsidRPr="00000000">
            <w:rPr>
              <w:rtl w:val="0"/>
            </w:rPr>
          </w:r>
        </w:p>
      </w:tc>
      <w:tc>
        <w:tcPr>
          <w:tcBorders>
            <w:top w:color="000000" w:space="0" w:sz="4" w:val="single"/>
            <w:left w:color="000000" w:space="0" w:sz="4" w:val="single"/>
            <w:bottom w:color="000000" w:space="0" w:sz="4" w:val="single"/>
            <w:right w:color="000000" w:space="0" w:sz="4" w:val="single"/>
          </w:tcBorders>
          <w:vAlign w:val="center"/>
        </w:tcPr>
        <w:p w:rsidR="00000000" w:rsidDel="00000000" w:rsidP="00000000" w:rsidRDefault="00000000" w:rsidRPr="00000000" w14:paraId="000000BA">
          <w:pPr>
            <w:rPr>
              <w:color w:val="000000"/>
            </w:rPr>
          </w:pPr>
          <w:r w:rsidDel="00000000" w:rsidR="00000000" w:rsidRPr="00000000">
            <w:rPr>
              <w:rtl w:val="0"/>
            </w:rPr>
            <w:t xml:space="preserve">1</w:t>
          </w:r>
          <w:r w:rsidDel="00000000" w:rsidR="00000000" w:rsidRPr="00000000">
            <w:rPr>
              <w:rtl w:val="0"/>
            </w:rPr>
          </w:r>
        </w:p>
      </w:tc>
      <w:tc>
        <w:tcPr>
          <w:tcBorders>
            <w:top w:color="000000" w:space="0" w:sz="4" w:val="single"/>
            <w:left w:color="000000" w:space="0" w:sz="4" w:val="single"/>
            <w:bottom w:color="000000" w:space="0" w:sz="4" w:val="single"/>
            <w:right w:color="000000" w:space="0" w:sz="4" w:val="single"/>
          </w:tcBorders>
          <w:vAlign w:val="center"/>
        </w:tcPr>
        <w:p w:rsidR="00000000" w:rsidDel="00000000" w:rsidP="00000000" w:rsidRDefault="00000000" w:rsidRPr="00000000" w14:paraId="000000BB">
          <w:pPr>
            <w:rPr>
              <w:color w:val="000000"/>
            </w:rPr>
          </w:pPr>
          <w:r w:rsidDel="00000000" w:rsidR="00000000" w:rsidRPr="00000000">
            <w:rPr>
              <w:rtl w:val="0"/>
            </w:rPr>
            <w:t xml:space="preserve">2</w:t>
          </w:r>
          <w:r w:rsidDel="00000000" w:rsidR="00000000" w:rsidRPr="00000000">
            <w:rPr>
              <w:rtl w:val="0"/>
            </w:rPr>
          </w:r>
        </w:p>
      </w:tc>
      <w:tc>
        <w:tcPr>
          <w:tcBorders>
            <w:top w:color="000000" w:space="0" w:sz="0" w:val="nil"/>
            <w:left w:color="000000" w:space="0" w:sz="0" w:val="nil"/>
            <w:bottom w:color="000000" w:space="0" w:sz="0" w:val="nil"/>
            <w:right w:color="000000" w:space="0" w:sz="0" w:val="nil"/>
          </w:tcBorders>
          <w:vAlign w:val="center"/>
        </w:tcPr>
        <w:p w:rsidR="00000000" w:rsidDel="00000000" w:rsidP="00000000" w:rsidRDefault="00000000" w:rsidRPr="00000000" w14:paraId="000000BC">
          <w:pPr>
            <w:rPr>
              <w:color w:val="000000"/>
            </w:rPr>
          </w:pPr>
          <w:r w:rsidDel="00000000" w:rsidR="00000000" w:rsidRPr="00000000">
            <w:rPr>
              <w:rtl w:val="0"/>
            </w:rPr>
          </w:r>
        </w:p>
      </w:tc>
      <w:tc>
        <w:tcPr>
          <w:tcBorders>
            <w:top w:color="000000" w:space="0" w:sz="0" w:val="nil"/>
            <w:left w:color="000000" w:space="0" w:sz="0" w:val="nil"/>
            <w:bottom w:color="000000" w:space="0" w:sz="0" w:val="nil"/>
            <w:right w:color="000000" w:space="0" w:sz="0" w:val="nil"/>
          </w:tcBorders>
          <w:vAlign w:val="center"/>
        </w:tcPr>
        <w:p w:rsidR="00000000" w:rsidDel="00000000" w:rsidP="00000000" w:rsidRDefault="00000000" w:rsidRPr="00000000" w14:paraId="000000BD">
          <w:pPr>
            <w:rPr>
              <w:color w:val="000000"/>
            </w:rPr>
          </w:pPr>
          <w:r w:rsidDel="00000000" w:rsidR="00000000" w:rsidRPr="00000000">
            <w:rPr>
              <w:color w:val="000000"/>
              <w:rtl w:val="0"/>
            </w:rPr>
            <w:t xml:space="preserve">DIČ</w:t>
          </w:r>
        </w:p>
      </w:tc>
      <w:tc>
        <w:tcPr>
          <w:tcBorders>
            <w:top w:color="000000" w:space="0" w:sz="4" w:val="single"/>
            <w:left w:color="000000" w:space="0" w:sz="4" w:val="single"/>
            <w:bottom w:color="000000" w:space="0" w:sz="4" w:val="single"/>
            <w:right w:color="000000" w:space="0" w:sz="4" w:val="single"/>
          </w:tcBorders>
          <w:vAlign w:val="center"/>
        </w:tcPr>
        <w:p w:rsidR="00000000" w:rsidDel="00000000" w:rsidP="00000000" w:rsidRDefault="00000000" w:rsidRPr="00000000" w14:paraId="000000BE">
          <w:pPr>
            <w:jc w:val="center"/>
            <w:rPr/>
          </w:pPr>
          <w:r w:rsidDel="00000000" w:rsidR="00000000" w:rsidRPr="00000000">
            <w:rPr>
              <w:rtl w:val="0"/>
            </w:rPr>
            <w:t xml:space="preserve">2</w:t>
          </w:r>
        </w:p>
      </w:tc>
      <w:tc>
        <w:tcPr>
          <w:tcBorders>
            <w:top w:color="000000" w:space="0" w:sz="4" w:val="single"/>
            <w:left w:color="000000" w:space="0" w:sz="0" w:val="nil"/>
            <w:bottom w:color="000000" w:space="0" w:sz="4" w:val="single"/>
            <w:right w:color="000000" w:space="0" w:sz="4" w:val="single"/>
          </w:tcBorders>
          <w:vAlign w:val="center"/>
        </w:tcPr>
        <w:p w:rsidR="00000000" w:rsidDel="00000000" w:rsidP="00000000" w:rsidRDefault="00000000" w:rsidRPr="00000000" w14:paraId="000000BF">
          <w:pPr>
            <w:jc w:val="center"/>
            <w:rPr/>
          </w:pPr>
          <w:r w:rsidDel="00000000" w:rsidR="00000000" w:rsidRPr="00000000">
            <w:rPr>
              <w:rtl w:val="0"/>
            </w:rPr>
            <w:t xml:space="preserve">1</w:t>
          </w:r>
        </w:p>
      </w:tc>
      <w:tc>
        <w:tcPr>
          <w:tcBorders>
            <w:top w:color="000000" w:space="0" w:sz="4" w:val="single"/>
            <w:left w:color="000000" w:space="0" w:sz="0" w:val="nil"/>
            <w:bottom w:color="000000" w:space="0" w:sz="4" w:val="single"/>
            <w:right w:color="000000" w:space="0" w:sz="4" w:val="single"/>
          </w:tcBorders>
          <w:vAlign w:val="center"/>
        </w:tcPr>
        <w:p w:rsidR="00000000" w:rsidDel="00000000" w:rsidP="00000000" w:rsidRDefault="00000000" w:rsidRPr="00000000" w14:paraId="000000C0">
          <w:pPr>
            <w:jc w:val="center"/>
            <w:rPr/>
          </w:pPr>
          <w:r w:rsidDel="00000000" w:rsidR="00000000" w:rsidRPr="00000000">
            <w:rPr>
              <w:rtl w:val="0"/>
            </w:rPr>
            <w:t xml:space="preserve">2</w:t>
          </w:r>
        </w:p>
      </w:tc>
      <w:tc>
        <w:tcPr>
          <w:tcBorders>
            <w:top w:color="000000" w:space="0" w:sz="4" w:val="single"/>
            <w:left w:color="000000" w:space="0" w:sz="0" w:val="nil"/>
            <w:bottom w:color="000000" w:space="0" w:sz="4" w:val="single"/>
            <w:right w:color="000000" w:space="0" w:sz="4" w:val="single"/>
          </w:tcBorders>
          <w:vAlign w:val="center"/>
        </w:tcPr>
        <w:p w:rsidR="00000000" w:rsidDel="00000000" w:rsidP="00000000" w:rsidRDefault="00000000" w:rsidRPr="00000000" w14:paraId="000000C1">
          <w:pPr>
            <w:jc w:val="center"/>
            <w:rPr/>
          </w:pPr>
          <w:r w:rsidDel="00000000" w:rsidR="00000000" w:rsidRPr="00000000">
            <w:rPr>
              <w:rtl w:val="0"/>
            </w:rPr>
            <w:t xml:space="preserve">1</w:t>
          </w:r>
        </w:p>
      </w:tc>
      <w:tc>
        <w:tcPr>
          <w:tcBorders>
            <w:top w:color="000000" w:space="0" w:sz="4" w:val="single"/>
            <w:left w:color="000000" w:space="0" w:sz="0" w:val="nil"/>
            <w:bottom w:color="000000" w:space="0" w:sz="4" w:val="single"/>
            <w:right w:color="000000" w:space="0" w:sz="4" w:val="single"/>
          </w:tcBorders>
          <w:vAlign w:val="center"/>
        </w:tcPr>
        <w:p w:rsidR="00000000" w:rsidDel="00000000" w:rsidP="00000000" w:rsidRDefault="00000000" w:rsidRPr="00000000" w14:paraId="000000C2">
          <w:pPr>
            <w:jc w:val="center"/>
            <w:rPr/>
          </w:pPr>
          <w:r w:rsidDel="00000000" w:rsidR="00000000" w:rsidRPr="00000000">
            <w:rPr>
              <w:rtl w:val="0"/>
            </w:rPr>
            <w:t xml:space="preserve">5</w:t>
          </w:r>
        </w:p>
      </w:tc>
      <w:tc>
        <w:tcPr>
          <w:tcBorders>
            <w:top w:color="000000" w:space="0" w:sz="4" w:val="single"/>
            <w:left w:color="000000" w:space="0" w:sz="0" w:val="nil"/>
            <w:bottom w:color="000000" w:space="0" w:sz="4" w:val="single"/>
            <w:right w:color="000000" w:space="0" w:sz="4" w:val="single"/>
          </w:tcBorders>
          <w:vAlign w:val="center"/>
        </w:tcPr>
        <w:p w:rsidR="00000000" w:rsidDel="00000000" w:rsidP="00000000" w:rsidRDefault="00000000" w:rsidRPr="00000000" w14:paraId="000000C3">
          <w:pPr>
            <w:jc w:val="center"/>
            <w:rPr/>
          </w:pPr>
          <w:r w:rsidDel="00000000" w:rsidR="00000000" w:rsidRPr="00000000">
            <w:rPr>
              <w:rtl w:val="0"/>
            </w:rPr>
            <w:t xml:space="preserve">3</w:t>
          </w:r>
        </w:p>
      </w:tc>
      <w:tc>
        <w:tcPr>
          <w:tcBorders>
            <w:top w:color="000000" w:space="0" w:sz="4" w:val="single"/>
            <w:left w:color="000000" w:space="0" w:sz="0" w:val="nil"/>
            <w:bottom w:color="000000" w:space="0" w:sz="4" w:val="single"/>
            <w:right w:color="000000" w:space="0" w:sz="4" w:val="single"/>
          </w:tcBorders>
          <w:vAlign w:val="center"/>
        </w:tcPr>
        <w:p w:rsidR="00000000" w:rsidDel="00000000" w:rsidP="00000000" w:rsidRDefault="00000000" w:rsidRPr="00000000" w14:paraId="000000C4">
          <w:pPr>
            <w:jc w:val="center"/>
            <w:rPr/>
          </w:pPr>
          <w:r w:rsidDel="00000000" w:rsidR="00000000" w:rsidRPr="00000000">
            <w:rPr>
              <w:rtl w:val="0"/>
            </w:rPr>
            <w:t xml:space="preserve">0</w:t>
          </w:r>
        </w:p>
      </w:tc>
      <w:tc>
        <w:tcPr>
          <w:tcBorders>
            <w:top w:color="000000" w:space="0" w:sz="4" w:val="single"/>
            <w:left w:color="000000" w:space="0" w:sz="0" w:val="nil"/>
            <w:bottom w:color="000000" w:space="0" w:sz="4" w:val="single"/>
            <w:right w:color="000000" w:space="0" w:sz="4" w:val="single"/>
          </w:tcBorders>
          <w:vAlign w:val="center"/>
        </w:tcPr>
        <w:p w:rsidR="00000000" w:rsidDel="00000000" w:rsidP="00000000" w:rsidRDefault="00000000" w:rsidRPr="00000000" w14:paraId="000000C5">
          <w:pPr>
            <w:jc w:val="center"/>
            <w:rPr/>
          </w:pPr>
          <w:r w:rsidDel="00000000" w:rsidR="00000000" w:rsidRPr="00000000">
            <w:rPr>
              <w:rtl w:val="0"/>
            </w:rPr>
            <w:t xml:space="preserve">8</w:t>
          </w:r>
        </w:p>
      </w:tc>
      <w:tc>
        <w:tcPr>
          <w:tcBorders>
            <w:top w:color="000000" w:space="0" w:sz="4" w:val="single"/>
            <w:left w:color="000000" w:space="0" w:sz="0" w:val="nil"/>
            <w:bottom w:color="000000" w:space="0" w:sz="4" w:val="single"/>
            <w:right w:color="000000" w:space="0" w:sz="4" w:val="single"/>
          </w:tcBorders>
          <w:vAlign w:val="center"/>
        </w:tcPr>
        <w:p w:rsidR="00000000" w:rsidDel="00000000" w:rsidP="00000000" w:rsidRDefault="00000000" w:rsidRPr="00000000" w14:paraId="000000C6">
          <w:pPr>
            <w:jc w:val="center"/>
            <w:rPr/>
          </w:pPr>
          <w:r w:rsidDel="00000000" w:rsidR="00000000" w:rsidRPr="00000000">
            <w:rPr>
              <w:rtl w:val="0"/>
            </w:rPr>
            <w:t xml:space="preserve">9</w:t>
          </w:r>
        </w:p>
      </w:tc>
      <w:tc>
        <w:tcPr>
          <w:tcBorders>
            <w:top w:color="000000" w:space="0" w:sz="4" w:val="single"/>
            <w:left w:color="000000" w:space="0" w:sz="0" w:val="nil"/>
            <w:bottom w:color="000000" w:space="0" w:sz="4" w:val="single"/>
            <w:right w:color="000000" w:space="0" w:sz="4" w:val="single"/>
          </w:tcBorders>
          <w:vAlign w:val="center"/>
        </w:tcPr>
        <w:p w:rsidR="00000000" w:rsidDel="00000000" w:rsidP="00000000" w:rsidRDefault="00000000" w:rsidRPr="00000000" w14:paraId="000000C7">
          <w:pPr>
            <w:jc w:val="center"/>
            <w:rPr/>
          </w:pPr>
          <w:r w:rsidDel="00000000" w:rsidR="00000000" w:rsidRPr="00000000">
            <w:rPr>
              <w:rtl w:val="0"/>
            </w:rPr>
            <w:t xml:space="preserve">5</w:t>
          </w:r>
        </w:p>
      </w:tc>
    </w:tr>
  </w:tbl>
  <w:p w:rsidR="00000000" w:rsidDel="00000000" w:rsidP="00000000" w:rsidRDefault="00000000" w:rsidRPr="00000000" w14:paraId="000000C8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536"/>
        <w:tab w:val="right" w:pos="9072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C9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536"/>
        <w:tab w:val="right" w:pos="9072"/>
        <w:tab w:val="center" w:pos="4820"/>
        <w:tab w:val="right" w:pos="9214"/>
      </w:tabs>
      <w:spacing w:after="0" w:before="0" w:line="240" w:lineRule="auto"/>
      <w:ind w:left="0" w:right="0" w:firstLine="0"/>
      <w:jc w:val="righ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CA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536"/>
        <w:tab w:val="right" w:pos="9072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3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CB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tbl>
    <w:tblPr>
      <w:tblStyle w:val="Table3"/>
      <w:tblW w:w="8325.0" w:type="dxa"/>
      <w:jc w:val="left"/>
      <w:tblInd w:w="55.0" w:type="dxa"/>
      <w:tblLayout w:type="fixed"/>
      <w:tblLook w:val="000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tblGridChange w:id="0">
        <w:tblGrid>
          <w:gridCol w:w="2780"/>
          <w:gridCol w:w="2260"/>
          <w:gridCol w:w="485"/>
          <w:gridCol w:w="280"/>
          <w:gridCol w:w="280"/>
          <w:gridCol w:w="280"/>
          <w:gridCol w:w="280"/>
          <w:gridCol w:w="280"/>
          <w:gridCol w:w="280"/>
          <w:gridCol w:w="280"/>
          <w:gridCol w:w="280"/>
          <w:gridCol w:w="280"/>
          <w:gridCol w:w="280"/>
        </w:tblGrid>
      </w:tblGridChange>
    </w:tblGrid>
    <w:tr>
      <w:trPr>
        <w:cantSplit w:val="0"/>
        <w:trHeight w:val="330" w:hRule="atLeast"/>
        <w:tblHeader w:val="0"/>
      </w:trPr>
      <w:tc>
        <w:tcPr>
          <w:tcBorders>
            <w:top w:color="000000" w:space="0" w:sz="4" w:val="single"/>
            <w:left w:color="000000" w:space="0" w:sz="4" w:val="single"/>
            <w:bottom w:color="000000" w:space="0" w:sz="4" w:val="single"/>
            <w:right w:color="000000" w:space="0" w:sz="4" w:val="single"/>
          </w:tcBorders>
          <w:vAlign w:val="bottom"/>
        </w:tcPr>
        <w:p w:rsidR="00000000" w:rsidDel="00000000" w:rsidP="00000000" w:rsidRDefault="00000000" w:rsidRPr="00000000" w14:paraId="000000CC">
          <w:pPr>
            <w:rPr>
              <w:color w:val="000000"/>
            </w:rPr>
          </w:pPr>
          <w:r w:rsidDel="00000000" w:rsidR="00000000" w:rsidRPr="00000000">
            <w:rPr>
              <w:color w:val="000000"/>
              <w:rtl w:val="0"/>
            </w:rPr>
            <w:t xml:space="preserve">Poznámky Úč POD 3 - 04</w:t>
          </w:r>
        </w:p>
      </w:tc>
      <w:tc>
        <w:tcPr>
          <w:tcBorders>
            <w:top w:color="000000" w:space="0" w:sz="0" w:val="nil"/>
            <w:left w:color="000000" w:space="0" w:sz="0" w:val="nil"/>
            <w:bottom w:color="000000" w:space="0" w:sz="0" w:val="nil"/>
            <w:right w:color="000000" w:space="0" w:sz="0" w:val="nil"/>
          </w:tcBorders>
          <w:vAlign w:val="bottom"/>
        </w:tcPr>
        <w:p w:rsidR="00000000" w:rsidDel="00000000" w:rsidP="00000000" w:rsidRDefault="00000000" w:rsidRPr="00000000" w14:paraId="000000CD">
          <w:pPr>
            <w:jc w:val="center"/>
            <w:rPr>
              <w:color w:val="000000"/>
            </w:rPr>
          </w:pPr>
          <w:r w:rsidDel="00000000" w:rsidR="00000000" w:rsidRPr="00000000">
            <w:rPr>
              <w:rtl w:val="0"/>
            </w:rPr>
          </w:r>
        </w:p>
      </w:tc>
      <w:tc>
        <w:tcPr>
          <w:tcBorders>
            <w:top w:color="000000" w:space="0" w:sz="0" w:val="nil"/>
            <w:left w:color="000000" w:space="0" w:sz="0" w:val="nil"/>
            <w:bottom w:color="000000" w:space="0" w:sz="0" w:val="nil"/>
            <w:right w:color="000000" w:space="0" w:sz="0" w:val="nil"/>
          </w:tcBorders>
          <w:vAlign w:val="bottom"/>
        </w:tcPr>
        <w:p w:rsidR="00000000" w:rsidDel="00000000" w:rsidP="00000000" w:rsidRDefault="00000000" w:rsidRPr="00000000" w14:paraId="000000CE">
          <w:pPr>
            <w:rPr>
              <w:color w:val="000000"/>
            </w:rPr>
          </w:pPr>
          <w:r w:rsidDel="00000000" w:rsidR="00000000" w:rsidRPr="00000000">
            <w:rPr>
              <w:color w:val="000000"/>
              <w:rtl w:val="0"/>
            </w:rPr>
            <w:t xml:space="preserve">DIČ</w:t>
          </w:r>
        </w:p>
      </w:tc>
      <w:tc>
        <w:tcPr>
          <w:tcBorders>
            <w:top w:color="000000" w:space="0" w:sz="4" w:val="single"/>
            <w:left w:color="000000" w:space="0" w:sz="4" w:val="single"/>
            <w:bottom w:color="000000" w:space="0" w:sz="4" w:val="single"/>
            <w:right w:color="000000" w:space="0" w:sz="4" w:val="single"/>
          </w:tcBorders>
          <w:vAlign w:val="center"/>
        </w:tcPr>
        <w:p w:rsidR="00000000" w:rsidDel="00000000" w:rsidP="00000000" w:rsidRDefault="00000000" w:rsidRPr="00000000" w14:paraId="000000CF">
          <w:pPr>
            <w:jc w:val="center"/>
            <w:rPr/>
          </w:pPr>
          <w:r w:rsidDel="00000000" w:rsidR="00000000" w:rsidRPr="00000000">
            <w:rPr>
              <w:rtl w:val="0"/>
            </w:rPr>
            <w:t xml:space="preserve"> </w:t>
          </w:r>
        </w:p>
      </w:tc>
      <w:tc>
        <w:tcPr>
          <w:tcBorders>
            <w:top w:color="000000" w:space="0" w:sz="4" w:val="single"/>
            <w:left w:color="000000" w:space="0" w:sz="0" w:val="nil"/>
            <w:bottom w:color="000000" w:space="0" w:sz="4" w:val="single"/>
            <w:right w:color="000000" w:space="0" w:sz="4" w:val="single"/>
          </w:tcBorders>
          <w:vAlign w:val="center"/>
        </w:tcPr>
        <w:p w:rsidR="00000000" w:rsidDel="00000000" w:rsidP="00000000" w:rsidRDefault="00000000" w:rsidRPr="00000000" w14:paraId="000000D0">
          <w:pPr>
            <w:jc w:val="center"/>
            <w:rPr/>
          </w:pPr>
          <w:r w:rsidDel="00000000" w:rsidR="00000000" w:rsidRPr="00000000">
            <w:rPr>
              <w:rtl w:val="0"/>
            </w:rPr>
            <w:t xml:space="preserve"> </w:t>
          </w:r>
        </w:p>
      </w:tc>
      <w:tc>
        <w:tcPr>
          <w:tcBorders>
            <w:top w:color="000000" w:space="0" w:sz="4" w:val="single"/>
            <w:left w:color="000000" w:space="0" w:sz="0" w:val="nil"/>
            <w:bottom w:color="000000" w:space="0" w:sz="4" w:val="single"/>
            <w:right w:color="000000" w:space="0" w:sz="4" w:val="single"/>
          </w:tcBorders>
          <w:vAlign w:val="center"/>
        </w:tcPr>
        <w:p w:rsidR="00000000" w:rsidDel="00000000" w:rsidP="00000000" w:rsidRDefault="00000000" w:rsidRPr="00000000" w14:paraId="000000D1">
          <w:pPr>
            <w:jc w:val="center"/>
            <w:rPr/>
          </w:pPr>
          <w:r w:rsidDel="00000000" w:rsidR="00000000" w:rsidRPr="00000000">
            <w:rPr>
              <w:rtl w:val="0"/>
            </w:rPr>
            <w:t xml:space="preserve"> </w:t>
          </w:r>
        </w:p>
      </w:tc>
      <w:tc>
        <w:tcPr>
          <w:tcBorders>
            <w:top w:color="000000" w:space="0" w:sz="4" w:val="single"/>
            <w:left w:color="000000" w:space="0" w:sz="0" w:val="nil"/>
            <w:bottom w:color="000000" w:space="0" w:sz="4" w:val="single"/>
            <w:right w:color="000000" w:space="0" w:sz="4" w:val="single"/>
          </w:tcBorders>
          <w:vAlign w:val="center"/>
        </w:tcPr>
        <w:p w:rsidR="00000000" w:rsidDel="00000000" w:rsidP="00000000" w:rsidRDefault="00000000" w:rsidRPr="00000000" w14:paraId="000000D2">
          <w:pPr>
            <w:jc w:val="center"/>
            <w:rPr/>
          </w:pPr>
          <w:r w:rsidDel="00000000" w:rsidR="00000000" w:rsidRPr="00000000">
            <w:rPr>
              <w:rtl w:val="0"/>
            </w:rPr>
            <w:t xml:space="preserve"> </w:t>
          </w:r>
        </w:p>
      </w:tc>
      <w:tc>
        <w:tcPr>
          <w:tcBorders>
            <w:top w:color="000000" w:space="0" w:sz="4" w:val="single"/>
            <w:left w:color="000000" w:space="0" w:sz="0" w:val="nil"/>
            <w:bottom w:color="000000" w:space="0" w:sz="4" w:val="single"/>
            <w:right w:color="000000" w:space="0" w:sz="4" w:val="single"/>
          </w:tcBorders>
          <w:vAlign w:val="center"/>
        </w:tcPr>
        <w:p w:rsidR="00000000" w:rsidDel="00000000" w:rsidP="00000000" w:rsidRDefault="00000000" w:rsidRPr="00000000" w14:paraId="000000D3">
          <w:pPr>
            <w:jc w:val="center"/>
            <w:rPr/>
          </w:pPr>
          <w:r w:rsidDel="00000000" w:rsidR="00000000" w:rsidRPr="00000000">
            <w:rPr>
              <w:rtl w:val="0"/>
            </w:rPr>
            <w:t xml:space="preserve"> </w:t>
          </w:r>
        </w:p>
      </w:tc>
      <w:tc>
        <w:tcPr>
          <w:tcBorders>
            <w:top w:color="000000" w:space="0" w:sz="4" w:val="single"/>
            <w:left w:color="000000" w:space="0" w:sz="0" w:val="nil"/>
            <w:bottom w:color="000000" w:space="0" w:sz="4" w:val="single"/>
            <w:right w:color="000000" w:space="0" w:sz="4" w:val="single"/>
          </w:tcBorders>
          <w:vAlign w:val="center"/>
        </w:tcPr>
        <w:p w:rsidR="00000000" w:rsidDel="00000000" w:rsidP="00000000" w:rsidRDefault="00000000" w:rsidRPr="00000000" w14:paraId="000000D4">
          <w:pPr>
            <w:jc w:val="center"/>
            <w:rPr/>
          </w:pPr>
          <w:r w:rsidDel="00000000" w:rsidR="00000000" w:rsidRPr="00000000">
            <w:rPr>
              <w:rtl w:val="0"/>
            </w:rPr>
            <w:t xml:space="preserve"> </w:t>
          </w:r>
        </w:p>
      </w:tc>
      <w:tc>
        <w:tcPr>
          <w:tcBorders>
            <w:top w:color="000000" w:space="0" w:sz="4" w:val="single"/>
            <w:left w:color="000000" w:space="0" w:sz="0" w:val="nil"/>
            <w:bottom w:color="000000" w:space="0" w:sz="4" w:val="single"/>
            <w:right w:color="000000" w:space="0" w:sz="4" w:val="single"/>
          </w:tcBorders>
          <w:vAlign w:val="center"/>
        </w:tcPr>
        <w:p w:rsidR="00000000" w:rsidDel="00000000" w:rsidP="00000000" w:rsidRDefault="00000000" w:rsidRPr="00000000" w14:paraId="000000D5">
          <w:pPr>
            <w:jc w:val="center"/>
            <w:rPr/>
          </w:pPr>
          <w:r w:rsidDel="00000000" w:rsidR="00000000" w:rsidRPr="00000000">
            <w:rPr>
              <w:rtl w:val="0"/>
            </w:rPr>
            <w:t xml:space="preserve"> </w:t>
          </w:r>
        </w:p>
      </w:tc>
      <w:tc>
        <w:tcPr>
          <w:tcBorders>
            <w:top w:color="000000" w:space="0" w:sz="4" w:val="single"/>
            <w:left w:color="000000" w:space="0" w:sz="0" w:val="nil"/>
            <w:bottom w:color="000000" w:space="0" w:sz="4" w:val="single"/>
            <w:right w:color="000000" w:space="0" w:sz="4" w:val="single"/>
          </w:tcBorders>
          <w:vAlign w:val="center"/>
        </w:tcPr>
        <w:p w:rsidR="00000000" w:rsidDel="00000000" w:rsidP="00000000" w:rsidRDefault="00000000" w:rsidRPr="00000000" w14:paraId="000000D6">
          <w:pPr>
            <w:jc w:val="center"/>
            <w:rPr/>
          </w:pPr>
          <w:r w:rsidDel="00000000" w:rsidR="00000000" w:rsidRPr="00000000">
            <w:rPr>
              <w:rtl w:val="0"/>
            </w:rPr>
            <w:t xml:space="preserve"> </w:t>
          </w:r>
        </w:p>
      </w:tc>
      <w:tc>
        <w:tcPr>
          <w:tcBorders>
            <w:top w:color="000000" w:space="0" w:sz="4" w:val="single"/>
            <w:left w:color="000000" w:space="0" w:sz="0" w:val="nil"/>
            <w:bottom w:color="000000" w:space="0" w:sz="4" w:val="single"/>
            <w:right w:color="000000" w:space="0" w:sz="4" w:val="single"/>
          </w:tcBorders>
          <w:vAlign w:val="center"/>
        </w:tcPr>
        <w:p w:rsidR="00000000" w:rsidDel="00000000" w:rsidP="00000000" w:rsidRDefault="00000000" w:rsidRPr="00000000" w14:paraId="000000D7">
          <w:pPr>
            <w:jc w:val="center"/>
            <w:rPr/>
          </w:pPr>
          <w:r w:rsidDel="00000000" w:rsidR="00000000" w:rsidRPr="00000000">
            <w:rPr>
              <w:rtl w:val="0"/>
            </w:rPr>
            <w:t xml:space="preserve"> </w:t>
          </w:r>
        </w:p>
      </w:tc>
      <w:tc>
        <w:tcPr>
          <w:tcBorders>
            <w:top w:color="000000" w:space="0" w:sz="4" w:val="single"/>
            <w:left w:color="000000" w:space="0" w:sz="0" w:val="nil"/>
            <w:bottom w:color="000000" w:space="0" w:sz="4" w:val="single"/>
            <w:right w:color="000000" w:space="0" w:sz="4" w:val="single"/>
          </w:tcBorders>
          <w:vAlign w:val="center"/>
        </w:tcPr>
        <w:p w:rsidR="00000000" w:rsidDel="00000000" w:rsidP="00000000" w:rsidRDefault="00000000" w:rsidRPr="00000000" w14:paraId="000000D8">
          <w:pPr>
            <w:jc w:val="center"/>
            <w:rPr/>
          </w:pPr>
          <w:r w:rsidDel="00000000" w:rsidR="00000000" w:rsidRPr="00000000">
            <w:rPr>
              <w:rtl w:val="0"/>
            </w:rPr>
            <w:t xml:space="preserve"> </w:t>
          </w:r>
        </w:p>
      </w:tc>
    </w:tr>
  </w:tbl>
  <w:p w:rsidR="00000000" w:rsidDel="00000000" w:rsidP="00000000" w:rsidRDefault="00000000" w:rsidRPr="00000000" w14:paraId="000000D9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536"/>
        <w:tab w:val="right" w:pos="9072"/>
        <w:tab w:val="center" w:pos="4820"/>
        <w:tab w:val="right" w:pos="9214"/>
      </w:tabs>
      <w:spacing w:after="0" w:before="0" w:line="240" w:lineRule="auto"/>
      <w:ind w:left="0" w:right="0" w:firstLine="0"/>
      <w:jc w:val="righ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360" w:hanging="360"/>
      </w:pPr>
      <w:rPr/>
    </w:lvl>
    <w:lvl w:ilvl="1">
      <w:start w:val="1"/>
      <w:numFmt w:val="bullet"/>
      <w:lvlText w:val=""/>
      <w:lvlJc w:val="left"/>
      <w:pPr>
        <w:ind w:left="0" w:firstLine="0"/>
      </w:pPr>
      <w:rPr/>
    </w:lvl>
    <w:lvl w:ilvl="2">
      <w:start w:val="1"/>
      <w:numFmt w:val="bullet"/>
      <w:lvlText w:val=""/>
      <w:lvlJc w:val="left"/>
      <w:pPr>
        <w:ind w:left="0" w:firstLine="0"/>
      </w:pPr>
      <w:rPr/>
    </w:lvl>
    <w:lvl w:ilvl="3">
      <w:start w:val="1"/>
      <w:numFmt w:val="bullet"/>
      <w:lvlText w:val=""/>
      <w:lvlJc w:val="left"/>
      <w:pPr>
        <w:ind w:left="0" w:firstLine="0"/>
      </w:pPr>
      <w:rPr/>
    </w:lvl>
    <w:lvl w:ilvl="4">
      <w:start w:val="1"/>
      <w:numFmt w:val="bullet"/>
      <w:lvlText w:val=""/>
      <w:lvlJc w:val="left"/>
      <w:pPr>
        <w:ind w:left="0" w:firstLine="0"/>
      </w:pPr>
      <w:rPr/>
    </w:lvl>
    <w:lvl w:ilvl="5">
      <w:start w:val="1"/>
      <w:numFmt w:val="bullet"/>
      <w:lvlText w:val=""/>
      <w:lvlJc w:val="left"/>
      <w:pPr>
        <w:ind w:left="0" w:firstLine="0"/>
      </w:pPr>
      <w:rPr/>
    </w:lvl>
    <w:lvl w:ilvl="6">
      <w:start w:val="1"/>
      <w:numFmt w:val="bullet"/>
      <w:lvlText w:val=""/>
      <w:lvlJc w:val="left"/>
      <w:pPr>
        <w:ind w:left="0" w:firstLine="0"/>
      </w:pPr>
      <w:rPr/>
    </w:lvl>
    <w:lvl w:ilvl="7">
      <w:start w:val="1"/>
      <w:numFmt w:val="bullet"/>
      <w:lvlText w:val=""/>
      <w:lvlJc w:val="left"/>
      <w:pPr>
        <w:ind w:left="0" w:firstLine="0"/>
      </w:pPr>
      <w:rPr/>
    </w:lvl>
    <w:lvl w:ilvl="8">
      <w:start w:val="1"/>
      <w:numFmt w:val="bullet"/>
      <w:lvlText w:val=""/>
      <w:lvlJc w:val="left"/>
      <w:pPr>
        <w:ind w:left="0" w:firstLine="0"/>
      </w:pPr>
      <w:rPr/>
    </w:lvl>
  </w:abstractNum>
  <w:abstractNum w:abstractNumId="2">
    <w:lvl w:ilvl="0">
      <w:start w:val="1"/>
      <w:numFmt w:val="lowerLetter"/>
      <w:lvlText w:val="(%1)"/>
      <w:lvlJc w:val="left"/>
      <w:pPr>
        <w:ind w:left="1080" w:hanging="360"/>
      </w:pPr>
      <w:rPr/>
    </w:lvl>
    <w:lvl w:ilvl="1">
      <w:start w:val="1"/>
      <w:numFmt w:val="lowerLetter"/>
      <w:lvlText w:val="%2."/>
      <w:lvlJc w:val="left"/>
      <w:pPr>
        <w:ind w:left="1800" w:hanging="360"/>
      </w:pPr>
      <w:rPr/>
    </w:lvl>
    <w:lvl w:ilvl="2">
      <w:start w:val="1"/>
      <w:numFmt w:val="lowerRoman"/>
      <w:lvlText w:val="%3."/>
      <w:lvlJc w:val="right"/>
      <w:pPr>
        <w:ind w:left="2520" w:hanging="180"/>
      </w:pPr>
      <w:rPr/>
    </w:lvl>
    <w:lvl w:ilvl="3">
      <w:start w:val="1"/>
      <w:numFmt w:val="decimal"/>
      <w:lvlText w:val="%4."/>
      <w:lvlJc w:val="left"/>
      <w:pPr>
        <w:ind w:left="3240" w:hanging="360"/>
      </w:pPr>
      <w:rPr/>
    </w:lvl>
    <w:lvl w:ilvl="4">
      <w:start w:val="1"/>
      <w:numFmt w:val="lowerLetter"/>
      <w:lvlText w:val="%5."/>
      <w:lvlJc w:val="left"/>
      <w:pPr>
        <w:ind w:left="3960" w:hanging="360"/>
      </w:pPr>
      <w:rPr/>
    </w:lvl>
    <w:lvl w:ilvl="5">
      <w:start w:val="1"/>
      <w:numFmt w:val="lowerRoman"/>
      <w:lvlText w:val="%6."/>
      <w:lvlJc w:val="right"/>
      <w:pPr>
        <w:ind w:left="4680" w:hanging="180"/>
      </w:pPr>
      <w:rPr/>
    </w:lvl>
    <w:lvl w:ilvl="6">
      <w:start w:val="1"/>
      <w:numFmt w:val="decimal"/>
      <w:lvlText w:val="%7."/>
      <w:lvlJc w:val="left"/>
      <w:pPr>
        <w:ind w:left="5400" w:hanging="360"/>
      </w:pPr>
      <w:rPr/>
    </w:lvl>
    <w:lvl w:ilvl="7">
      <w:start w:val="1"/>
      <w:numFmt w:val="lowerLetter"/>
      <w:lvlText w:val="%8."/>
      <w:lvlJc w:val="left"/>
      <w:pPr>
        <w:ind w:left="6120" w:hanging="360"/>
      </w:pPr>
      <w:rPr/>
    </w:lvl>
    <w:lvl w:ilvl="8">
      <w:start w:val="1"/>
      <w:numFmt w:val="lowerRoman"/>
      <w:lvlText w:val="%9."/>
      <w:lvlJc w:val="right"/>
      <w:pPr>
        <w:ind w:left="6840" w:hanging="180"/>
      </w:pPr>
      <w:rPr/>
    </w:lvl>
  </w:abstractNum>
  <w:abstractNum w:abstractNumId="3">
    <w:lvl w:ilvl="0">
      <w:start w:val="1"/>
      <w:numFmt w:val="decimal"/>
      <w:lvlText w:val="%1."/>
      <w:lvlJc w:val="left"/>
      <w:pPr>
        <w:ind w:left="360" w:hanging="360"/>
      </w:pPr>
      <w:rPr/>
    </w:lvl>
    <w:lvl w:ilvl="1">
      <w:start w:val="1"/>
      <w:numFmt w:val="bullet"/>
      <w:lvlText w:val=""/>
      <w:lvlJc w:val="left"/>
      <w:pPr>
        <w:ind w:left="0" w:firstLine="0"/>
      </w:pPr>
      <w:rPr/>
    </w:lvl>
    <w:lvl w:ilvl="2">
      <w:start w:val="1"/>
      <w:numFmt w:val="bullet"/>
      <w:lvlText w:val=""/>
      <w:lvlJc w:val="left"/>
      <w:pPr>
        <w:ind w:left="0" w:firstLine="0"/>
      </w:pPr>
      <w:rPr/>
    </w:lvl>
    <w:lvl w:ilvl="3">
      <w:start w:val="1"/>
      <w:numFmt w:val="bullet"/>
      <w:lvlText w:val=""/>
      <w:lvlJc w:val="left"/>
      <w:pPr>
        <w:ind w:left="0" w:firstLine="0"/>
      </w:pPr>
      <w:rPr/>
    </w:lvl>
    <w:lvl w:ilvl="4">
      <w:start w:val="1"/>
      <w:numFmt w:val="bullet"/>
      <w:lvlText w:val=""/>
      <w:lvlJc w:val="left"/>
      <w:pPr>
        <w:ind w:left="0" w:firstLine="0"/>
      </w:pPr>
      <w:rPr/>
    </w:lvl>
    <w:lvl w:ilvl="5">
      <w:start w:val="1"/>
      <w:numFmt w:val="bullet"/>
      <w:lvlText w:val=""/>
      <w:lvlJc w:val="left"/>
      <w:pPr>
        <w:ind w:left="0" w:firstLine="0"/>
      </w:pPr>
      <w:rPr/>
    </w:lvl>
    <w:lvl w:ilvl="6">
      <w:start w:val="1"/>
      <w:numFmt w:val="bullet"/>
      <w:lvlText w:val=""/>
      <w:lvlJc w:val="left"/>
      <w:pPr>
        <w:ind w:left="0" w:firstLine="0"/>
      </w:pPr>
      <w:rPr/>
    </w:lvl>
    <w:lvl w:ilvl="7">
      <w:start w:val="1"/>
      <w:numFmt w:val="bullet"/>
      <w:lvlText w:val=""/>
      <w:lvlJc w:val="left"/>
      <w:pPr>
        <w:ind w:left="0" w:firstLine="0"/>
      </w:pPr>
      <w:rPr/>
    </w:lvl>
    <w:lvl w:ilvl="8">
      <w:start w:val="1"/>
      <w:numFmt w:val="bullet"/>
      <w:lvlText w:val=""/>
      <w:lvlJc w:val="left"/>
      <w:pPr>
        <w:ind w:left="0" w:firstLine="0"/>
      </w:pPr>
      <w:rPr/>
    </w:lvl>
  </w:abstractNum>
  <w:abstractNum w:abstractNumId="4">
    <w:lvl w:ilvl="0">
      <w:start w:val="1"/>
      <w:numFmt w:val="lowerLetter"/>
      <w:lvlText w:val="%1)"/>
      <w:lvlJc w:val="left"/>
      <w:pPr>
        <w:ind w:left="786" w:hanging="360.00000000000006"/>
      </w:pPr>
      <w:rPr/>
    </w:lvl>
    <w:lvl w:ilvl="1">
      <w:start w:val="1"/>
      <w:numFmt w:val="lowerLetter"/>
      <w:lvlText w:val="%2."/>
      <w:lvlJc w:val="left"/>
      <w:pPr>
        <w:ind w:left="1506" w:hanging="360"/>
      </w:pPr>
      <w:rPr/>
    </w:lvl>
    <w:lvl w:ilvl="2">
      <w:start w:val="1"/>
      <w:numFmt w:val="lowerRoman"/>
      <w:lvlText w:val="%3."/>
      <w:lvlJc w:val="right"/>
      <w:pPr>
        <w:ind w:left="2226" w:hanging="180"/>
      </w:pPr>
      <w:rPr/>
    </w:lvl>
    <w:lvl w:ilvl="3">
      <w:start w:val="1"/>
      <w:numFmt w:val="decimal"/>
      <w:lvlText w:val="%4."/>
      <w:lvlJc w:val="left"/>
      <w:pPr>
        <w:ind w:left="2946" w:hanging="360"/>
      </w:pPr>
      <w:rPr/>
    </w:lvl>
    <w:lvl w:ilvl="4">
      <w:start w:val="1"/>
      <w:numFmt w:val="lowerLetter"/>
      <w:lvlText w:val="%5."/>
      <w:lvlJc w:val="left"/>
      <w:pPr>
        <w:ind w:left="3666" w:hanging="360"/>
      </w:pPr>
      <w:rPr/>
    </w:lvl>
    <w:lvl w:ilvl="5">
      <w:start w:val="1"/>
      <w:numFmt w:val="lowerRoman"/>
      <w:lvlText w:val="%6."/>
      <w:lvlJc w:val="right"/>
      <w:pPr>
        <w:ind w:left="4386" w:hanging="180"/>
      </w:pPr>
      <w:rPr/>
    </w:lvl>
    <w:lvl w:ilvl="6">
      <w:start w:val="1"/>
      <w:numFmt w:val="decimal"/>
      <w:lvlText w:val="%7."/>
      <w:lvlJc w:val="left"/>
      <w:pPr>
        <w:ind w:left="5106" w:hanging="360"/>
      </w:pPr>
      <w:rPr/>
    </w:lvl>
    <w:lvl w:ilvl="7">
      <w:start w:val="1"/>
      <w:numFmt w:val="lowerLetter"/>
      <w:lvlText w:val="%8."/>
      <w:lvlJc w:val="left"/>
      <w:pPr>
        <w:ind w:left="5826" w:hanging="360"/>
      </w:pPr>
      <w:rPr/>
    </w:lvl>
    <w:lvl w:ilvl="8">
      <w:start w:val="1"/>
      <w:numFmt w:val="lowerRoman"/>
      <w:lvlText w:val="%9."/>
      <w:lvlJc w:val="right"/>
      <w:pPr>
        <w:ind w:left="6546" w:hanging="180"/>
      </w:pPr>
      <w:rPr/>
    </w:lvl>
  </w:abstractNum>
  <w:abstractNum w:abstractNumId="5">
    <w:lvl w:ilvl="0">
      <w:start w:val="1"/>
      <w:numFmt w:val="decimal"/>
      <w:lvlText w:val="%1."/>
      <w:lvlJc w:val="left"/>
      <w:pPr>
        <w:ind w:left="360" w:hanging="360"/>
      </w:pPr>
      <w:rPr/>
    </w:lvl>
    <w:lvl w:ilvl="1">
      <w:start w:val="1"/>
      <w:numFmt w:val="bullet"/>
      <w:lvlText w:val=""/>
      <w:lvlJc w:val="left"/>
      <w:pPr>
        <w:ind w:left="0" w:firstLine="0"/>
      </w:pPr>
      <w:rPr/>
    </w:lvl>
    <w:lvl w:ilvl="2">
      <w:start w:val="1"/>
      <w:numFmt w:val="bullet"/>
      <w:lvlText w:val=""/>
      <w:lvlJc w:val="left"/>
      <w:pPr>
        <w:ind w:left="0" w:firstLine="0"/>
      </w:pPr>
      <w:rPr/>
    </w:lvl>
    <w:lvl w:ilvl="3">
      <w:start w:val="1"/>
      <w:numFmt w:val="bullet"/>
      <w:lvlText w:val=""/>
      <w:lvlJc w:val="left"/>
      <w:pPr>
        <w:ind w:left="0" w:firstLine="0"/>
      </w:pPr>
      <w:rPr/>
    </w:lvl>
    <w:lvl w:ilvl="4">
      <w:start w:val="1"/>
      <w:numFmt w:val="bullet"/>
      <w:lvlText w:val=""/>
      <w:lvlJc w:val="left"/>
      <w:pPr>
        <w:ind w:left="0" w:firstLine="0"/>
      </w:pPr>
      <w:rPr/>
    </w:lvl>
    <w:lvl w:ilvl="5">
      <w:start w:val="1"/>
      <w:numFmt w:val="bullet"/>
      <w:lvlText w:val=""/>
      <w:lvlJc w:val="left"/>
      <w:pPr>
        <w:ind w:left="0" w:firstLine="0"/>
      </w:pPr>
      <w:rPr/>
    </w:lvl>
    <w:lvl w:ilvl="6">
      <w:start w:val="1"/>
      <w:numFmt w:val="bullet"/>
      <w:lvlText w:val=""/>
      <w:lvlJc w:val="left"/>
      <w:pPr>
        <w:ind w:left="0" w:firstLine="0"/>
      </w:pPr>
      <w:rPr/>
    </w:lvl>
    <w:lvl w:ilvl="7">
      <w:start w:val="1"/>
      <w:numFmt w:val="bullet"/>
      <w:lvlText w:val=""/>
      <w:lvlJc w:val="left"/>
      <w:pPr>
        <w:ind w:left="0" w:firstLine="0"/>
      </w:pPr>
      <w:rPr/>
    </w:lvl>
    <w:lvl w:ilvl="8">
      <w:start w:val="1"/>
      <w:numFmt w:val="bullet"/>
      <w:lvlText w:val=""/>
      <w:lvlJc w:val="left"/>
      <w:pPr>
        <w:ind w:left="0" w:firstLine="0"/>
      </w:pPr>
      <w:rPr/>
    </w:lvl>
  </w:abstractNum>
  <w:abstractNum w:abstractNumId="6">
    <w:lvl w:ilvl="0">
      <w:start w:val="1"/>
      <w:numFmt w:val="upperLetter"/>
      <w:lvlText w:val="%1."/>
      <w:lvlJc w:val="left"/>
      <w:pPr>
        <w:ind w:left="450" w:hanging="360"/>
      </w:pPr>
      <w:rPr/>
    </w:lvl>
    <w:lvl w:ilvl="1">
      <w:start w:val="1"/>
      <w:numFmt w:val="bullet"/>
      <w:lvlText w:val=""/>
      <w:lvlJc w:val="left"/>
      <w:pPr>
        <w:ind w:left="0" w:firstLine="0"/>
      </w:pPr>
      <w:rPr/>
    </w:lvl>
    <w:lvl w:ilvl="2">
      <w:start w:val="1"/>
      <w:numFmt w:val="bullet"/>
      <w:lvlText w:val=""/>
      <w:lvlJc w:val="left"/>
      <w:pPr>
        <w:ind w:left="0" w:firstLine="0"/>
      </w:pPr>
      <w:rPr/>
    </w:lvl>
    <w:lvl w:ilvl="3">
      <w:start w:val="1"/>
      <w:numFmt w:val="bullet"/>
      <w:lvlText w:val=""/>
      <w:lvlJc w:val="left"/>
      <w:pPr>
        <w:ind w:left="0" w:firstLine="0"/>
      </w:pPr>
      <w:rPr/>
    </w:lvl>
    <w:lvl w:ilvl="4">
      <w:start w:val="1"/>
      <w:numFmt w:val="bullet"/>
      <w:lvlText w:val=""/>
      <w:lvlJc w:val="left"/>
      <w:pPr>
        <w:ind w:left="0" w:firstLine="0"/>
      </w:pPr>
      <w:rPr/>
    </w:lvl>
    <w:lvl w:ilvl="5">
      <w:start w:val="1"/>
      <w:numFmt w:val="bullet"/>
      <w:lvlText w:val=""/>
      <w:lvlJc w:val="left"/>
      <w:pPr>
        <w:ind w:left="0" w:firstLine="0"/>
      </w:pPr>
      <w:rPr/>
    </w:lvl>
    <w:lvl w:ilvl="6">
      <w:start w:val="1"/>
      <w:numFmt w:val="bullet"/>
      <w:lvlText w:val=""/>
      <w:lvlJc w:val="left"/>
      <w:pPr>
        <w:ind w:left="0" w:firstLine="0"/>
      </w:pPr>
      <w:rPr/>
    </w:lvl>
    <w:lvl w:ilvl="7">
      <w:start w:val="1"/>
      <w:numFmt w:val="bullet"/>
      <w:lvlText w:val=""/>
      <w:lvlJc w:val="left"/>
      <w:pPr>
        <w:ind w:left="0" w:firstLine="0"/>
      </w:pPr>
      <w:rPr/>
    </w:lvl>
    <w:lvl w:ilvl="8">
      <w:start w:val="1"/>
      <w:numFmt w:val="bullet"/>
      <w:lvlText w:val=""/>
      <w:lvlJc w:val="left"/>
      <w:pPr>
        <w:ind w:left="0" w:firstLine="0"/>
      </w:pPr>
      <w:rPr/>
    </w:lvl>
  </w:abstractNum>
  <w:abstractNum w:abstractNumId="7">
    <w:lvl w:ilvl="0">
      <w:start w:val="1"/>
      <w:numFmt w:val="decimal"/>
      <w:lvlText w:val="%1."/>
      <w:lvlJc w:val="left"/>
      <w:pPr>
        <w:ind w:left="360" w:hanging="360"/>
      </w:pPr>
      <w:rPr/>
    </w:lvl>
    <w:lvl w:ilvl="1">
      <w:start w:val="1"/>
      <w:numFmt w:val="bullet"/>
      <w:lvlText w:val=""/>
      <w:lvlJc w:val="left"/>
      <w:pPr>
        <w:ind w:left="0" w:firstLine="0"/>
      </w:pPr>
      <w:rPr/>
    </w:lvl>
    <w:lvl w:ilvl="2">
      <w:start w:val="1"/>
      <w:numFmt w:val="bullet"/>
      <w:lvlText w:val=""/>
      <w:lvlJc w:val="left"/>
      <w:pPr>
        <w:ind w:left="0" w:firstLine="0"/>
      </w:pPr>
      <w:rPr/>
    </w:lvl>
    <w:lvl w:ilvl="3">
      <w:start w:val="1"/>
      <w:numFmt w:val="bullet"/>
      <w:lvlText w:val=""/>
      <w:lvlJc w:val="left"/>
      <w:pPr>
        <w:ind w:left="0" w:firstLine="0"/>
      </w:pPr>
      <w:rPr/>
    </w:lvl>
    <w:lvl w:ilvl="4">
      <w:start w:val="1"/>
      <w:numFmt w:val="bullet"/>
      <w:lvlText w:val=""/>
      <w:lvlJc w:val="left"/>
      <w:pPr>
        <w:ind w:left="0" w:firstLine="0"/>
      </w:pPr>
      <w:rPr/>
    </w:lvl>
    <w:lvl w:ilvl="5">
      <w:start w:val="1"/>
      <w:numFmt w:val="bullet"/>
      <w:lvlText w:val=""/>
      <w:lvlJc w:val="left"/>
      <w:pPr>
        <w:ind w:left="0" w:firstLine="0"/>
      </w:pPr>
      <w:rPr/>
    </w:lvl>
    <w:lvl w:ilvl="6">
      <w:start w:val="1"/>
      <w:numFmt w:val="bullet"/>
      <w:lvlText w:val=""/>
      <w:lvlJc w:val="left"/>
      <w:pPr>
        <w:ind w:left="0" w:firstLine="0"/>
      </w:pPr>
      <w:rPr/>
    </w:lvl>
    <w:lvl w:ilvl="7">
      <w:start w:val="1"/>
      <w:numFmt w:val="bullet"/>
      <w:lvlText w:val=""/>
      <w:lvlJc w:val="left"/>
      <w:pPr>
        <w:ind w:left="0" w:firstLine="0"/>
      </w:pPr>
      <w:rPr/>
    </w:lvl>
    <w:lvl w:ilvl="8">
      <w:start w:val="1"/>
      <w:numFmt w:val="bullet"/>
      <w:lvlText w:val=""/>
      <w:lvlJc w:val="left"/>
      <w:pPr>
        <w:ind w:left="0" w:firstLine="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lang w:val="sk-SK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spacing w:after="60" w:before="120" w:lineRule="auto"/>
      <w:ind w:left="360" w:hanging="360"/>
    </w:pPr>
    <w:rPr>
      <w:b w:val="1"/>
      <w:smallCaps w:val="1"/>
      <w:sz w:val="18"/>
      <w:szCs w:val="18"/>
    </w:rPr>
  </w:style>
  <w:style w:type="paragraph" w:styleId="Heading2">
    <w:name w:val="heading 2"/>
    <w:basedOn w:val="Normal"/>
    <w:next w:val="Normal"/>
    <w:pPr>
      <w:keepNext w:val="1"/>
      <w:ind w:left="360" w:hanging="360"/>
    </w:pPr>
    <w:rPr>
      <w:b w:val="1"/>
      <w:sz w:val="18"/>
      <w:szCs w:val="18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</w:pPr>
    <w:rPr>
      <w:b w:val="1"/>
      <w:smallCaps w:val="1"/>
      <w:sz w:val="32"/>
      <w:szCs w:val="3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30.0" w:type="dxa"/>
        <w:bottom w:w="0.0" w:type="dxa"/>
        <w:right w:w="3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footer" Target="footer1.xml"/><Relationship Id="rId10" Type="http://schemas.openxmlformats.org/officeDocument/2006/relationships/footer" Target="footer2.xml"/><Relationship Id="rId9" Type="http://schemas.openxmlformats.org/officeDocument/2006/relationships/footer" Target="footer3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header" Target="header3.xml"/><Relationship Id="rId8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