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93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POZNÁMKY</w:t>
      </w:r>
    </w:p>
    <w:p>
      <w:pPr>
        <w:spacing w:before="1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individuálnej 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čtovnej závierky</w:t>
      </w:r>
    </w:p>
    <w:p>
      <w:pPr>
        <w:spacing w:before="72" w:after="0" w:line="240"/>
        <w:ind w:right="0" w:left="0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14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4"/>
          <w:shd w:fill="auto" w:val="clear"/>
        </w:rPr>
        <w:t xml:space="preserve">v celých eurách</w:t>
      </w:r>
    </w:p>
    <w:p>
      <w:pPr>
        <w:spacing w:before="5" w:after="0" w:line="240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10"/>
          <w:shd w:fill="auto" w:val="clear"/>
        </w:rPr>
      </w:pPr>
    </w:p>
    <w:p>
      <w:pPr>
        <w:spacing w:before="97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obdobie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01 – 12/ 2021</w:t>
      </w:r>
    </w:p>
    <w:p>
      <w:pPr>
        <w:spacing w:before="6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1"/>
          <w:shd w:fill="auto" w:val="clear"/>
        </w:rPr>
      </w:pPr>
    </w:p>
    <w:p>
      <w:pPr>
        <w:numPr>
          <w:ilvl w:val="0"/>
          <w:numId w:val="7"/>
        </w:numPr>
        <w:spacing w:before="94" w:after="0" w:line="240"/>
        <w:ind w:right="0" w:left="0" w:hanging="166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3"/>
          <w:shd w:fill="auto" w:val="clear"/>
        </w:rPr>
      </w:pPr>
    </w:p>
    <w:p>
      <w:pPr>
        <w:numPr>
          <w:ilvl w:val="0"/>
          <w:numId w:val="9"/>
        </w:numPr>
        <w:tabs>
          <w:tab w:val="left" w:pos="384" w:leader="none"/>
        </w:tabs>
        <w:spacing w:before="7" w:after="0" w:line="240"/>
        <w:ind w:right="0" w:left="71" w:hanging="232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RoTena, s.r.o.</w:t>
      </w:r>
    </w:p>
    <w:p>
      <w:pPr>
        <w:numPr>
          <w:ilvl w:val="0"/>
          <w:numId w:val="9"/>
        </w:numPr>
        <w:tabs>
          <w:tab w:val="left" w:pos="384" w:leader="none"/>
        </w:tabs>
        <w:spacing w:before="7" w:after="0" w:line="240"/>
        <w:ind w:right="0" w:left="71" w:hanging="232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Hontianska cesta 4/657</w:t>
      </w:r>
    </w:p>
    <w:p>
      <w:pPr>
        <w:numPr>
          <w:ilvl w:val="0"/>
          <w:numId w:val="9"/>
        </w:numPr>
        <w:tabs>
          <w:tab w:val="left" w:pos="384" w:leader="none"/>
        </w:tabs>
        <w:spacing w:before="93" w:after="0" w:line="240"/>
        <w:ind w:right="0" w:left="0" w:hanging="232"/>
        <w:jc w:val="left"/>
        <w:rPr>
          <w:rFonts w:ascii="Arial" w:hAnsi="Arial" w:cs="Arial" w:eastAsia="Arial"/>
          <w:color w:val="auto"/>
          <w:spacing w:val="0"/>
          <w:position w:val="2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2"/>
          <w:sz w:val="18"/>
          <w:shd w:fill="auto" w:val="clear"/>
        </w:rPr>
        <w:t xml:space="preserve">Názov právnickej osoby a jej sídlo</w:t>
      </w:r>
    </w:p>
    <w:p>
      <w:pPr>
        <w:spacing w:before="9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2"/>
          <w:shd w:fill="auto" w:val="clear"/>
        </w:rPr>
      </w:pPr>
    </w:p>
    <w:p>
      <w:pPr>
        <w:numPr>
          <w:ilvl w:val="0"/>
          <w:numId w:val="12"/>
        </w:numPr>
        <w:tabs>
          <w:tab w:val="left" w:pos="296" w:leader="none"/>
        </w:tabs>
        <w:spacing w:before="111" w:after="0" w:line="240"/>
        <w:ind w:right="0" w:left="285" w:hanging="20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čnosť nie je súčasťou konsolidovaného celku.</w:t>
      </w:r>
    </w:p>
    <w:p>
      <w:pPr>
        <w:numPr>
          <w:ilvl w:val="0"/>
          <w:numId w:val="12"/>
        </w:numPr>
        <w:tabs>
          <w:tab w:val="left" w:pos="380" w:leader="none"/>
        </w:tabs>
        <w:spacing w:before="2" w:after="0" w:line="240"/>
        <w:ind w:right="0" w:left="0" w:hanging="233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2"/>
        </w:numPr>
        <w:tabs>
          <w:tab w:val="left" w:pos="296" w:leader="none"/>
        </w:tabs>
        <w:spacing w:before="94" w:after="0" w:line="240"/>
        <w:ind w:right="3676" w:left="285" w:hanging="20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čnosť nemá povinnosť vykonať konsolidovanú účtovnú závierku podľa § 22. Spoločnosť nemá podiel v žiadnych dcérskych účtovných jednotkách.</w:t>
      </w:r>
    </w:p>
    <w:p>
      <w:pPr>
        <w:numPr>
          <w:ilvl w:val="0"/>
          <w:numId w:val="12"/>
        </w:numPr>
        <w:tabs>
          <w:tab w:val="left" w:pos="380" w:leader="none"/>
        </w:tabs>
        <w:spacing w:before="94" w:after="0" w:line="240"/>
        <w:ind w:right="0" w:left="0" w:hanging="233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Údaje o konsolidovanom celku</w:t>
      </w:r>
    </w:p>
    <w:p>
      <w:pPr>
        <w:spacing w:before="4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8"/>
          <w:shd w:fill="auto" w:val="clear"/>
        </w:rPr>
      </w:pPr>
    </w:p>
    <w:p>
      <w:pPr>
        <w:numPr>
          <w:ilvl w:val="0"/>
          <w:numId w:val="17"/>
        </w:numPr>
        <w:tabs>
          <w:tab w:val="left" w:pos="399" w:leader="none"/>
        </w:tabs>
        <w:spacing w:before="95" w:after="0" w:line="240"/>
        <w:ind w:right="0" w:left="0" w:hanging="232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numPr>
          <w:ilvl w:val="0"/>
          <w:numId w:val="17"/>
        </w:numPr>
        <w:tabs>
          <w:tab w:val="left" w:pos="399" w:leader="none"/>
        </w:tabs>
        <w:spacing w:before="95" w:after="0" w:line="240"/>
        <w:ind w:right="0" w:left="0" w:hanging="232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Priemerný prepo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čítaný počet zamestnancov</w:t>
      </w:r>
    </w:p>
    <w:p>
      <w:pPr>
        <w:numPr>
          <w:ilvl w:val="0"/>
          <w:numId w:val="17"/>
        </w:numPr>
        <w:tabs>
          <w:tab w:val="left" w:pos="296" w:leader="none"/>
        </w:tabs>
        <w:spacing w:before="110" w:after="0" w:line="240"/>
        <w:ind w:right="0" w:left="295" w:hanging="21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čtovná závierka bola zostavená za predpokladu nepretržitého trvania Spoločnosti.</w:t>
      </w:r>
    </w:p>
    <w:p>
      <w:pPr>
        <w:numPr>
          <w:ilvl w:val="0"/>
          <w:numId w:val="17"/>
        </w:numPr>
        <w:tabs>
          <w:tab w:val="left" w:pos="370" w:leader="none"/>
        </w:tabs>
        <w:spacing w:before="2" w:after="0" w:line="240"/>
        <w:ind w:right="0" w:left="0" w:hanging="221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7"/>
        </w:numPr>
        <w:tabs>
          <w:tab w:val="left" w:pos="296" w:leader="none"/>
        </w:tabs>
        <w:spacing w:before="94" w:after="0" w:line="240"/>
        <w:ind w:right="0" w:left="295" w:hanging="21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čnosť oceňuje majetok a záväzky ku dňu uskutočnenia účtovného prípadu.</w:t>
      </w:r>
    </w:p>
    <w:p>
      <w:pPr>
        <w:numPr>
          <w:ilvl w:val="0"/>
          <w:numId w:val="17"/>
        </w:numPr>
        <w:tabs>
          <w:tab w:val="left" w:pos="370" w:leader="none"/>
        </w:tabs>
        <w:spacing w:before="2" w:after="0" w:line="240"/>
        <w:ind w:right="0" w:left="0" w:hanging="221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7"/>
        </w:numPr>
        <w:tabs>
          <w:tab w:val="left" w:pos="196" w:leader="none"/>
        </w:tabs>
        <w:spacing w:before="94" w:after="0" w:line="240"/>
        <w:ind w:right="794" w:left="185" w:hanging="10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Ku d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ňu uskutočnenia účtovného prípadu oceňovala spoločnosť dlhodobý hmotný majetok, dlhodobý nehmotný majetok a dlhodobý finančný majetok nadobudnutý kúpou obstarávacou cenou</w:t>
      </w:r>
    </w:p>
    <w:p>
      <w:pPr>
        <w:numPr>
          <w:ilvl w:val="0"/>
          <w:numId w:val="17"/>
        </w:numPr>
        <w:tabs>
          <w:tab w:val="left" w:pos="196" w:leader="none"/>
        </w:tabs>
        <w:spacing w:before="2" w:after="0" w:line="240"/>
        <w:ind w:right="1873" w:left="185" w:hanging="10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Ku d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ňu uskutočnenia účtovného prípadu oceňovala spoločnosť menovitou hodnotou zásoby, pohľadávky, krátkodobý finančný majetok, záväzky (vrátane rezerv, dlhopisov, pôžičiek a úverov) pri ich vzniku.</w:t>
      </w:r>
    </w:p>
    <w:p>
      <w:pPr>
        <w:numPr>
          <w:ilvl w:val="0"/>
          <w:numId w:val="17"/>
        </w:numPr>
        <w:tabs>
          <w:tab w:val="left" w:pos="370" w:leader="none"/>
        </w:tabs>
        <w:spacing w:before="3" w:after="0" w:line="240"/>
        <w:ind w:right="0" w:left="0" w:hanging="221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7"/>
        </w:numPr>
        <w:tabs>
          <w:tab w:val="left" w:pos="370" w:leader="none"/>
        </w:tabs>
        <w:spacing w:before="1" w:after="0" w:line="240"/>
        <w:ind w:right="0" w:left="85" w:hanging="221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3) Odpisový plán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čnosti:</w:t>
      </w:r>
    </w:p>
    <w:p>
      <w:pPr>
        <w:numPr>
          <w:ilvl w:val="0"/>
          <w:numId w:val="17"/>
        </w:numPr>
        <w:tabs>
          <w:tab w:val="left" w:pos="370" w:leader="none"/>
        </w:tabs>
        <w:spacing w:before="2" w:after="0" w:line="240"/>
        <w:ind w:right="0" w:left="0" w:hanging="221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7"/>
        </w:numPr>
        <w:tabs>
          <w:tab w:val="left" w:pos="196" w:leader="none"/>
        </w:tabs>
        <w:spacing w:before="94" w:after="0" w:line="240"/>
        <w:ind w:right="0" w:left="195" w:hanging="11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Nehmotný majetok, ktorého ocenenie sa rovná alebo je nižšie ako 2.400 EUR sa ú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čtuje na ťarchu účtu 518-Ostatné služby.</w:t>
      </w:r>
    </w:p>
    <w:p>
      <w:pPr>
        <w:numPr>
          <w:ilvl w:val="0"/>
          <w:numId w:val="17"/>
        </w:numPr>
        <w:tabs>
          <w:tab w:val="left" w:pos="196" w:leader="none"/>
        </w:tabs>
        <w:spacing w:before="1" w:after="0" w:line="240"/>
        <w:ind w:right="0" w:left="195" w:hanging="11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Nehmotný majetok, ktorého ocenenie je vyššie, zaradí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čnosť do dlhodobého nehmotného majetku.</w:t>
      </w:r>
    </w:p>
    <w:p>
      <w:pPr>
        <w:numPr>
          <w:ilvl w:val="0"/>
          <w:numId w:val="17"/>
        </w:numPr>
        <w:tabs>
          <w:tab w:val="left" w:pos="196" w:leader="none"/>
        </w:tabs>
        <w:spacing w:before="1" w:after="0" w:line="240"/>
        <w:ind w:right="0" w:left="195" w:hanging="11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Hmotný majetok, ktorého ocenenie sa rovná alebo je nižšie ako 1.700 EUR sa ú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čtuje na ťarchu účtu 501-Spotreba materiálu.</w:t>
      </w:r>
    </w:p>
    <w:p>
      <w:pPr>
        <w:numPr>
          <w:ilvl w:val="0"/>
          <w:numId w:val="17"/>
        </w:numPr>
        <w:tabs>
          <w:tab w:val="left" w:pos="196" w:leader="none"/>
        </w:tabs>
        <w:spacing w:before="1" w:after="0" w:line="240"/>
        <w:ind w:right="0" w:left="195" w:hanging="11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Hmotný majetok, ktorého ocenenie je vyššie, zaradí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čnosť do dlhodobého hmotného majetku.</w:t>
      </w:r>
    </w:p>
    <w:p>
      <w:pPr>
        <w:numPr>
          <w:ilvl w:val="0"/>
          <w:numId w:val="17"/>
        </w:numPr>
        <w:tabs>
          <w:tab w:val="left" w:pos="370" w:leader="none"/>
        </w:tabs>
        <w:spacing w:before="1" w:after="0" w:line="240"/>
        <w:ind w:right="0" w:left="85" w:hanging="221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čnosť stanovila interným predpisom, že účtovné odpisy dlhodobého majetku sa rovnajú daňovým odpisom.</w:t>
      </w:r>
    </w:p>
    <w:p>
      <w:pPr>
        <w:numPr>
          <w:ilvl w:val="0"/>
          <w:numId w:val="17"/>
        </w:numPr>
        <w:tabs>
          <w:tab w:val="left" w:pos="370" w:leader="none"/>
        </w:tabs>
        <w:spacing w:before="2" w:after="0" w:line="240"/>
        <w:ind w:right="0" w:left="0" w:hanging="221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7"/>
        </w:numPr>
        <w:tabs>
          <w:tab w:val="left" w:pos="296" w:leader="none"/>
        </w:tabs>
        <w:spacing w:before="94" w:after="0" w:line="240"/>
        <w:ind w:right="1155" w:left="285" w:hanging="20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čnosť v sledovanom účtovnom období neuskutočnila zmenu účtovných zásad a účtovných metód.</w:t>
      </w:r>
    </w:p>
    <w:p>
      <w:pPr>
        <w:numPr>
          <w:ilvl w:val="0"/>
          <w:numId w:val="17"/>
        </w:numPr>
        <w:tabs>
          <w:tab w:val="left" w:pos="370" w:leader="none"/>
        </w:tabs>
        <w:spacing w:before="3" w:after="0" w:line="240"/>
        <w:ind w:right="0" w:left="0" w:hanging="221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7"/>
        </w:numPr>
        <w:tabs>
          <w:tab w:val="left" w:pos="296" w:leader="none"/>
        </w:tabs>
        <w:spacing w:before="1" w:after="0" w:line="240"/>
        <w:ind w:right="0" w:left="285" w:hanging="20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čnosť v sledovanom období neúčtovala a neprijala dotácie.</w:t>
      </w:r>
    </w:p>
    <w:p>
      <w:pPr>
        <w:numPr>
          <w:ilvl w:val="0"/>
          <w:numId w:val="17"/>
        </w:numPr>
        <w:tabs>
          <w:tab w:val="left" w:pos="370" w:leader="none"/>
        </w:tabs>
        <w:spacing w:before="94" w:after="0" w:line="240"/>
        <w:ind w:right="0" w:left="379" w:hanging="21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tabs>
          <w:tab w:val="left" w:pos="296" w:leader="none"/>
        </w:tabs>
        <w:spacing w:before="94" w:after="0" w:line="240"/>
        <w:ind w:right="0" w:left="285" w:hanging="200"/>
        <w:jc w:val="left"/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18"/>
          <w:shd w:fill="auto" w:val="clear"/>
        </w:rPr>
        <w:t xml:space="preserve">čnosť v sledovanom období neúčtovala o významných opravách chýb minulých účtovných období.</w:t>
      </w:r>
    </w:p>
    <w:p>
      <w:pPr>
        <w:numPr>
          <w:ilvl w:val="0"/>
          <w:numId w:val="17"/>
        </w:numPr>
        <w:tabs>
          <w:tab w:val="left" w:pos="370" w:leader="none"/>
        </w:tabs>
        <w:spacing w:before="94" w:after="0" w:line="240"/>
        <w:ind w:right="0" w:left="0" w:hanging="221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 o prijatých postupoch</w:t>
      </w:r>
    </w:p>
    <w:p>
      <w:pPr>
        <w:numPr>
          <w:ilvl w:val="0"/>
          <w:numId w:val="17"/>
        </w:numPr>
        <w:tabs>
          <w:tab w:val="left" w:pos="473" w:leader="none"/>
        </w:tabs>
        <w:spacing w:before="93" w:after="0" w:line="240"/>
        <w:ind w:right="0" w:left="472" w:hanging="28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ľujú a dopĺňajú súvahu a výkaz ziskov a strát</w:t>
      </w:r>
    </w:p>
    <w:p>
      <w:pPr>
        <w:spacing w:before="95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0"/>
        </w:numPr>
        <w:spacing w:before="123" w:after="0" w:line="240"/>
        <w:ind w:right="331" w:left="75" w:hanging="231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čnosť v sledovanom období neúčtovala o nákladoch alebo výnosoch, ktoré majú výnimočný rozsah alebo výskyt (predaj podniku, živelné pohromy a podobne)</w:t>
      </w:r>
    </w:p>
    <w:p>
      <w:pPr>
        <w:numPr>
          <w:ilvl w:val="0"/>
          <w:numId w:val="40"/>
        </w:numPr>
        <w:spacing w:before="95" w:after="0" w:line="240"/>
        <w:ind w:right="0" w:left="418" w:hanging="231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Informácia o sume a dôvodoch vzniku jednotlivých položiek nákladov alebo výnosov, ktoré majú výnimo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čný rozsah alebo výskyt</w:t>
      </w:r>
    </w:p>
    <w:p>
      <w:pPr>
        <w:spacing w:before="1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5"/>
          <w:shd w:fill="auto" w:val="clear"/>
        </w:rPr>
      </w:pPr>
    </w:p>
    <w:p>
      <w:pPr>
        <w:numPr>
          <w:ilvl w:val="0"/>
          <w:numId w:val="43"/>
        </w:numPr>
        <w:tabs>
          <w:tab w:val="left" w:pos="415" w:leader="none"/>
        </w:tabs>
        <w:spacing w:before="95" w:after="0" w:line="240"/>
        <w:ind w:right="0" w:left="414" w:hanging="21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Informácie o záväzkoch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7"/>
          <w:shd w:fill="auto" w:val="clear"/>
        </w:rPr>
      </w:pPr>
    </w:p>
    <w:tbl>
      <w:tblPr/>
      <w:tblGrid>
        <w:gridCol w:w="6780"/>
        <w:gridCol w:w="3643"/>
      </w:tblGrid>
      <w:tr>
        <w:trPr>
          <w:trHeight w:val="778" w:hRule="auto"/>
          <w:jc w:val="center"/>
        </w:trPr>
        <w:tc>
          <w:tcPr>
            <w:tcW w:w="10423" w:type="dxa"/>
            <w:gridSpan w:val="2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5" w:hRule="auto"/>
          <w:jc w:val="center"/>
        </w:trPr>
        <w:tc>
          <w:tcPr>
            <w:tcW w:w="678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7" w:after="0" w:line="240"/>
              <w:ind w:right="0" w:left="15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suma záväzkov so zostatkovou dobou splatnosti dlhšou ako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ť rokov</w:t>
            </w:r>
          </w:p>
        </w:tc>
        <w:tc>
          <w:tcPr>
            <w:tcW w:w="3643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19" w:hRule="auto"/>
          <w:jc w:val="center"/>
        </w:trPr>
        <w:tc>
          <w:tcPr>
            <w:tcW w:w="6780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76" w:after="0" w:line="240"/>
              <w:ind w:right="2362" w:left="2247" w:firstLine="0"/>
              <w:jc w:val="center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Formy zabezpe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čenia záväzku</w:t>
            </w:r>
          </w:p>
          <w:p>
            <w:pPr>
              <w:spacing w:before="6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4"/>
                <w:shd w:fill="auto" w:val="clear"/>
              </w:rPr>
            </w:pPr>
          </w:p>
          <w:p>
            <w:pPr>
              <w:spacing w:before="1" w:after="0" w:line="240"/>
              <w:ind w:right="0" w:left="11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čenie záväzku ručením</w:t>
            </w:r>
          </w:p>
        </w:tc>
        <w:tc>
          <w:tcPr>
            <w:tcW w:w="3643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7" w:after="0" w:line="240"/>
              <w:ind w:right="0" w:left="61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Suma zabezpe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čeného záväzku</w:t>
            </w:r>
          </w:p>
        </w:tc>
      </w:tr>
      <w:tr>
        <w:trPr>
          <w:trHeight w:val="366" w:hRule="auto"/>
          <w:jc w:val="center"/>
        </w:trPr>
        <w:tc>
          <w:tcPr>
            <w:tcW w:w="6780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76" w:after="0" w:line="240"/>
              <w:ind w:right="0" w:left="13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čenie záväzku zmluvnou pokutou</w:t>
            </w:r>
          </w:p>
        </w:tc>
        <w:tc>
          <w:tcPr>
            <w:tcW w:w="3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6" w:hRule="auto"/>
          <w:jc w:val="center"/>
        </w:trPr>
        <w:tc>
          <w:tcPr>
            <w:tcW w:w="6780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87" w:after="0" w:line="240"/>
              <w:ind w:right="0" w:left="13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čovací prevod práva</w:t>
            </w:r>
          </w:p>
        </w:tc>
        <w:tc>
          <w:tcPr>
            <w:tcW w:w="3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82" w:hRule="auto"/>
          <w:jc w:val="center"/>
        </w:trPr>
        <w:tc>
          <w:tcPr>
            <w:tcW w:w="6780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2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čovacie postúpenie pohľadávky</w:t>
            </w:r>
          </w:p>
        </w:tc>
        <w:tc>
          <w:tcPr>
            <w:tcW w:w="36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6780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6" w:after="0" w:line="240"/>
              <w:ind w:right="0" w:left="13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Iná forma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čenia</w:t>
            </w:r>
          </w:p>
        </w:tc>
        <w:tc>
          <w:tcPr>
            <w:tcW w:w="364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2" w:hRule="auto"/>
          <w:jc w:val="center"/>
        </w:trPr>
        <w:tc>
          <w:tcPr>
            <w:tcW w:w="678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4" w:after="0" w:line="240"/>
              <w:ind w:right="0" w:left="113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suma zabezpe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čených záväzkov</w:t>
            </w:r>
          </w:p>
        </w:tc>
        <w:tc>
          <w:tcPr>
            <w:tcW w:w="3643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73" w:after="0" w:line="240"/>
              <w:ind w:right="0" w:left="234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5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3"/>
          <w:shd w:fill="auto" w:val="clear"/>
        </w:rPr>
        <w:t xml:space="preserve"> </w:t>
      </w:r>
    </w:p>
    <w:p>
      <w:pPr>
        <w:numPr>
          <w:ilvl w:val="0"/>
          <w:numId w:val="79"/>
        </w:numPr>
        <w:tabs>
          <w:tab w:val="left" w:pos="419" w:leader="none"/>
        </w:tabs>
        <w:spacing w:before="1" w:after="0" w:line="240"/>
        <w:ind w:right="0" w:left="418" w:hanging="21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Informácie o vlastných akciách</w:t>
      </w:r>
    </w:p>
    <w:p>
      <w:pPr>
        <w:spacing w:before="7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8"/>
          <w:shd w:fill="auto" w:val="clear"/>
        </w:rPr>
      </w:pPr>
    </w:p>
    <w:tbl>
      <w:tblPr/>
      <w:tblGrid>
        <w:gridCol w:w="1745"/>
        <w:gridCol w:w="1763"/>
        <w:gridCol w:w="1742"/>
        <w:gridCol w:w="1721"/>
        <w:gridCol w:w="1714"/>
        <w:gridCol w:w="1739"/>
      </w:tblGrid>
      <w:tr>
        <w:trPr>
          <w:trHeight w:val="1410" w:hRule="auto"/>
          <w:jc w:val="center"/>
        </w:trPr>
        <w:tc>
          <w:tcPr>
            <w:tcW w:w="10424" w:type="dxa"/>
            <w:gridSpan w:val="6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8" w:after="0" w:line="240"/>
              <w:ind w:right="0" w:left="8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Spolo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čnosť počas účtovného obdobia nenadobudla ani nepreviedla vlastné akcie.</w:t>
            </w:r>
          </w:p>
        </w:tc>
      </w:tr>
      <w:tr>
        <w:trPr>
          <w:trHeight w:val="951" w:hRule="auto"/>
          <w:jc w:val="center"/>
        </w:trPr>
        <w:tc>
          <w:tcPr>
            <w:tcW w:w="1745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70" w:after="0" w:line="240"/>
              <w:ind w:right="235" w:left="26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čet a menovitá hodnota nadobudnutých vlastných akcií</w:t>
            </w:r>
          </w:p>
        </w:tc>
        <w:tc>
          <w:tcPr>
            <w:tcW w:w="1763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8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4"/>
                <w:shd w:fill="auto" w:val="clear"/>
              </w:rPr>
            </w:pPr>
          </w:p>
          <w:p>
            <w:pPr>
              <w:spacing w:before="0" w:after="0" w:line="249"/>
              <w:ind w:right="181" w:left="471" w:hanging="85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čet a hodnota nadobudnutia vlastných akcií</w:t>
            </w:r>
          </w:p>
        </w:tc>
        <w:tc>
          <w:tcPr>
            <w:tcW w:w="1742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45" w:after="0" w:line="273"/>
              <w:ind w:right="137" w:left="406" w:hanging="23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Podiel na upísanom základnom imaní v%</w:t>
            </w:r>
          </w:p>
        </w:tc>
        <w:tc>
          <w:tcPr>
            <w:tcW w:w="1721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44" w:after="0" w:line="249"/>
              <w:ind w:right="261" w:left="293" w:hanging="138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Menovitá hodnota prevedených vlastných akcií</w:t>
            </w:r>
          </w:p>
        </w:tc>
        <w:tc>
          <w:tcPr>
            <w:tcW w:w="171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48" w:after="0" w:line="249"/>
              <w:ind w:right="264" w:left="27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čet a hodnota prevedenia vlastných akcií</w:t>
            </w:r>
          </w:p>
        </w:tc>
        <w:tc>
          <w:tcPr>
            <w:tcW w:w="173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42" w:after="0" w:line="249"/>
              <w:ind w:right="503" w:left="449" w:hanging="1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Podiel na základnom imaní v %</w:t>
            </w:r>
          </w:p>
        </w:tc>
      </w:tr>
      <w:tr>
        <w:trPr>
          <w:trHeight w:val="345" w:hRule="auto"/>
          <w:jc w:val="center"/>
        </w:trPr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3" w:hRule="auto"/>
          <w:jc w:val="center"/>
        </w:trPr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9" w:hRule="auto"/>
          <w:jc w:val="center"/>
        </w:trPr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7" w:hRule="auto"/>
          <w:jc w:val="center"/>
        </w:trPr>
        <w:tc>
          <w:tcPr>
            <w:tcW w:w="174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2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4" w:hRule="auto"/>
          <w:jc w:val="center"/>
        </w:trPr>
        <w:tc>
          <w:tcPr>
            <w:tcW w:w="3508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0" w:after="0" w:line="240"/>
              <w:ind w:right="265" w:left="65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43" w:after="0" w:line="240"/>
              <w:ind w:right="301" w:left="403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čet a hodnota nadobudnutia vlastných akcií držaných</w:t>
            </w:r>
          </w:p>
          <w:p>
            <w:pPr>
              <w:spacing w:before="0" w:after="0" w:line="240"/>
              <w:ind w:right="304" w:left="40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k poslednému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ňu účtovného obdobia</w:t>
            </w:r>
          </w:p>
        </w:tc>
        <w:tc>
          <w:tcPr>
            <w:tcW w:w="3453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1"/>
                <w:shd w:fill="auto" w:val="clear"/>
              </w:rPr>
            </w:pPr>
          </w:p>
          <w:p>
            <w:pPr>
              <w:spacing w:before="1" w:after="0" w:line="240"/>
              <w:ind w:right="278" w:left="946" w:firstLine="5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Podiel na upísanom základnom imaní v %</w:t>
            </w:r>
          </w:p>
        </w:tc>
      </w:tr>
      <w:tr>
        <w:trPr>
          <w:trHeight w:val="356" w:hRule="auto"/>
          <w:jc w:val="center"/>
        </w:trPr>
        <w:tc>
          <w:tcPr>
            <w:tcW w:w="350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0" w:hRule="auto"/>
          <w:jc w:val="center"/>
        </w:trPr>
        <w:tc>
          <w:tcPr>
            <w:tcW w:w="350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0" w:hRule="auto"/>
          <w:jc w:val="center"/>
        </w:trPr>
        <w:tc>
          <w:tcPr>
            <w:tcW w:w="350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7" w:hRule="auto"/>
          <w:jc w:val="center"/>
        </w:trPr>
        <w:tc>
          <w:tcPr>
            <w:tcW w:w="3508" w:type="dxa"/>
            <w:gridSpan w:val="2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3" w:type="dxa"/>
            <w:gridSpan w:val="2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53" w:type="dxa"/>
            <w:gridSpan w:val="2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94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24"/>
        </w:numPr>
        <w:tabs>
          <w:tab w:val="left" w:pos="399" w:leader="none"/>
        </w:tabs>
        <w:spacing w:before="0" w:after="0" w:line="240"/>
        <w:ind w:right="0" w:left="398" w:hanging="21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Informácie o orgánoch 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čtovnej jednotky</w:t>
      </w:r>
    </w:p>
    <w:p>
      <w:pPr>
        <w:spacing w:before="2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11"/>
          <w:shd w:fill="auto" w:val="clear"/>
        </w:rPr>
      </w:pPr>
    </w:p>
    <w:tbl>
      <w:tblPr/>
      <w:tblGrid>
        <w:gridCol w:w="3751"/>
        <w:gridCol w:w="1326"/>
        <w:gridCol w:w="853"/>
        <w:gridCol w:w="1335"/>
        <w:gridCol w:w="849"/>
        <w:gridCol w:w="1344"/>
        <w:gridCol w:w="996"/>
      </w:tblGrid>
      <w:tr>
        <w:trPr>
          <w:trHeight w:val="2785" w:hRule="auto"/>
          <w:jc w:val="center"/>
        </w:trPr>
        <w:tc>
          <w:tcPr>
            <w:tcW w:w="10454" w:type="dxa"/>
            <w:gridSpan w:val="7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165" w:left="8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Spolo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čnosť v sledovanom období neposkytla žiadnym riadiacim alebo kontrolným orgánom spoločnosti záruky, pôžičky alebo iné zabezpečenia, finančné prostriedky alebo iné plnenia.</w:t>
            </w:r>
          </w:p>
        </w:tc>
      </w:tr>
      <w:tr>
        <w:trPr>
          <w:trHeight w:val="315" w:hRule="auto"/>
          <w:jc w:val="center"/>
        </w:trPr>
        <w:tc>
          <w:tcPr>
            <w:tcW w:w="3751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9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3" w:after="0" w:line="240"/>
              <w:ind w:right="0" w:left="52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Štatutárny orgán</w:t>
            </w:r>
          </w:p>
        </w:tc>
        <w:tc>
          <w:tcPr>
            <w:tcW w:w="2184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8" w:after="0" w:line="240"/>
              <w:ind w:right="0" w:left="57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Dozorný orgán</w:t>
            </w:r>
          </w:p>
        </w:tc>
        <w:tc>
          <w:tcPr>
            <w:tcW w:w="2340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3" w:after="0" w:line="240"/>
              <w:ind w:right="810" w:left="81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Iný orgán</w:t>
            </w:r>
          </w:p>
        </w:tc>
      </w:tr>
      <w:tr>
        <w:trPr>
          <w:trHeight w:val="506" w:hRule="auto"/>
          <w:jc w:val="center"/>
        </w:trPr>
        <w:tc>
          <w:tcPr>
            <w:tcW w:w="37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</w:pPr>
          </w:p>
          <w:p>
            <w:pPr>
              <w:spacing w:before="1" w:after="0" w:line="240"/>
              <w:ind w:right="0" w:left="75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suma</w:t>
            </w:r>
          </w:p>
        </w:tc>
        <w:tc>
          <w:tcPr>
            <w:tcW w:w="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1" w:after="0" w:line="249"/>
              <w:ind w:right="43" w:left="237" w:hanging="2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úroková sadzba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5"/>
                <w:shd w:fill="auto" w:val="clear"/>
              </w:rPr>
            </w:pPr>
          </w:p>
          <w:p>
            <w:pPr>
              <w:spacing w:before="1" w:after="0" w:line="240"/>
              <w:ind w:right="0" w:left="73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suma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79" w:after="0" w:line="249"/>
              <w:ind w:right="47" w:left="229" w:hanging="2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úroková sadzba</w:t>
            </w:r>
          </w:p>
        </w:tc>
        <w:tc>
          <w:tcPr>
            <w:tcW w:w="1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14"/>
                <w:shd w:fill="auto" w:val="clear"/>
              </w:rPr>
            </w:pPr>
          </w:p>
          <w:p>
            <w:pPr>
              <w:spacing w:before="1" w:after="0" w:line="240"/>
              <w:ind w:right="0" w:left="73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suma</w:t>
            </w:r>
          </w:p>
        </w:tc>
        <w:tc>
          <w:tcPr>
            <w:tcW w:w="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76" w:after="0" w:line="249"/>
              <w:ind w:right="162" w:left="261" w:hanging="27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  <w:t xml:space="preserve">úroková sadzba</w:t>
            </w:r>
          </w:p>
        </w:tc>
      </w:tr>
      <w:tr>
        <w:trPr>
          <w:trHeight w:val="388" w:hRule="auto"/>
          <w:jc w:val="center"/>
        </w:trPr>
        <w:tc>
          <w:tcPr>
            <w:tcW w:w="3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77" w:after="0" w:line="240"/>
              <w:ind w:right="0" w:left="14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suma poskytnutých pôži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čiek</w:t>
            </w:r>
          </w:p>
        </w:tc>
        <w:tc>
          <w:tcPr>
            <w:tcW w:w="13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47" w:hRule="auto"/>
          <w:jc w:val="center"/>
        </w:trPr>
        <w:tc>
          <w:tcPr>
            <w:tcW w:w="3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70" w:after="0" w:line="240"/>
              <w:ind w:right="673" w:left="14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suma splatených pôži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čiek k poslednému dňu účtovného obdobia</w:t>
            </w:r>
          </w:p>
        </w:tc>
        <w:tc>
          <w:tcPr>
            <w:tcW w:w="13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9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6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ans Narrow" w:hAnsi="Liberation Sans Narrow" w:cs="Liberation Sans Narrow" w:eastAsia="Liberation Sans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17"/>
                <w:shd w:fill="auto" w:val="clear"/>
              </w:rPr>
            </w:pPr>
          </w:p>
          <w:p>
            <w:pPr>
              <w:spacing w:before="0" w:after="0" w:line="240"/>
              <w:ind w:right="0" w:left="31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ans Narrow" w:hAnsi="Liberation Sans Narrow" w:cs="Liberation Sans Narrow" w:eastAsia="Liberation Sans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17"/>
                <w:shd w:fill="auto" w:val="clear"/>
              </w:rPr>
            </w:pPr>
          </w:p>
          <w:p>
            <w:pPr>
              <w:spacing w:before="0" w:after="0" w:line="240"/>
              <w:ind w:right="0" w:left="374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ans Narrow" w:hAnsi="Liberation Sans Narrow" w:cs="Liberation Sans Narrow" w:eastAsia="Liberation Sans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  <w:tr>
        <w:trPr>
          <w:trHeight w:val="743" w:hRule="auto"/>
          <w:jc w:val="center"/>
        </w:trPr>
        <w:tc>
          <w:tcPr>
            <w:tcW w:w="3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9" w:after="0" w:line="240"/>
              <w:ind w:right="435" w:left="14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suma odpustených pôži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čiek a odpísaných pôžičiek k poslednému dňu účtovného obdobia</w:t>
            </w:r>
          </w:p>
        </w:tc>
        <w:tc>
          <w:tcPr>
            <w:tcW w:w="13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ans Narrow" w:hAnsi="Liberation Sans Narrow" w:cs="Liberation Sans Narrow" w:eastAsia="Liberation Sans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" w:after="0" w:line="240"/>
              <w:ind w:right="0" w:left="31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ans Narrow" w:hAnsi="Liberation Sans Narrow" w:cs="Liberation Sans Narrow" w:eastAsia="Liberation Sans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4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379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ans Narrow" w:hAnsi="Liberation Sans Narrow" w:cs="Liberation Sans Narrow" w:eastAsia="Liberation Sans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  <w:tr>
        <w:trPr>
          <w:trHeight w:val="522" w:hRule="auto"/>
          <w:jc w:val="center"/>
        </w:trPr>
        <w:tc>
          <w:tcPr>
            <w:tcW w:w="37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4" w:after="0" w:line="240"/>
              <w:ind w:right="912" w:left="14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Poskytnuté preddavky na budúce mzdy a platy, odmeny, prémie</w:t>
            </w:r>
          </w:p>
        </w:tc>
        <w:tc>
          <w:tcPr>
            <w:tcW w:w="13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71" w:hRule="auto"/>
          <w:jc w:val="center"/>
        </w:trPr>
        <w:tc>
          <w:tcPr>
            <w:tcW w:w="3751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9" w:after="0" w:line="240"/>
              <w:ind w:right="172" w:left="13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suma záruk pod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3"/>
                <w:shd w:fill="auto" w:val="clear"/>
              </w:rPr>
            </w:pPr>
          </w:p>
          <w:p>
            <w:pPr>
              <w:spacing w:before="1" w:after="0" w:line="240"/>
              <w:ind w:right="0" w:left="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ans Narrow" w:hAnsi="Liberation Sans Narrow" w:cs="Liberation Sans Narrow" w:eastAsia="Liberation Sans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33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31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ans Narrow" w:hAnsi="Liberation Sans Narrow" w:cs="Liberation Sans Narrow" w:eastAsia="Liberation Sans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34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7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375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Liberation Sans Narrow" w:hAnsi="Liberation Sans Narrow" w:cs="Liberation Sans Narrow" w:eastAsia="Liberation Sans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88"/>
        </w:numPr>
        <w:tabs>
          <w:tab w:val="left" w:pos="303" w:leader="none"/>
        </w:tabs>
        <w:spacing w:before="126" w:after="0" w:line="240"/>
        <w:ind w:right="0" w:left="302" w:hanging="21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čnosť nemá žiadne finančné povinnosti, ktoré sa nevykazujú v súvahe.</w:t>
      </w:r>
    </w:p>
    <w:p>
      <w:pPr>
        <w:numPr>
          <w:ilvl w:val="0"/>
          <w:numId w:val="188"/>
        </w:numPr>
        <w:tabs>
          <w:tab w:val="left" w:pos="380" w:leader="none"/>
        </w:tabs>
        <w:spacing w:before="2" w:after="0" w:line="240"/>
        <w:ind w:right="0" w:left="379" w:hanging="21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88"/>
        </w:numPr>
        <w:tabs>
          <w:tab w:val="left" w:pos="303" w:leader="none"/>
        </w:tabs>
        <w:spacing w:before="1" w:after="0" w:line="240"/>
        <w:ind w:right="0" w:left="302" w:hanging="21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čnosť nemá vedomosť o žiadnych podmienených záväzkoch spoločnosti.</w:t>
      </w:r>
    </w:p>
    <w:p>
      <w:pPr>
        <w:numPr>
          <w:ilvl w:val="0"/>
          <w:numId w:val="188"/>
        </w:numPr>
        <w:tabs>
          <w:tab w:val="left" w:pos="380" w:leader="none"/>
        </w:tabs>
        <w:spacing w:before="2" w:after="0" w:line="240"/>
        <w:ind w:right="0" w:left="379" w:hanging="21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88"/>
        </w:numPr>
        <w:tabs>
          <w:tab w:val="left" w:pos="380" w:leader="none"/>
        </w:tabs>
        <w:spacing w:before="165" w:after="0" w:line="240"/>
        <w:ind w:right="593" w:left="91" w:hanging="21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c) Spolo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čnosť neeviduje ani neúčtuje o žiadnych významných povinnostiach vyplývajúcich z dôchodkových programov pre zamestnancov.</w:t>
      </w:r>
    </w:p>
    <w:p>
      <w:pPr>
        <w:numPr>
          <w:ilvl w:val="0"/>
          <w:numId w:val="188"/>
        </w:numPr>
        <w:tabs>
          <w:tab w:val="left" w:pos="380" w:leader="none"/>
        </w:tabs>
        <w:spacing w:before="165" w:after="0" w:line="240"/>
        <w:ind w:right="0" w:left="379" w:hanging="210"/>
        <w:jc w:val="left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Informácie o povinnostiach ú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čtovnej jednotky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7">
    <w:abstractNumId w:val="48"/>
  </w:num>
  <w:num w:numId="9">
    <w:abstractNumId w:val="42"/>
  </w:num>
  <w:num w:numId="12">
    <w:abstractNumId w:val="36"/>
  </w:num>
  <w:num w:numId="17">
    <w:abstractNumId w:val="30"/>
  </w:num>
  <w:num w:numId="40">
    <w:abstractNumId w:val="24"/>
  </w:num>
  <w:num w:numId="43">
    <w:abstractNumId w:val="18"/>
  </w:num>
  <w:num w:numId="79">
    <w:abstractNumId w:val="12"/>
  </w:num>
  <w:num w:numId="124">
    <w:abstractNumId w:val="6"/>
  </w:num>
  <w:num w:numId="18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