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93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POZNÁMKY</w:t>
      </w:r>
    </w:p>
    <w:p>
      <w:pPr>
        <w:spacing w:before="1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individuálnej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závierky</w:t>
      </w:r>
    </w:p>
    <w:p>
      <w:pPr>
        <w:spacing w:before="72" w:after="0" w:line="240"/>
        <w:ind w:right="0" w:left="0" w:firstLine="0"/>
        <w:jc w:val="center"/>
        <w:rPr>
          <w:rFonts w:ascii="Arial" w:hAnsi="Arial" w:cs="Arial" w:eastAsia="Arial"/>
          <w:i/>
          <w:color w:val="auto"/>
          <w:spacing w:val="0"/>
          <w:position w:val="0"/>
          <w:sz w:val="14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4"/>
          <w:shd w:fill="auto" w:val="clear"/>
        </w:rPr>
        <w:t xml:space="preserve">v celých eurách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0"/>
          <w:shd w:fill="auto" w:val="clear"/>
        </w:rPr>
      </w:pPr>
    </w:p>
    <w:p>
      <w:pPr>
        <w:spacing w:before="97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obdobie 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 01 – 12/ 2021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1"/>
          <w:shd w:fill="auto" w:val="clear"/>
        </w:rPr>
      </w:pPr>
    </w:p>
    <w:p>
      <w:pPr>
        <w:numPr>
          <w:ilvl w:val="0"/>
          <w:numId w:val="7"/>
        </w:numPr>
        <w:spacing w:before="94" w:after="0" w:line="240"/>
        <w:ind w:right="0" w:left="0" w:hanging="166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3"/>
          <w:shd w:fill="auto" w:val="clear"/>
        </w:rPr>
      </w:pPr>
    </w:p>
    <w:p>
      <w:pPr>
        <w:numPr>
          <w:ilvl w:val="0"/>
          <w:numId w:val="9"/>
        </w:numPr>
        <w:tabs>
          <w:tab w:val="left" w:pos="384" w:leader="none"/>
        </w:tabs>
        <w:spacing w:before="7" w:after="0" w:line="240"/>
        <w:ind w:right="0" w:left="71" w:hanging="232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RoTena, s.r.o.</w:t>
      </w:r>
    </w:p>
    <w:p>
      <w:pPr>
        <w:numPr>
          <w:ilvl w:val="0"/>
          <w:numId w:val="9"/>
        </w:numPr>
        <w:tabs>
          <w:tab w:val="left" w:pos="384" w:leader="none"/>
        </w:tabs>
        <w:spacing w:before="7" w:after="0" w:line="240"/>
        <w:ind w:right="0" w:left="71" w:hanging="232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Hontianska cesta 4/657</w:t>
      </w:r>
    </w:p>
    <w:p>
      <w:pPr>
        <w:numPr>
          <w:ilvl w:val="0"/>
          <w:numId w:val="9"/>
        </w:numPr>
        <w:tabs>
          <w:tab w:val="left" w:pos="384" w:leader="none"/>
        </w:tabs>
        <w:spacing w:before="93" w:after="0" w:line="240"/>
        <w:ind w:right="0" w:left="0" w:hanging="232"/>
        <w:jc w:val="left"/>
        <w:rPr>
          <w:rFonts w:ascii="Arial" w:hAnsi="Arial" w:cs="Arial" w:eastAsia="Arial"/>
          <w:color w:val="auto"/>
          <w:spacing w:val="0"/>
          <w:position w:val="2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2"/>
          <w:sz w:val="18"/>
          <w:shd w:fill="auto" w:val="clear"/>
        </w:rPr>
        <w:t xml:space="preserve">Názov právnickej osoby a jej sídlo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2"/>
          <w:shd w:fill="auto" w:val="clear"/>
        </w:rPr>
      </w:pPr>
    </w:p>
    <w:p>
      <w:pPr>
        <w:numPr>
          <w:ilvl w:val="0"/>
          <w:numId w:val="12"/>
        </w:numPr>
        <w:tabs>
          <w:tab w:val="left" w:pos="296" w:leader="none"/>
        </w:tabs>
        <w:spacing w:before="111" w:after="0" w:line="240"/>
        <w:ind w:right="0" w:left="285" w:hanging="20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nie je súčasťou konsolidovaného celku.</w:t>
      </w:r>
    </w:p>
    <w:p>
      <w:pPr>
        <w:numPr>
          <w:ilvl w:val="0"/>
          <w:numId w:val="12"/>
        </w:numPr>
        <w:tabs>
          <w:tab w:val="left" w:pos="380" w:leader="none"/>
        </w:tabs>
        <w:spacing w:before="2" w:after="0" w:line="240"/>
        <w:ind w:right="0" w:left="0" w:hanging="233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"/>
        </w:numPr>
        <w:tabs>
          <w:tab w:val="left" w:pos="296" w:leader="none"/>
        </w:tabs>
        <w:spacing w:before="94" w:after="0" w:line="240"/>
        <w:ind w:right="3676" w:left="285" w:hanging="20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nemá povinnosť vykonať konsolidovanú účtovnú závierku podľa § 22. Spoločnosť nemá podiel v žiadnych dcérskych účtovných jednotkách.</w:t>
      </w:r>
    </w:p>
    <w:p>
      <w:pPr>
        <w:numPr>
          <w:ilvl w:val="0"/>
          <w:numId w:val="12"/>
        </w:numPr>
        <w:tabs>
          <w:tab w:val="left" w:pos="380" w:leader="none"/>
        </w:tabs>
        <w:spacing w:before="94" w:after="0" w:line="240"/>
        <w:ind w:right="0" w:left="0" w:hanging="233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Údaje o konsolidovanom celku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8"/>
          <w:shd w:fill="auto" w:val="clear"/>
        </w:rPr>
      </w:pPr>
    </w:p>
    <w:p>
      <w:pPr>
        <w:numPr>
          <w:ilvl w:val="0"/>
          <w:numId w:val="17"/>
        </w:numPr>
        <w:tabs>
          <w:tab w:val="left" w:pos="399" w:leader="none"/>
        </w:tabs>
        <w:spacing w:before="95" w:after="0" w:line="240"/>
        <w:ind w:right="0" w:left="0" w:hanging="232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numPr>
          <w:ilvl w:val="0"/>
          <w:numId w:val="17"/>
        </w:numPr>
        <w:tabs>
          <w:tab w:val="left" w:pos="399" w:leader="none"/>
        </w:tabs>
        <w:spacing w:before="95" w:after="0" w:line="240"/>
        <w:ind w:right="0" w:left="0" w:hanging="232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čítaný počet zamestnancov</w:t>
      </w:r>
    </w:p>
    <w:p>
      <w:pPr>
        <w:numPr>
          <w:ilvl w:val="0"/>
          <w:numId w:val="17"/>
        </w:numPr>
        <w:tabs>
          <w:tab w:val="left" w:pos="296" w:leader="none"/>
        </w:tabs>
        <w:spacing w:before="110" w:after="0" w:line="240"/>
        <w:ind w:right="0" w:left="295" w:hanging="2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čtovná závierka bola zostavená za predpokladu nepretržitého trvania Spoločnosti.</w:t>
      </w:r>
    </w:p>
    <w:p>
      <w:pPr>
        <w:numPr>
          <w:ilvl w:val="0"/>
          <w:numId w:val="17"/>
        </w:numPr>
        <w:tabs>
          <w:tab w:val="left" w:pos="370" w:leader="none"/>
        </w:tabs>
        <w:spacing w:before="2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296" w:leader="none"/>
        </w:tabs>
        <w:spacing w:before="94" w:after="0" w:line="240"/>
        <w:ind w:right="0" w:left="295" w:hanging="2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oceňuje majetok a záväzky ku dňu uskutočnenia účtovného prípadu.</w:t>
      </w:r>
    </w:p>
    <w:p>
      <w:pPr>
        <w:numPr>
          <w:ilvl w:val="0"/>
          <w:numId w:val="17"/>
        </w:numPr>
        <w:tabs>
          <w:tab w:val="left" w:pos="370" w:leader="none"/>
        </w:tabs>
        <w:spacing w:before="2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196" w:leader="none"/>
        </w:tabs>
        <w:spacing w:before="94" w:after="0" w:line="240"/>
        <w:ind w:right="794" w:left="185" w:hanging="10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Ku d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ňu uskutočnenia účtovného prípadu oceňovala spoločnosť dlhodobý hmotný majetok, dlhodobý nehmotný majetok a dlhodobý finančný majetok nadobudnutý kúpou obstarávacou cenou</w:t>
      </w:r>
    </w:p>
    <w:p>
      <w:pPr>
        <w:numPr>
          <w:ilvl w:val="0"/>
          <w:numId w:val="17"/>
        </w:numPr>
        <w:tabs>
          <w:tab w:val="left" w:pos="196" w:leader="none"/>
        </w:tabs>
        <w:spacing w:before="2" w:after="0" w:line="240"/>
        <w:ind w:right="1873" w:left="185" w:hanging="10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Ku d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ňu uskutočnenia účtovného prípadu oceňovala spoločnosť menovitou hodnotou zásoby, pohľadávky, krátkodobý finančný majetok, záväzky (vrátane rezerv, dlhopisov, pôžičiek a úverov) pri ich vzniku.</w:t>
      </w:r>
    </w:p>
    <w:p>
      <w:pPr>
        <w:numPr>
          <w:ilvl w:val="0"/>
          <w:numId w:val="17"/>
        </w:numPr>
        <w:tabs>
          <w:tab w:val="left" w:pos="370" w:leader="none"/>
        </w:tabs>
        <w:spacing w:before="3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370" w:leader="none"/>
        </w:tabs>
        <w:spacing w:before="1" w:after="0" w:line="240"/>
        <w:ind w:right="0" w:left="85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3) Odpisový plán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numPr>
          <w:ilvl w:val="0"/>
          <w:numId w:val="17"/>
        </w:numPr>
        <w:tabs>
          <w:tab w:val="left" w:pos="370" w:leader="none"/>
        </w:tabs>
        <w:spacing w:before="2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196" w:leader="none"/>
        </w:tabs>
        <w:spacing w:before="94" w:after="0" w:line="240"/>
        <w:ind w:right="0" w:left="195" w:hanging="1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Nehmotný majetok, ktorého ocenenie sa rovná alebo je nižšie ako 2.400 EUR sa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čtuje na ťarchu účtu 518-Ostatné služby.</w:t>
      </w:r>
    </w:p>
    <w:p>
      <w:pPr>
        <w:numPr>
          <w:ilvl w:val="0"/>
          <w:numId w:val="17"/>
        </w:numPr>
        <w:tabs>
          <w:tab w:val="left" w:pos="196" w:leader="none"/>
        </w:tabs>
        <w:spacing w:before="1" w:after="0" w:line="240"/>
        <w:ind w:right="0" w:left="195" w:hanging="1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Nehmotný majetok, ktorého ocenenie je vyššie, zaradí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do dlhodobého nehmotného majetku.</w:t>
      </w:r>
    </w:p>
    <w:p>
      <w:pPr>
        <w:numPr>
          <w:ilvl w:val="0"/>
          <w:numId w:val="17"/>
        </w:numPr>
        <w:tabs>
          <w:tab w:val="left" w:pos="196" w:leader="none"/>
        </w:tabs>
        <w:spacing w:before="1" w:after="0" w:line="240"/>
        <w:ind w:right="0" w:left="195" w:hanging="1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Hmotný majetok, ktorého ocenenie sa rovná alebo je nižšie ako 1.700 EUR sa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čtuje na ťarchu účtu 501-Spotreba materiálu.</w:t>
      </w:r>
    </w:p>
    <w:p>
      <w:pPr>
        <w:numPr>
          <w:ilvl w:val="0"/>
          <w:numId w:val="17"/>
        </w:numPr>
        <w:tabs>
          <w:tab w:val="left" w:pos="196" w:leader="none"/>
        </w:tabs>
        <w:spacing w:before="1" w:after="0" w:line="240"/>
        <w:ind w:right="0" w:left="195" w:hanging="11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Hmotný majetok, ktorého ocenenie je vyššie, zaradí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do dlhodobého hmotného majetku.</w:t>
      </w:r>
    </w:p>
    <w:p>
      <w:pPr>
        <w:numPr>
          <w:ilvl w:val="0"/>
          <w:numId w:val="17"/>
        </w:numPr>
        <w:tabs>
          <w:tab w:val="left" w:pos="370" w:leader="none"/>
        </w:tabs>
        <w:spacing w:before="1" w:after="0" w:line="240"/>
        <w:ind w:right="0" w:left="85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stanovila interným predpisom, že účtovné odpisy dlhodobého majetku sa rovnajú daňovým odpisom.</w:t>
      </w:r>
    </w:p>
    <w:p>
      <w:pPr>
        <w:numPr>
          <w:ilvl w:val="0"/>
          <w:numId w:val="17"/>
        </w:numPr>
        <w:tabs>
          <w:tab w:val="left" w:pos="370" w:leader="none"/>
        </w:tabs>
        <w:spacing w:before="2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296" w:leader="none"/>
        </w:tabs>
        <w:spacing w:before="94" w:after="0" w:line="240"/>
        <w:ind w:right="1155" w:left="285" w:hanging="20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v sledovanom účtovnom období neuskutočnila zmenu účtovných zásad a účtovných metód.</w:t>
      </w:r>
    </w:p>
    <w:p>
      <w:pPr>
        <w:numPr>
          <w:ilvl w:val="0"/>
          <w:numId w:val="17"/>
        </w:numPr>
        <w:tabs>
          <w:tab w:val="left" w:pos="370" w:leader="none"/>
        </w:tabs>
        <w:spacing w:before="3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7"/>
        </w:numPr>
        <w:tabs>
          <w:tab w:val="left" w:pos="296" w:leader="none"/>
        </w:tabs>
        <w:spacing w:before="1" w:after="0" w:line="240"/>
        <w:ind w:right="0" w:left="285" w:hanging="20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v sledovanom období neúčtovala a neprijala dotácie.</w:t>
      </w:r>
    </w:p>
    <w:p>
      <w:pPr>
        <w:numPr>
          <w:ilvl w:val="0"/>
          <w:numId w:val="17"/>
        </w:numPr>
        <w:tabs>
          <w:tab w:val="left" w:pos="370" w:leader="none"/>
        </w:tabs>
        <w:spacing w:before="94" w:after="0" w:line="240"/>
        <w:ind w:right="0" w:left="379" w:hanging="21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tabs>
          <w:tab w:val="left" w:pos="296" w:leader="none"/>
        </w:tabs>
        <w:spacing w:before="94" w:after="0" w:line="240"/>
        <w:ind w:right="0" w:left="285" w:hanging="20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čnosť v sledovanom období neúčtovala o významných opravách chýb minulých účtovných období.</w:t>
      </w:r>
    </w:p>
    <w:p>
      <w:pPr>
        <w:numPr>
          <w:ilvl w:val="0"/>
          <w:numId w:val="17"/>
        </w:numPr>
        <w:tabs>
          <w:tab w:val="left" w:pos="370" w:leader="none"/>
        </w:tabs>
        <w:spacing w:before="94" w:after="0" w:line="240"/>
        <w:ind w:right="0" w:left="0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prijatých postupoch</w:t>
      </w:r>
    </w:p>
    <w:p>
      <w:pPr>
        <w:numPr>
          <w:ilvl w:val="0"/>
          <w:numId w:val="17"/>
        </w:numPr>
        <w:tabs>
          <w:tab w:val="left" w:pos="473" w:leader="none"/>
        </w:tabs>
        <w:spacing w:before="93" w:after="0" w:line="240"/>
        <w:ind w:right="0" w:left="472" w:hanging="28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ľujú a dopĺňajú súvahu a výkaz ziskov a strát</w:t>
      </w:r>
    </w:p>
    <w:p>
      <w:pPr>
        <w:spacing w:before="9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0"/>
        </w:numPr>
        <w:spacing w:before="123" w:after="0" w:line="240"/>
        <w:ind w:right="331" w:left="75" w:hanging="231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v sledovanom období neúčtovala o nákladoch alebo výnosoch, ktoré majú výnimočný rozsah alebo výskyt (predaj podniku, živelné pohromy a podobne)</w:t>
      </w:r>
    </w:p>
    <w:p>
      <w:pPr>
        <w:numPr>
          <w:ilvl w:val="0"/>
          <w:numId w:val="40"/>
        </w:numPr>
        <w:spacing w:before="95" w:after="0" w:line="240"/>
        <w:ind w:right="0" w:left="418" w:hanging="231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Informácia o sume a dôvodoch vzniku jednotlivých položiek nákladov alebo výnosov, ktoré majú výnimo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čný rozsah alebo výskyt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numPr>
          <w:ilvl w:val="0"/>
          <w:numId w:val="43"/>
        </w:numPr>
        <w:tabs>
          <w:tab w:val="left" w:pos="415" w:leader="none"/>
        </w:tabs>
        <w:spacing w:before="95" w:after="0" w:line="240"/>
        <w:ind w:right="0" w:left="414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Informácie o záväzkoch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7"/>
          <w:shd w:fill="auto" w:val="clear"/>
        </w:rPr>
      </w:pPr>
    </w:p>
    <w:tbl>
      <w:tblPr/>
      <w:tblGrid>
        <w:gridCol w:w="6780"/>
        <w:gridCol w:w="3643"/>
      </w:tblGrid>
      <w:tr>
        <w:trPr>
          <w:trHeight w:val="778" w:hRule="auto"/>
          <w:jc w:val="center"/>
        </w:trPr>
        <w:tc>
          <w:tcPr>
            <w:tcW w:w="10423" w:type="dxa"/>
            <w:gridSpan w:val="2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5" w:hRule="auto"/>
          <w:jc w:val="center"/>
        </w:trPr>
        <w:tc>
          <w:tcPr>
            <w:tcW w:w="678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7" w:after="0" w:line="240"/>
              <w:ind w:right="0" w:left="15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záväzkov so zostatkovou dobou splatnosti dlhšou ako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3643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19" w:hRule="auto"/>
          <w:jc w:val="center"/>
        </w:trPr>
        <w:tc>
          <w:tcPr>
            <w:tcW w:w="6780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6" w:after="0" w:line="240"/>
              <w:ind w:right="2362" w:left="2247" w:firstLine="0"/>
              <w:jc w:val="center"/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Formy zabezpe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čenia záväzku</w:t>
            </w:r>
          </w:p>
          <w:p>
            <w:pPr>
              <w:spacing w:before="6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4"/>
                <w:shd w:fill="auto" w:val="clear"/>
              </w:rPr>
            </w:pPr>
          </w:p>
          <w:p>
            <w:pPr>
              <w:spacing w:before="1" w:after="0" w:line="240"/>
              <w:ind w:right="0" w:left="118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čenie záväzku ručením</w:t>
            </w:r>
          </w:p>
        </w:tc>
        <w:tc>
          <w:tcPr>
            <w:tcW w:w="364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67" w:after="0" w:line="240"/>
              <w:ind w:right="0" w:left="612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Suma zabezpe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čeného záväzku</w:t>
            </w:r>
          </w:p>
        </w:tc>
      </w:tr>
      <w:tr>
        <w:trPr>
          <w:trHeight w:val="366" w:hRule="auto"/>
          <w:jc w:val="center"/>
        </w:trPr>
        <w:tc>
          <w:tcPr>
            <w:tcW w:w="6780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6" w:after="0" w:line="240"/>
              <w:ind w:right="0" w:left="13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čenie záväzku zmluvnou pokutou</w:t>
            </w:r>
          </w:p>
        </w:tc>
        <w:tc>
          <w:tcPr>
            <w:tcW w:w="3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6" w:hRule="auto"/>
          <w:jc w:val="center"/>
        </w:trPr>
        <w:tc>
          <w:tcPr>
            <w:tcW w:w="6780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87" w:after="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čovací prevod práva</w:t>
            </w:r>
          </w:p>
        </w:tc>
        <w:tc>
          <w:tcPr>
            <w:tcW w:w="3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2" w:hRule="auto"/>
          <w:jc w:val="center"/>
        </w:trPr>
        <w:tc>
          <w:tcPr>
            <w:tcW w:w="6780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8" w:after="0" w:line="240"/>
              <w:ind w:right="0" w:left="122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čovacie postúpenie pohľadávky</w:t>
            </w:r>
          </w:p>
        </w:tc>
        <w:tc>
          <w:tcPr>
            <w:tcW w:w="3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780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66" w:after="0" w:line="240"/>
              <w:ind w:right="0" w:left="132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Iná forma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čenia</w:t>
            </w:r>
          </w:p>
        </w:tc>
        <w:tc>
          <w:tcPr>
            <w:tcW w:w="364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2" w:hRule="auto"/>
          <w:jc w:val="center"/>
        </w:trPr>
        <w:tc>
          <w:tcPr>
            <w:tcW w:w="678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4" w:after="0" w:line="240"/>
              <w:ind w:right="0" w:left="113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čených záväzkov</w:t>
            </w:r>
          </w:p>
        </w:tc>
        <w:tc>
          <w:tcPr>
            <w:tcW w:w="3643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73" w:after="0" w:line="240"/>
              <w:ind w:right="0" w:left="2348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numPr>
          <w:ilvl w:val="0"/>
          <w:numId w:val="79"/>
        </w:numPr>
        <w:tabs>
          <w:tab w:val="left" w:pos="419" w:leader="none"/>
        </w:tabs>
        <w:spacing w:before="1" w:after="0" w:line="240"/>
        <w:ind w:right="0" w:left="418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Informácie o vlastných akciách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8"/>
          <w:shd w:fill="auto" w:val="clear"/>
        </w:rPr>
      </w:pPr>
    </w:p>
    <w:tbl>
      <w:tblPr/>
      <w:tblGrid>
        <w:gridCol w:w="1745"/>
        <w:gridCol w:w="1763"/>
        <w:gridCol w:w="1742"/>
        <w:gridCol w:w="1721"/>
        <w:gridCol w:w="1714"/>
        <w:gridCol w:w="1739"/>
      </w:tblGrid>
      <w:tr>
        <w:trPr>
          <w:trHeight w:val="1410" w:hRule="auto"/>
          <w:jc w:val="center"/>
        </w:trPr>
        <w:tc>
          <w:tcPr>
            <w:tcW w:w="10424" w:type="dxa"/>
            <w:gridSpan w:val="6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8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čnosť počas účtovného obdobia nenadobudla ani nepreviedla vlastné akcie.</w:t>
            </w:r>
          </w:p>
        </w:tc>
      </w:tr>
      <w:tr>
        <w:trPr>
          <w:trHeight w:val="951" w:hRule="auto"/>
          <w:jc w:val="center"/>
        </w:trPr>
        <w:tc>
          <w:tcPr>
            <w:tcW w:w="174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0" w:after="0" w:line="240"/>
              <w:ind w:right="235" w:left="261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a menovitá hodnota nadobudnutých vlastných akcií</w:t>
            </w:r>
          </w:p>
        </w:tc>
        <w:tc>
          <w:tcPr>
            <w:tcW w:w="176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8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4"/>
                <w:shd w:fill="auto" w:val="clear"/>
              </w:rPr>
            </w:pPr>
          </w:p>
          <w:p>
            <w:pPr>
              <w:spacing w:before="0" w:after="0" w:line="249"/>
              <w:ind w:right="181" w:left="471" w:hanging="85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a hodnota nadobudnutia vlastných akcií</w:t>
            </w:r>
          </w:p>
        </w:tc>
        <w:tc>
          <w:tcPr>
            <w:tcW w:w="174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45" w:after="0" w:line="273"/>
              <w:ind w:right="137" w:left="406" w:hanging="23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Podiel na upísanom základnom imaní v%</w:t>
            </w:r>
          </w:p>
        </w:tc>
        <w:tc>
          <w:tcPr>
            <w:tcW w:w="1721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44" w:after="0" w:line="249"/>
              <w:ind w:right="261" w:left="293" w:hanging="138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Menovitá hodnota prevedených vlastných akcií</w:t>
            </w:r>
          </w:p>
        </w:tc>
        <w:tc>
          <w:tcPr>
            <w:tcW w:w="171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48" w:after="0" w:line="249"/>
              <w:ind w:right="264" w:left="272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a hodnota prevedenia vlastných akcií</w:t>
            </w:r>
          </w:p>
        </w:tc>
        <w:tc>
          <w:tcPr>
            <w:tcW w:w="173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42" w:after="0" w:line="249"/>
              <w:ind w:right="503" w:left="449" w:hanging="1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Podiel na základnom imaní v %</w:t>
            </w:r>
          </w:p>
        </w:tc>
      </w:tr>
      <w:tr>
        <w:trPr>
          <w:trHeight w:val="345" w:hRule="auto"/>
          <w:jc w:val="center"/>
        </w:trPr>
        <w:tc>
          <w:tcPr>
            <w:tcW w:w="17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3" w:hRule="auto"/>
          <w:jc w:val="center"/>
        </w:trPr>
        <w:tc>
          <w:tcPr>
            <w:tcW w:w="17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9" w:hRule="auto"/>
          <w:jc w:val="center"/>
        </w:trPr>
        <w:tc>
          <w:tcPr>
            <w:tcW w:w="17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7" w:hRule="auto"/>
          <w:jc w:val="center"/>
        </w:trPr>
        <w:tc>
          <w:tcPr>
            <w:tcW w:w="174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04" w:hRule="auto"/>
          <w:jc w:val="center"/>
        </w:trPr>
        <w:tc>
          <w:tcPr>
            <w:tcW w:w="3508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60" w:after="0" w:line="240"/>
              <w:ind w:right="265" w:left="659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43" w:after="0" w:line="240"/>
              <w:ind w:right="301" w:left="403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a hodnota nadobudnutia vlastných akcií držaných</w:t>
            </w:r>
          </w:p>
          <w:p>
            <w:pPr>
              <w:spacing w:before="0" w:after="0" w:line="240"/>
              <w:ind w:right="304" w:left="403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k poslednému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ňu účtovného obdobia</w:t>
            </w:r>
          </w:p>
        </w:tc>
        <w:tc>
          <w:tcPr>
            <w:tcW w:w="3453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</w:pPr>
          </w:p>
          <w:p>
            <w:pPr>
              <w:spacing w:before="1" w:after="0" w:line="240"/>
              <w:ind w:right="278" w:left="946" w:firstLine="5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Podiel na upísanom základnom imaní v %</w:t>
            </w:r>
          </w:p>
        </w:tc>
      </w:tr>
      <w:tr>
        <w:trPr>
          <w:trHeight w:val="356" w:hRule="auto"/>
          <w:jc w:val="center"/>
        </w:trPr>
        <w:tc>
          <w:tcPr>
            <w:tcW w:w="350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0" w:hRule="auto"/>
          <w:jc w:val="center"/>
        </w:trPr>
        <w:tc>
          <w:tcPr>
            <w:tcW w:w="350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0" w:hRule="auto"/>
          <w:jc w:val="center"/>
        </w:trPr>
        <w:tc>
          <w:tcPr>
            <w:tcW w:w="350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7" w:hRule="auto"/>
          <w:jc w:val="center"/>
        </w:trPr>
        <w:tc>
          <w:tcPr>
            <w:tcW w:w="3508" w:type="dxa"/>
            <w:gridSpan w:val="2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3" w:type="dxa"/>
            <w:gridSpan w:val="2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3" w:type="dxa"/>
            <w:gridSpan w:val="2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94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4"/>
        </w:numPr>
        <w:tabs>
          <w:tab w:val="left" w:pos="399" w:leader="none"/>
        </w:tabs>
        <w:spacing w:before="0" w:after="0" w:line="240"/>
        <w:ind w:right="0" w:left="398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1"/>
          <w:shd w:fill="auto" w:val="clear"/>
        </w:rPr>
      </w:pPr>
    </w:p>
    <w:tbl>
      <w:tblPr/>
      <w:tblGrid>
        <w:gridCol w:w="3751"/>
        <w:gridCol w:w="1326"/>
        <w:gridCol w:w="853"/>
        <w:gridCol w:w="1335"/>
        <w:gridCol w:w="849"/>
        <w:gridCol w:w="1344"/>
        <w:gridCol w:w="996"/>
      </w:tblGrid>
      <w:tr>
        <w:trPr>
          <w:trHeight w:val="2785" w:hRule="auto"/>
          <w:jc w:val="center"/>
        </w:trPr>
        <w:tc>
          <w:tcPr>
            <w:tcW w:w="10454" w:type="dxa"/>
            <w:gridSpan w:val="7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9" w:after="0" w:line="240"/>
              <w:ind w:right="165" w:left="8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čnosť v sledovanom období neposkytla žiadnym riadiacim alebo kontrolným orgánom spoločnosti záruky, pôžičky alebo iné zabezpečenia, finančné prostriedky alebo iné plnenia.</w:t>
            </w:r>
          </w:p>
        </w:tc>
      </w:tr>
      <w:tr>
        <w:trPr>
          <w:trHeight w:val="315" w:hRule="auto"/>
          <w:jc w:val="center"/>
        </w:trPr>
        <w:tc>
          <w:tcPr>
            <w:tcW w:w="3751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9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3" w:after="0" w:line="240"/>
              <w:ind w:right="0" w:left="522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Štatutárny orgán</w:t>
            </w:r>
          </w:p>
        </w:tc>
        <w:tc>
          <w:tcPr>
            <w:tcW w:w="2184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8" w:after="0" w:line="240"/>
              <w:ind w:right="0" w:left="571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Dozorný orgán</w:t>
            </w:r>
          </w:p>
        </w:tc>
        <w:tc>
          <w:tcPr>
            <w:tcW w:w="2340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3" w:after="0" w:line="240"/>
              <w:ind w:right="810" w:left="812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6"/>
                <w:shd w:fill="auto" w:val="clear"/>
              </w:rPr>
              <w:t xml:space="preserve">Iný orgán</w:t>
            </w:r>
          </w:p>
        </w:tc>
      </w:tr>
      <w:tr>
        <w:trPr>
          <w:trHeight w:val="506" w:hRule="auto"/>
          <w:jc w:val="center"/>
        </w:trPr>
        <w:tc>
          <w:tcPr>
            <w:tcW w:w="375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</w:pPr>
          </w:p>
          <w:p>
            <w:pPr>
              <w:spacing w:before="1" w:after="0" w:line="240"/>
              <w:ind w:right="0" w:left="75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suma</w:t>
            </w: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61" w:after="0" w:line="249"/>
              <w:ind w:right="43" w:left="237" w:hanging="27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úroková sadzba</w:t>
            </w: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2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</w:pPr>
          </w:p>
          <w:p>
            <w:pPr>
              <w:spacing w:before="1" w:after="0" w:line="240"/>
              <w:ind w:right="0" w:left="735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suma</w:t>
            </w: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9" w:after="0" w:line="249"/>
              <w:ind w:right="47" w:left="229" w:hanging="27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úroková sadzba</w:t>
            </w: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4"/>
                <w:shd w:fill="auto" w:val="clear"/>
              </w:rPr>
            </w:pPr>
          </w:p>
          <w:p>
            <w:pPr>
              <w:spacing w:before="1" w:after="0" w:line="240"/>
              <w:ind w:right="0" w:left="735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suma</w:t>
            </w: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6" w:after="0" w:line="249"/>
              <w:ind w:right="162" w:left="261" w:hanging="27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úroková sadzba</w:t>
            </w:r>
          </w:p>
        </w:tc>
      </w:tr>
      <w:tr>
        <w:trPr>
          <w:trHeight w:val="388" w:hRule="auto"/>
          <w:jc w:val="center"/>
        </w:trPr>
        <w:tc>
          <w:tcPr>
            <w:tcW w:w="37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7" w:after="0" w:line="240"/>
              <w:ind w:right="0" w:left="14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poskytnutých 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čiek</w:t>
            </w: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47" w:hRule="auto"/>
          <w:jc w:val="center"/>
        </w:trPr>
        <w:tc>
          <w:tcPr>
            <w:tcW w:w="37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70" w:after="0" w:line="240"/>
              <w:ind w:right="673" w:left="145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splatených 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čiek k poslednému dňu účtovného obdobia</w:t>
            </w: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9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6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1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7"/>
                <w:shd w:fill="auto" w:val="clear"/>
              </w:rPr>
            </w:pPr>
          </w:p>
          <w:p>
            <w:pPr>
              <w:spacing w:before="0" w:after="0" w:line="240"/>
              <w:ind w:right="0" w:left="318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1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7"/>
                <w:shd w:fill="auto" w:val="clear"/>
              </w:rPr>
            </w:pPr>
          </w:p>
          <w:p>
            <w:pPr>
              <w:spacing w:before="0" w:after="0" w:line="240"/>
              <w:ind w:right="0" w:left="37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743" w:hRule="auto"/>
          <w:jc w:val="center"/>
        </w:trPr>
        <w:tc>
          <w:tcPr>
            <w:tcW w:w="37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9" w:after="0" w:line="240"/>
              <w:ind w:right="435" w:left="14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odpustených 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čiek a odpísaných pôžičiek k poslednému dňu účtovného obdobia</w:t>
            </w: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1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1" w:after="0" w:line="240"/>
              <w:ind w:right="0" w:left="318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4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379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522" w:hRule="auto"/>
          <w:jc w:val="center"/>
        </w:trPr>
        <w:tc>
          <w:tcPr>
            <w:tcW w:w="37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4" w:after="0" w:line="240"/>
              <w:ind w:right="912" w:left="147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 budúce mzdy a platy, odmeny, prémie</w:t>
            </w: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71" w:hRule="auto"/>
          <w:jc w:val="center"/>
        </w:trPr>
        <w:tc>
          <w:tcPr>
            <w:tcW w:w="3751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59" w:after="0" w:line="240"/>
              <w:ind w:right="172" w:left="137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suma záruk pod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</w:pPr>
          </w:p>
          <w:p>
            <w:pPr>
              <w:spacing w:before="1" w:after="0" w:line="240"/>
              <w:ind w:right="0" w:left="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3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318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34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7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375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Liberation Sans Narrow" w:hAnsi="Liberation Sans Narrow" w:cs="Liberation Sans Narrow" w:eastAsia="Liberation Sans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88"/>
        </w:numPr>
        <w:tabs>
          <w:tab w:val="left" w:pos="303" w:leader="none"/>
        </w:tabs>
        <w:spacing w:before="126" w:after="0" w:line="240"/>
        <w:ind w:right="0" w:left="302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nemá žiadne finančné povinnosti, ktoré sa nevykazujú v súvahe.</w:t>
      </w:r>
    </w:p>
    <w:p>
      <w:pPr>
        <w:numPr>
          <w:ilvl w:val="0"/>
          <w:numId w:val="188"/>
        </w:numPr>
        <w:tabs>
          <w:tab w:val="left" w:pos="380" w:leader="none"/>
        </w:tabs>
        <w:spacing w:before="2" w:after="0" w:line="240"/>
        <w:ind w:right="0" w:left="379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88"/>
        </w:numPr>
        <w:tabs>
          <w:tab w:val="left" w:pos="303" w:leader="none"/>
        </w:tabs>
        <w:spacing w:before="1" w:after="0" w:line="240"/>
        <w:ind w:right="0" w:left="302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nemá vedomosť o žiadnych podmienených záväzkoch spoločnosti.</w:t>
      </w:r>
    </w:p>
    <w:p>
      <w:pPr>
        <w:numPr>
          <w:ilvl w:val="0"/>
          <w:numId w:val="188"/>
        </w:numPr>
        <w:tabs>
          <w:tab w:val="left" w:pos="380" w:leader="none"/>
        </w:tabs>
        <w:spacing w:before="2" w:after="0" w:line="240"/>
        <w:ind w:right="0" w:left="379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88"/>
        </w:numPr>
        <w:tabs>
          <w:tab w:val="left" w:pos="380" w:leader="none"/>
        </w:tabs>
        <w:spacing w:before="165" w:after="0" w:line="240"/>
        <w:ind w:right="593" w:left="91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c) 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neeviduje ani neúčtuje o žiadnych významných povinnostiach vyplývajúcich z dôchodkových programov pre zamestnancov.</w:t>
      </w:r>
    </w:p>
    <w:p>
      <w:pPr>
        <w:numPr>
          <w:ilvl w:val="0"/>
          <w:numId w:val="188"/>
        </w:numPr>
        <w:tabs>
          <w:tab w:val="left" w:pos="380" w:leader="none"/>
        </w:tabs>
        <w:spacing w:before="165" w:after="0" w:line="240"/>
        <w:ind w:right="0" w:left="379" w:hanging="21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Informácie o povinnostiach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7">
    <w:abstractNumId w:val="48"/>
  </w:num>
  <w:num w:numId="9">
    <w:abstractNumId w:val="42"/>
  </w:num>
  <w:num w:numId="12">
    <w:abstractNumId w:val="36"/>
  </w:num>
  <w:num w:numId="17">
    <w:abstractNumId w:val="30"/>
  </w:num>
  <w:num w:numId="40">
    <w:abstractNumId w:val="24"/>
  </w:num>
  <w:num w:numId="43">
    <w:abstractNumId w:val="18"/>
  </w:num>
  <w:num w:numId="79">
    <w:abstractNumId w:val="12"/>
  </w:num>
  <w:num w:numId="124">
    <w:abstractNumId w:val="6"/>
  </w:num>
  <w:num w:numId="18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