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42CFA" w:rsidRDefault="00B42CFA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after="120"/>
        <w:jc w:val="center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</w:rPr>
        <w:t xml:space="preserve">POZNÁMKY K ÚČTOVNEJ ZÁVIERKE </w:t>
      </w:r>
      <w:r w:rsidR="00834488">
        <w:rPr>
          <w:rFonts w:ascii="Arial Narrow" w:hAnsi="Arial Narrow" w:cs="Arial Narrow"/>
          <w:b/>
        </w:rPr>
        <w:t>202</w:t>
      </w:r>
      <w:r w:rsidR="007B299A">
        <w:rPr>
          <w:rFonts w:ascii="Arial Narrow" w:hAnsi="Arial Narrow" w:cs="Arial Narrow"/>
          <w:b/>
        </w:rPr>
        <w:t>1</w:t>
      </w:r>
    </w:p>
    <w:p w:rsidR="00B42CFA" w:rsidRDefault="00B42CFA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 w:rsidR="00B42CFA" w:rsidRDefault="00B42CFA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</w:rPr>
        <w:t>pre malé účtovné jednotky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:rsidR="00B42CFA" w:rsidRDefault="00B42CFA">
      <w:pPr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center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 w:rsidR="00B42CFA" w:rsidRDefault="00B42CFA">
      <w:pPr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1) </w:t>
      </w:r>
      <w:r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>
        <w:rPr>
          <w:rFonts w:ascii="Arial Narrow" w:hAnsi="Arial Narrow" w:cs="Arial Narrow"/>
          <w:sz w:val="22"/>
          <w:szCs w:val="22"/>
        </w:rPr>
        <w:t>:</w:t>
      </w:r>
    </w:p>
    <w:p w:rsidR="00B42CFA" w:rsidRDefault="00B42CFA">
      <w:pPr>
        <w:rPr>
          <w:rFonts w:ascii="Arial Narrow" w:hAnsi="Arial Narrow" w:cs="Arial Narrow"/>
          <w:sz w:val="22"/>
          <w:szCs w:val="22"/>
        </w:rPr>
      </w:pPr>
    </w:p>
    <w:tbl>
      <w:tblPr>
        <w:tblW w:w="0" w:type="auto"/>
        <w:tblInd w:w="-10" w:type="dxa"/>
        <w:tblLayout w:type="fixed"/>
        <w:tblLook w:val="0000" w:firstRow="0" w:lastRow="0" w:firstColumn="0" w:lastColumn="0" w:noHBand="0" w:noVBand="0"/>
      </w:tblPr>
      <w:tblGrid>
        <w:gridCol w:w="2636"/>
        <w:gridCol w:w="6979"/>
        <w:gridCol w:w="10"/>
      </w:tblGrid>
      <w:tr w:rsidR="00B42CFA" w:rsidTr="006C5779">
        <w:trPr>
          <w:gridAfter w:val="1"/>
          <w:wAfter w:w="10" w:type="dxa"/>
          <w:trHeight w:val="374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B42CFA" w:rsidRDefault="00B42CFA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6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B42CFA" w:rsidRDefault="00763F1D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63F1D">
              <w:rPr>
                <w:rFonts w:ascii="Arial Narrow" w:hAnsi="Arial Narrow" w:cs="Arial Narrow"/>
                <w:b/>
                <w:sz w:val="22"/>
                <w:szCs w:val="22"/>
              </w:rPr>
              <w:t>TOMÁŠ KOHÚT advokátska kancelária, s.r.o.</w:t>
            </w:r>
          </w:p>
        </w:tc>
      </w:tr>
      <w:tr w:rsidR="00B42CFA">
        <w:trPr>
          <w:gridAfter w:val="1"/>
          <w:wAfter w:w="10" w:type="dxa"/>
          <w:trHeight w:val="249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6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B42CFA" w:rsidRDefault="003E43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E4345">
              <w:rPr>
                <w:rFonts w:ascii="Arial Narrow" w:hAnsi="Arial Narrow" w:cs="Arial Narrow"/>
                <w:sz w:val="22"/>
                <w:szCs w:val="22"/>
              </w:rPr>
              <w:t>Námestie SNP 74/28</w:t>
            </w:r>
            <w:r w:rsidR="00C85252">
              <w:rPr>
                <w:rFonts w:ascii="Arial Narrow" w:hAnsi="Arial Narrow" w:cs="Arial Narrow"/>
                <w:sz w:val="22"/>
                <w:szCs w:val="22"/>
              </w:rPr>
              <w:t>, 960 01 Zvolen</w:t>
            </w:r>
          </w:p>
        </w:tc>
      </w:tr>
      <w:tr w:rsidR="00B42CFA">
        <w:trPr>
          <w:gridAfter w:val="1"/>
          <w:wAfter w:w="10" w:type="dxa"/>
          <w:trHeight w:val="125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6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B42CFA" w:rsidRDefault="00763F1D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63F1D">
              <w:rPr>
                <w:rFonts w:ascii="Arial Narrow" w:hAnsi="Arial Narrow" w:cs="Arial Narrow"/>
                <w:sz w:val="22"/>
                <w:szCs w:val="22"/>
              </w:rPr>
              <w:t>Spoločnosť s ručením obmedzeným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B42CFA">
        <w:trPr>
          <w:trHeight w:val="143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6989" w:type="dxa"/>
            <w:gridSpan w:val="2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B42CFA" w:rsidRDefault="00B42CFA" w:rsidP="00763F1D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763F1D" w:rsidRPr="00763F1D">
              <w:rPr>
                <w:rFonts w:ascii="Arial Narrow" w:hAnsi="Arial Narrow" w:cs="Arial Narrow"/>
                <w:sz w:val="22"/>
                <w:szCs w:val="22"/>
              </w:rPr>
              <w:t>07.10.2011</w:t>
            </w:r>
          </w:p>
        </w:tc>
      </w:tr>
      <w:tr w:rsidR="00B42CFA">
        <w:trPr>
          <w:trHeight w:val="175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6989" w:type="dxa"/>
            <w:gridSpan w:val="2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B42CFA" w:rsidRDefault="00763F1D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Poskytovanie právnych služieb</w:t>
            </w:r>
            <w:r w:rsidR="003E4345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B42CFA"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6989" w:type="dxa"/>
            <w:gridSpan w:val="2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B42CFA" w:rsidRDefault="00763F1D" w:rsidP="006C577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63F1D">
              <w:rPr>
                <w:rFonts w:ascii="Arial Narrow" w:hAnsi="Arial Narrow" w:cs="Arial Narrow"/>
                <w:b/>
                <w:sz w:val="22"/>
                <w:szCs w:val="22"/>
              </w:rPr>
              <w:t>TOMÁŠ KOHÚT advokátska kancelária, s.r.o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B42CFA">
              <w:rPr>
                <w:rFonts w:ascii="Arial Narrow" w:hAnsi="Arial Narrow" w:cs="Arial Narrow"/>
                <w:sz w:val="22"/>
                <w:szCs w:val="22"/>
              </w:rPr>
              <w:t>nie je subjektom verejného záujmu (§ 2/14 ZoU).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B42CFA"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6989" w:type="dxa"/>
            <w:gridSpan w:val="2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B42CFA" w:rsidRDefault="00B42CFA" w:rsidP="007B299A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Kalendárny rok </w:t>
            </w:r>
            <w:r w:rsidR="00834488">
              <w:rPr>
                <w:rFonts w:ascii="Arial Narrow" w:hAnsi="Arial Narrow" w:cs="Arial Narrow"/>
                <w:sz w:val="22"/>
                <w:szCs w:val="22"/>
              </w:rPr>
              <w:t>20</w:t>
            </w:r>
            <w:r w:rsidR="007B299A">
              <w:rPr>
                <w:rFonts w:ascii="Arial Narrow" w:hAnsi="Arial Narrow" w:cs="Arial Narrow"/>
                <w:sz w:val="22"/>
                <w:szCs w:val="22"/>
              </w:rPr>
              <w:t>21</w:t>
            </w:r>
          </w:p>
        </w:tc>
      </w:tr>
    </w:tbl>
    <w:p w:rsidR="00B42CFA" w:rsidRDefault="00B42CFA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42CFA" w:rsidRDefault="00B42CFA">
      <w:pPr>
        <w:ind w:right="-425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:rsidR="00B42CFA" w:rsidRDefault="00B42CFA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 w:rsidR="00B42CFA" w:rsidRDefault="00B42CFA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0" w:type="auto"/>
        <w:tblInd w:w="33" w:type="dxa"/>
        <w:tblLayout w:type="fixed"/>
        <w:tblLook w:val="0000" w:firstRow="0" w:lastRow="0" w:firstColumn="0" w:lastColumn="0" w:noHBand="0" w:noVBand="0"/>
      </w:tblPr>
      <w:tblGrid>
        <w:gridCol w:w="2197"/>
        <w:gridCol w:w="2835"/>
        <w:gridCol w:w="3260"/>
        <w:gridCol w:w="1286"/>
      </w:tblGrid>
      <w:tr w:rsidR="00B42CFA" w:rsidTr="00860EE4">
        <w:trPr>
          <w:trHeight w:val="364"/>
        </w:trPr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Áno/Nie</w:t>
            </w:r>
          </w:p>
        </w:tc>
      </w:tr>
      <w:tr w:rsidR="00B42CFA" w:rsidTr="00797D70">
        <w:trPr>
          <w:trHeight w:val="395"/>
        </w:trPr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Pr="00860EE4" w:rsidRDefault="007B299A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639435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Pr="00860EE4" w:rsidRDefault="007B299A" w:rsidP="007B299A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654597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7F1566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B42CFA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Pr="00860EE4" w:rsidRDefault="000C059A" w:rsidP="007B299A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</w:t>
            </w:r>
            <w:r w:rsidR="007B299A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49686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Pr="00860EE4" w:rsidRDefault="007B299A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247026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7F1566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B42CFA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Pr="00860EE4" w:rsidRDefault="00D63A46" w:rsidP="00834488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</w:t>
            </w:r>
            <w:r w:rsidR="0083448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,0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60EE4" w:rsidRPr="00860EE4" w:rsidRDefault="007B299A" w:rsidP="00DC4730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3,0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7F1566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:rsidR="00B42CFA" w:rsidRDefault="00B42CFA">
      <w:pPr>
        <w:jc w:val="both"/>
      </w:pPr>
    </w:p>
    <w:p w:rsidR="00B42CFA" w:rsidRDefault="00B42CFA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Komentár: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="00BD12ED">
        <w:rPr>
          <w:rFonts w:ascii="Arial Narrow" w:hAnsi="Arial Narrow" w:cs="Arial Narrow"/>
          <w:bCs/>
          <w:sz w:val="22"/>
          <w:szCs w:val="22"/>
        </w:rPr>
        <w:t xml:space="preserve">Účtovná jednotka, ktorá spĺňa podmienky pre mikro účtovnú jednotku, sa môže rozhodnúť, že bude postupovať ako malá účtovná jednotka. Účtovná jednotka </w:t>
      </w:r>
      <w:r w:rsidR="00BD12ED">
        <w:rPr>
          <w:rFonts w:ascii="Arial Narrow" w:hAnsi="Arial Narrow" w:cs="Arial Narrow"/>
          <w:sz w:val="22"/>
          <w:szCs w:val="22"/>
        </w:rPr>
        <w:t>sa rozhodla, že bude postupovať ako malá účtovná jednotka</w:t>
      </w:r>
      <w:r w:rsidR="00BD12ED">
        <w:rPr>
          <w:rFonts w:ascii="Arial Narrow" w:hAnsi="Arial Narrow" w:cs="Arial Narrow"/>
          <w:b/>
          <w:sz w:val="22"/>
          <w:szCs w:val="22"/>
        </w:rPr>
        <w:t xml:space="preserve">, </w:t>
      </w:r>
      <w:r w:rsidR="00BD12ED">
        <w:rPr>
          <w:rFonts w:ascii="Arial Narrow" w:hAnsi="Arial Narrow" w:cs="Arial Narrow"/>
          <w:sz w:val="22"/>
          <w:szCs w:val="22"/>
        </w:rPr>
        <w:t>preto zostavuje účtovnú závierku podľa metodiky pre túto veľkostnú skupinu (Opatrenie č.MF/23378/2014-74).</w:t>
      </w:r>
    </w:p>
    <w:p w:rsidR="00B42CFA" w:rsidRDefault="00B42CFA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B42CFA" w:rsidRDefault="00B42CFA" w:rsidP="007A6CE2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BD689E">
        <w:rPr>
          <w:rFonts w:ascii="Arial Narrow" w:hAnsi="Arial Narrow" w:cs="Arial Narrow"/>
          <w:sz w:val="22"/>
          <w:szCs w:val="22"/>
        </w:rPr>
        <w:t xml:space="preserve"> </w:t>
      </w:r>
      <w:r w:rsidR="007B299A">
        <w:rPr>
          <w:rFonts w:ascii="Arial Narrow" w:hAnsi="Arial Narrow" w:cs="Arial Narrow"/>
          <w:b/>
          <w:sz w:val="22"/>
          <w:szCs w:val="22"/>
        </w:rPr>
        <w:t>30.06.2021</w:t>
      </w:r>
    </w:p>
    <w:p w:rsidR="00B42CFA" w:rsidRDefault="00B42CFA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</w:rPr>
        <w:t>Právny dôvod</w:t>
      </w:r>
      <w:r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BD689E">
        <w:rPr>
          <w:rFonts w:ascii="Arial Narrow" w:hAnsi="Arial Narrow" w:cs="Arial Narrow"/>
          <w:sz w:val="22"/>
          <w:szCs w:val="22"/>
        </w:rPr>
        <w:t xml:space="preserve"> Riadna účtovná závierka k 31.12.</w:t>
      </w:r>
      <w:r w:rsidR="00DC4730">
        <w:rPr>
          <w:rFonts w:ascii="Arial Narrow" w:hAnsi="Arial Narrow" w:cs="Arial Narrow"/>
          <w:sz w:val="22"/>
          <w:szCs w:val="22"/>
        </w:rPr>
        <w:t>20</w:t>
      </w:r>
      <w:r w:rsidR="00834488">
        <w:rPr>
          <w:rFonts w:ascii="Arial Narrow" w:hAnsi="Arial Narrow" w:cs="Arial Narrow"/>
          <w:sz w:val="22"/>
          <w:szCs w:val="22"/>
        </w:rPr>
        <w:t>2</w:t>
      </w:r>
      <w:r w:rsidR="007B299A">
        <w:rPr>
          <w:rFonts w:ascii="Arial Narrow" w:hAnsi="Arial Narrow" w:cs="Arial Narrow"/>
          <w:sz w:val="22"/>
          <w:szCs w:val="22"/>
        </w:rPr>
        <w:t>1</w:t>
      </w:r>
      <w:r w:rsidR="00DC4730">
        <w:rPr>
          <w:rFonts w:ascii="Arial Narrow" w:hAnsi="Arial Narrow" w:cs="Arial Narrow"/>
          <w:sz w:val="22"/>
          <w:szCs w:val="22"/>
        </w:rPr>
        <w:t>.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4) </w:t>
      </w:r>
      <w:r>
        <w:rPr>
          <w:rFonts w:ascii="Arial Narrow" w:hAnsi="Arial Narrow" w:cs="Arial Narrow"/>
          <w:bCs/>
          <w:sz w:val="22"/>
          <w:szCs w:val="22"/>
          <w:u w:val="single"/>
        </w:rPr>
        <w:t>Údaje o skupine</w:t>
      </w:r>
      <w:r>
        <w:rPr>
          <w:rFonts w:ascii="Arial Narrow" w:hAnsi="Arial Narrow" w:cs="Arial Narrow"/>
          <w:bCs/>
          <w:sz w:val="22"/>
          <w:szCs w:val="22"/>
        </w:rPr>
        <w:t xml:space="preserve"> účtovných jednotiek v súvislosti </w:t>
      </w:r>
      <w:r>
        <w:rPr>
          <w:rFonts w:ascii="Arial Narrow" w:hAnsi="Arial Narrow" w:cs="Arial Narrow"/>
          <w:b/>
          <w:bCs/>
          <w:sz w:val="22"/>
          <w:szCs w:val="22"/>
        </w:rPr>
        <w:t>s konsolidáciou</w:t>
      </w:r>
      <w:r>
        <w:rPr>
          <w:rFonts w:ascii="Arial Narrow" w:hAnsi="Arial Narrow" w:cs="Arial Narrow"/>
          <w:bCs/>
          <w:sz w:val="22"/>
          <w:szCs w:val="22"/>
        </w:rPr>
        <w:t>:</w:t>
      </w:r>
    </w:p>
    <w:p w:rsidR="00B42CFA" w:rsidRDefault="00B42CFA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>
        <w:rPr>
          <w:rFonts w:ascii="Arial Narrow" w:hAnsi="Arial Narrow" w:cs="Arial Narrow"/>
          <w:b/>
          <w:sz w:val="22"/>
          <w:szCs w:val="22"/>
        </w:rPr>
        <w:t>konsolidovanú účtovnú závierku</w:t>
      </w:r>
      <w:r>
        <w:rPr>
          <w:rFonts w:ascii="Arial Narrow" w:hAnsi="Arial Narrow" w:cs="Arial Narrow"/>
          <w:sz w:val="22"/>
          <w:szCs w:val="22"/>
        </w:rPr>
        <w:t xml:space="preserve"> za </w:t>
      </w:r>
      <w:r>
        <w:rPr>
          <w:rFonts w:ascii="Arial Narrow" w:hAnsi="Arial Narrow" w:cs="Arial Narrow"/>
          <w:sz w:val="22"/>
          <w:szCs w:val="22"/>
          <w:u w:val="single"/>
        </w:rPr>
        <w:t>najväčšiu skupinu</w:t>
      </w:r>
      <w:r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 konsolidácie):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Obchodné meno a sídlo účtovnej jednotky, ktorá zostavuje </w:t>
      </w:r>
      <w:r>
        <w:rPr>
          <w:rFonts w:ascii="Arial Narrow" w:hAnsi="Arial Narrow" w:cs="Arial Narrow"/>
          <w:b/>
          <w:sz w:val="22"/>
          <w:szCs w:val="22"/>
        </w:rPr>
        <w:t>konsolidovanú účtovnú závierku</w:t>
      </w:r>
      <w:r>
        <w:rPr>
          <w:rFonts w:ascii="Arial Narrow" w:hAnsi="Arial Narrow" w:cs="Arial Narrow"/>
          <w:sz w:val="22"/>
          <w:szCs w:val="22"/>
        </w:rPr>
        <w:t xml:space="preserve"> za </w:t>
      </w:r>
      <w:r>
        <w:rPr>
          <w:rFonts w:ascii="Arial Narrow" w:hAnsi="Arial Narrow" w:cs="Arial Narrow"/>
          <w:sz w:val="22"/>
          <w:szCs w:val="22"/>
          <w:u w:val="single"/>
        </w:rPr>
        <w:t>najmenšiu skupinu</w:t>
      </w:r>
      <w:r>
        <w:rPr>
          <w:rFonts w:ascii="Arial Narrow" w:hAnsi="Arial Narrow" w:cs="Arial Narrow"/>
          <w:sz w:val="22"/>
          <w:szCs w:val="22"/>
        </w:rPr>
        <w:t>, ktorej súčasťou je účtovná jednotka ako dcérska účtovná jednotka (bezprostredne vyšší stupeň konsolidácie), a ktorá je tiež začlenená do skupiny účtovných jednotiek na najvyššom stupni konsolidácie: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Adresa, kde sa môže vyžiadať kópia vyššie uvedených </w:t>
      </w:r>
      <w:r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>
        <w:rPr>
          <w:rFonts w:ascii="Arial Narrow" w:hAnsi="Arial Narrow" w:cs="Arial Narrow"/>
          <w:sz w:val="22"/>
          <w:szCs w:val="22"/>
        </w:rPr>
        <w:t>: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d) Údaj, či účtovná jednotka je materskou účtovnou jednotkou a údaj, či je oslobodená od povinnosti zostaviť </w:t>
      </w:r>
      <w:r>
        <w:rPr>
          <w:rFonts w:ascii="Arial Narrow" w:hAnsi="Arial Narrow" w:cs="Arial Narrow"/>
          <w:b/>
          <w:sz w:val="22"/>
          <w:szCs w:val="22"/>
        </w:rPr>
        <w:t>konsolidovanú účtovnú závierku</w:t>
      </w:r>
      <w:r>
        <w:rPr>
          <w:rFonts w:ascii="Arial Narrow" w:hAnsi="Arial Narrow" w:cs="Arial Narrow"/>
          <w:sz w:val="22"/>
          <w:szCs w:val="22"/>
        </w:rPr>
        <w:t xml:space="preserve"> a konsolidovanú výročnú správu podľa § 22 zákona o účtovníctve, pričom sa uvádzajú: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 xml:space="preserve">1. pri oslobodení podľa § 22 ods. 8 zákona o účtovníctve obchodné meno a sídlo materskej účtovnej jednotky zostavujúcej </w:t>
      </w:r>
      <w:r>
        <w:rPr>
          <w:rFonts w:ascii="Arial Narrow" w:hAnsi="Arial Narrow" w:cs="Arial Narrow"/>
          <w:b/>
          <w:sz w:val="22"/>
          <w:szCs w:val="22"/>
        </w:rPr>
        <w:t>konsolidovanú účtovnú závierku</w:t>
      </w:r>
      <w:r>
        <w:rPr>
          <w:rFonts w:ascii="Arial Narrow" w:hAnsi="Arial Narrow" w:cs="Arial Narrow"/>
          <w:sz w:val="22"/>
          <w:szCs w:val="22"/>
        </w:rPr>
        <w:t xml:space="preserve"> podľa osobitných predpisov (IFRS/EÚ):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2. pri oslobodení podľa § 22 ods. 10 a 12 zákona o účtovníctve obchodné meno a sídlo dcérskych účtovných jednotiek:  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5) </w:t>
      </w:r>
      <w:r>
        <w:rPr>
          <w:rFonts w:ascii="Arial Narrow" w:hAnsi="Arial Narrow" w:cs="Arial Narrow"/>
          <w:sz w:val="22"/>
          <w:szCs w:val="22"/>
          <w:u w:val="single"/>
        </w:rPr>
        <w:t>Priemerný prepočítaný počet zamestnancov účtovnej jednotky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4857"/>
        <w:gridCol w:w="2523"/>
        <w:gridCol w:w="2377"/>
      </w:tblGrid>
      <w:tr w:rsidR="00B42CFA">
        <w:trPr>
          <w:trHeight w:val="537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B42CFA">
        <w:trPr>
          <w:trHeight w:val="163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DC4730" w:rsidRDefault="00B42CFA" w:rsidP="00834488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B54A18">
              <w:rPr>
                <w:rFonts w:ascii="Arial Narrow" w:hAnsi="Arial Narrow" w:cs="Arial Narrow"/>
                <w:sz w:val="22"/>
                <w:szCs w:val="22"/>
              </w:rPr>
              <w:t>3,</w:t>
            </w:r>
            <w:r w:rsidR="00834488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B42CFA" w:rsidRDefault="00834488" w:rsidP="007B299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3,</w:t>
            </w:r>
            <w:r w:rsidR="007B299A">
              <w:rPr>
                <w:rFonts w:ascii="Arial Narrow" w:hAnsi="Arial Narrow" w:cs="Arial Narrow"/>
                <w:sz w:val="22"/>
                <w:szCs w:val="22"/>
              </w:rPr>
              <w:t>0</w:t>
            </w:r>
            <w:bookmarkStart w:id="0" w:name="_GoBack"/>
            <w:bookmarkEnd w:id="0"/>
          </w:p>
        </w:tc>
      </w:tr>
    </w:tbl>
    <w:p w:rsidR="00B42CFA" w:rsidRDefault="00B42CFA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ind w:right="-468"/>
        <w:jc w:val="center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B42CFA" w:rsidRDefault="00B42CFA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B42CFA" w:rsidRDefault="00B42CFA">
      <w:pPr>
        <w:spacing w:after="120"/>
        <w:jc w:val="both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6312"/>
        <w:gridCol w:w="1701"/>
        <w:gridCol w:w="1711"/>
      </w:tblGrid>
      <w:tr w:rsidR="00B42CFA">
        <w:trPr>
          <w:trHeight w:val="780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Orgány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Bežné účtovné obdobie</w:t>
            </w: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Bezprostredne predchádzajúce účtovné obdobie</w:t>
            </w:r>
          </w:p>
        </w:tc>
      </w:tr>
      <w:tr w:rsidR="00B42CFA">
        <w:trPr>
          <w:trHeight w:val="267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42CFA">
        <w:trPr>
          <w:trHeight w:val="144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numPr>
                <w:ilvl w:val="0"/>
                <w:numId w:val="5"/>
              </w:num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42CFA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42CFA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numPr>
                <w:ilvl w:val="0"/>
                <w:numId w:val="5"/>
              </w:num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42CFA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42CFA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numPr>
                <w:ilvl w:val="0"/>
                <w:numId w:val="5"/>
              </w:num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B42CFA" w:rsidRDefault="00B42CFA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B42CFA" w:rsidRDefault="00B42CFA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III – INFORMÁCIE O PRIJATÝCH POSTUPOCH</w:t>
      </w:r>
    </w:p>
    <w:p w:rsidR="00B42CFA" w:rsidRDefault="00B42CFA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42CFA" w:rsidRPr="00686498" w:rsidRDefault="00B42CFA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ascii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hAnsi="Arial Narrow" w:cs="Arial Narrow"/>
          <w:sz w:val="22"/>
          <w:szCs w:val="22"/>
        </w:rPr>
        <w:t xml:space="preserve"> vo svojej činnosti minimálne 12 mesiacov po závierkovom dni v zmysle § 7 ods. 4 zákona o účtovníctve. Ak by tento predpoklad nebol splnený, uvedie sa aj dopad do účtovnej závierky (napr. zrušenie dlhodobých rezerv): </w:t>
      </w:r>
      <w:r w:rsidR="00D96A4B" w:rsidRPr="00686498">
        <w:rPr>
          <w:rFonts w:ascii="Arial Narrow" w:hAnsi="Arial Narrow" w:cs="Arial Narrow"/>
          <w:b/>
          <w:sz w:val="22"/>
          <w:szCs w:val="22"/>
        </w:rPr>
        <w:t>Účtovná závierka je zostavená za splnenia predpokladu, že účtovná jednotka bude nepretržite pokračovať vo svojej činnosti.</w:t>
      </w:r>
    </w:p>
    <w:p w:rsidR="00B42CFA" w:rsidRDefault="00B42CFA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</w:t>
      </w:r>
    </w:p>
    <w:p w:rsidR="00B42CFA" w:rsidRDefault="00B42CFA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>
        <w:rPr>
          <w:rFonts w:ascii="Arial Narrow" w:hAnsi="Arial Narrow" w:cs="Arial Narrow"/>
          <w:sz w:val="22"/>
          <w:szCs w:val="22"/>
        </w:rPr>
        <w:t xml:space="preserve">, a to s uvedením </w:t>
      </w:r>
      <w:r>
        <w:rPr>
          <w:rFonts w:ascii="Arial Narrow" w:hAnsi="Arial Narrow" w:cs="Arial Narrow"/>
          <w:sz w:val="22"/>
          <w:szCs w:val="22"/>
          <w:u w:val="single"/>
        </w:rPr>
        <w:t>dôvodu</w:t>
      </w:r>
      <w:r>
        <w:rPr>
          <w:rFonts w:ascii="Arial Narrow" w:hAnsi="Arial Narrow" w:cs="Arial Narrow"/>
          <w:sz w:val="22"/>
          <w:szCs w:val="22"/>
        </w:rPr>
        <w:t xml:space="preserve"> ich uplatnenia a ich </w:t>
      </w:r>
      <w:r>
        <w:rPr>
          <w:rFonts w:ascii="Arial Narrow" w:hAnsi="Arial Narrow" w:cs="Arial Narrow"/>
          <w:sz w:val="22"/>
          <w:szCs w:val="22"/>
          <w:u w:val="single"/>
        </w:rPr>
        <w:t>vplyvu na hodnotu</w:t>
      </w:r>
      <w:r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</w:p>
    <w:p w:rsidR="00B42CFA" w:rsidRPr="00945E58" w:rsidRDefault="00945E58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 w:rsidRPr="00945E58">
        <w:rPr>
          <w:rFonts w:ascii="Arial Narrow" w:hAnsi="Arial Narrow" w:cs="Arial Narrow"/>
          <w:b/>
          <w:sz w:val="22"/>
          <w:szCs w:val="22"/>
        </w:rPr>
        <w:t>V roku 201</w:t>
      </w:r>
      <w:r w:rsidR="00AE7E78">
        <w:rPr>
          <w:rFonts w:ascii="Arial Narrow" w:hAnsi="Arial Narrow" w:cs="Arial Narrow"/>
          <w:b/>
          <w:sz w:val="22"/>
          <w:szCs w:val="22"/>
        </w:rPr>
        <w:t>6</w:t>
      </w:r>
      <w:r w:rsidRPr="00945E58">
        <w:rPr>
          <w:rFonts w:ascii="Arial Narrow" w:hAnsi="Arial Narrow" w:cs="Arial Narrow"/>
          <w:b/>
          <w:sz w:val="22"/>
          <w:szCs w:val="22"/>
        </w:rPr>
        <w:t xml:space="preserve"> v účtovnej jednotky nenastali zmeny účtovných zásad.</w:t>
      </w:r>
    </w:p>
    <w:p w:rsidR="00B42CFA" w:rsidRDefault="00B42CFA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segmente):    </w:t>
      </w:r>
    </w:p>
    <w:p w:rsidR="00B42CFA" w:rsidRDefault="00B42CFA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b/>
          <w:sz w:val="22"/>
          <w:szCs w:val="22"/>
        </w:rPr>
        <w:t>Spôsob a určenie oceňovania</w:t>
      </w:r>
      <w:r>
        <w:rPr>
          <w:rFonts w:ascii="Arial Narrow" w:hAnsi="Arial Narrow" w:cs="Arial Narrow"/>
          <w:sz w:val="22"/>
          <w:szCs w:val="22"/>
        </w:rPr>
        <w:t xml:space="preserve"> majetku a záväzkov (vrátane rozhodujúcich odhadov):</w:t>
      </w:r>
    </w:p>
    <w:p w:rsidR="00B42CFA" w:rsidRDefault="00B42CFA">
      <w:pPr>
        <w:ind w:right="-141"/>
        <w:jc w:val="both"/>
        <w:rPr>
          <w:rFonts w:ascii="Arial" w:hAnsi="Arial" w:cs="Arial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>a) Spôsob oceňovania majetku a záväzkov (§ 25 ZoU):</w:t>
      </w:r>
    </w:p>
    <w:p w:rsidR="00B42CFA" w:rsidRDefault="00B42CF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706"/>
        <w:gridCol w:w="5300"/>
        <w:gridCol w:w="3610"/>
      </w:tblGrid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hmotný ma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9.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soby obstarané inak (darom):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ZV a zákazková výstavba nehnuteľnosti určenej na predaj: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D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en-AU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riv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en-AU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ty: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je zaúčtované formou opravnej položky stanovené odborným odhadom bonity klienta. 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d)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>
        <w:rPr>
          <w:rFonts w:ascii="Arial Narrow" w:hAnsi="Arial Narrow" w:cs="Arial Narrow"/>
          <w:b/>
          <w:sz w:val="22"/>
          <w:szCs w:val="22"/>
        </w:rPr>
        <w:t>reálnou hodnotou</w:t>
      </w:r>
      <w:r>
        <w:rPr>
          <w:rFonts w:ascii="Arial Narrow" w:hAnsi="Arial Narrow" w:cs="Arial Narrow"/>
          <w:sz w:val="22"/>
          <w:szCs w:val="22"/>
        </w:rPr>
        <w:t>: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</w:rPr>
        <w:t xml:space="preserve">e)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  <w:u w:val="single"/>
        </w:rPr>
        <w:t>Komentár k oceňovaniu majetku a záväzkov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:rsidR="00B42CFA" w:rsidRDefault="00B42CFA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  <w:u w:val="single"/>
        </w:rPr>
        <w:t>Finančné nástroje</w:t>
      </w:r>
      <w:r>
        <w:rPr>
          <w:rFonts w:ascii="Arial Narrow" w:hAnsi="Arial Narrow" w:cs="Arial Narrow"/>
          <w:sz w:val="22"/>
          <w:szCs w:val="22"/>
        </w:rPr>
        <w:t xml:space="preserve"> definuje § 5 zákona č.566/2001 Z.z. o cenných papieroch v znení neskorších predpisov – sú to napr. cenné papiere (akcie, dlhopisy, dočasné listy), deriváty (opcie, futures, swapy, forwardy), nástroje peňažného trhu (pokladničné poukážky, vkladové listy).</w:t>
      </w:r>
    </w:p>
    <w:p w:rsidR="00B42CFA" w:rsidRDefault="00B42CFA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  <w:u w:val="single"/>
        </w:rPr>
        <w:t>Opravné položky</w:t>
      </w:r>
      <w:r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odborným odhadom bonity príslušného majetku.</w:t>
      </w:r>
    </w:p>
    <w:p w:rsidR="00B42CFA" w:rsidRDefault="00B42CFA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>
        <w:rPr>
          <w:rFonts w:ascii="Arial Narrow" w:hAnsi="Arial Narrow" w:cs="Arial Narrow"/>
          <w:sz w:val="22"/>
          <w:szCs w:val="22"/>
          <w:u w:val="single"/>
        </w:rPr>
        <w:t>metódu odúročenia na súčasnú hodnotu</w:t>
      </w:r>
      <w:r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B42CFA" w:rsidRDefault="00B42CFA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Rezervy</w:t>
      </w:r>
      <w:r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B42CFA" w:rsidRDefault="00B42CFA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UJ počas účtovného obdobia (§ 25 ZoU), ani k závierkovému dňu (§ 27 ZoU) nepoužila ocenenie </w:t>
      </w:r>
      <w:r>
        <w:rPr>
          <w:rFonts w:ascii="Arial Narrow" w:hAnsi="Arial Narrow" w:cs="Arial Narrow"/>
          <w:sz w:val="22"/>
          <w:szCs w:val="22"/>
          <w:u w:val="single"/>
        </w:rPr>
        <w:t>reálnou hodnotou</w:t>
      </w:r>
      <w:r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B42CFA" w:rsidRDefault="00B42CFA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="0059191A">
        <w:rPr>
          <w:rFonts w:ascii="Arial Narrow" w:hAnsi="Arial Narrow" w:cs="Arial Narrow"/>
          <w:sz w:val="22"/>
          <w:szCs w:val="22"/>
        </w:rPr>
        <w:t>FIFO metódu</w:t>
      </w:r>
      <w:r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:rsidR="00B42CFA" w:rsidRDefault="00B42CFA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používa pri oceňovaní </w:t>
      </w:r>
      <w:r>
        <w:rPr>
          <w:rFonts w:ascii="Arial Narrow" w:hAnsi="Arial Narrow" w:cs="Arial Narrow"/>
          <w:sz w:val="22"/>
          <w:szCs w:val="22"/>
          <w:u w:val="single"/>
        </w:rPr>
        <w:t>prírastku</w:t>
      </w:r>
      <w:r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>
        <w:rPr>
          <w:rFonts w:ascii="Arial Narrow" w:hAnsi="Arial Narrow" w:cs="Arial Narrow"/>
          <w:sz w:val="22"/>
          <w:szCs w:val="22"/>
          <w:u w:val="single"/>
        </w:rPr>
        <w:t>zmenárenský kurz</w:t>
      </w:r>
      <w:r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 w:rsidR="00B42CFA" w:rsidRDefault="00B42CFA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 xml:space="preserve">ÚJ používa pri oceňovaní </w:t>
      </w:r>
      <w:r>
        <w:rPr>
          <w:rFonts w:ascii="Arial Narrow" w:hAnsi="Arial Narrow" w:cs="Arial Narrow"/>
          <w:sz w:val="22"/>
          <w:szCs w:val="22"/>
          <w:u w:val="single"/>
        </w:rPr>
        <w:t>úbytku</w:t>
      </w:r>
      <w:r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>
        <w:rPr>
          <w:rFonts w:ascii="Arial Narrow" w:hAnsi="Arial Narrow" w:cs="Arial Narrow"/>
          <w:sz w:val="22"/>
          <w:szCs w:val="22"/>
          <w:u w:val="single"/>
        </w:rPr>
        <w:t>základné pravidlo</w:t>
      </w:r>
      <w:r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B42CFA" w:rsidRDefault="00B42CFA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>
        <w:rPr>
          <w:rFonts w:ascii="Arial Narrow" w:hAnsi="Arial Narrow" w:cs="Arial Narrow"/>
          <w:sz w:val="22"/>
          <w:szCs w:val="22"/>
        </w:rPr>
        <w:t xml:space="preserve"> (§ 27/9 ZoU).</w:t>
      </w:r>
    </w:p>
    <w:p w:rsidR="00B42CFA" w:rsidRDefault="00B42CFA"/>
    <w:p w:rsidR="00B42CFA" w:rsidRDefault="00B42CFA">
      <w:pPr>
        <w:pStyle w:val="Nadpis2"/>
        <w:tabs>
          <w:tab w:val="left" w:pos="1005"/>
        </w:tabs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g) </w:t>
      </w:r>
      <w:r>
        <w:rPr>
          <w:rFonts w:ascii="Arial Narrow" w:hAnsi="Arial Narrow" w:cs="Arial Narrow"/>
          <w:bCs w:val="0"/>
          <w:sz w:val="22"/>
          <w:szCs w:val="22"/>
        </w:rPr>
        <w:t>Tvorba odpisového plánu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4218"/>
        <w:gridCol w:w="1013"/>
        <w:gridCol w:w="2107"/>
        <w:gridCol w:w="2278"/>
      </w:tblGrid>
      <w:tr w:rsidR="00B42CFA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Dlhodobý hmotný a nehmotný</w:t>
            </w:r>
          </w:p>
          <w:p w:rsidR="00B42CFA" w:rsidRDefault="00B42CFA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B42CFA" w:rsidRDefault="00B42CFA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B42CFA" w:rsidRDefault="00B42CFA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B42CFA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5E0E15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5E0E15">
              <w:rPr>
                <w:rFonts w:ascii="Arial Narrow" w:hAnsi="Arial Narrow" w:cs="Arial"/>
                <w:sz w:val="22"/>
                <w:szCs w:val="22"/>
              </w:rPr>
              <w:t>Samostatné hnuteľné veci a súbory hnuteľných vecí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5E0E15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5E0E15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5E0E15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B42CFA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B42CFA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B42CFA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B42CFA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B42CFA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B42CFA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 w:rsidP="0059191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</w:tbl>
    <w:p w:rsidR="00B42CFA" w:rsidRDefault="00B42CFA">
      <w:pPr>
        <w:jc w:val="both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"/>
          <w:sz w:val="22"/>
          <w:szCs w:val="22"/>
        </w:rPr>
        <w:t xml:space="preserve"> </w:t>
      </w:r>
    </w:p>
    <w:p w:rsidR="00B42CFA" w:rsidRDefault="00B42CFA">
      <w:pPr>
        <w:spacing w:after="120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Komentár k odpisovému plánu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:rsidR="00B42CFA" w:rsidRDefault="00B42CFA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UJ používa </w:t>
      </w:r>
      <w:r w:rsidR="00976547">
        <w:rPr>
          <w:rFonts w:ascii="Arial Narrow" w:hAnsi="Arial Narrow" w:cs="Arial"/>
          <w:sz w:val="22"/>
          <w:szCs w:val="22"/>
          <w:u w:val="single"/>
        </w:rPr>
        <w:t xml:space="preserve">účtovné odpisy </w:t>
      </w:r>
      <w:r>
        <w:rPr>
          <w:rFonts w:ascii="Arial Narrow" w:hAnsi="Arial Narrow" w:cs="Arial"/>
          <w:sz w:val="22"/>
          <w:szCs w:val="22"/>
          <w:u w:val="single"/>
        </w:rPr>
        <w:t>závisle na daňových odpisoch</w:t>
      </w:r>
      <w:r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>
        <w:rPr>
          <w:rFonts w:ascii="Arial Narrow" w:hAnsi="Arial Narrow" w:cs="Arial"/>
          <w:sz w:val="22"/>
          <w:szCs w:val="22"/>
          <w:u w:val="single"/>
        </w:rPr>
        <w:t>zaradený do užívania</w:t>
      </w:r>
      <w:r>
        <w:rPr>
          <w:rFonts w:ascii="Arial Narrow" w:hAnsi="Arial Narrow" w:cs="Arial"/>
          <w:sz w:val="22"/>
          <w:szCs w:val="22"/>
        </w:rPr>
        <w:t xml:space="preserve">. Účtovné odpisy vychádzajú z predpokladanej doby používania majetku. Dlhodobý nehmotný majetok sa odpisuje počas </w:t>
      </w:r>
      <w:r w:rsidR="0059191A">
        <w:rPr>
          <w:rFonts w:ascii="Arial Narrow" w:hAnsi="Arial Narrow" w:cs="Arial"/>
          <w:sz w:val="22"/>
          <w:szCs w:val="22"/>
        </w:rPr>
        <w:t>5</w:t>
      </w:r>
      <w:r>
        <w:rPr>
          <w:rFonts w:ascii="Arial Narrow" w:hAnsi="Arial Narrow" w:cs="Arial"/>
          <w:sz w:val="22"/>
          <w:szCs w:val="22"/>
        </w:rPr>
        <w:t xml:space="preserve"> rokov od jeho obstarania.</w:t>
      </w:r>
    </w:p>
    <w:p w:rsidR="00B42CFA" w:rsidRDefault="00B42CFA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UJ používa </w:t>
      </w:r>
      <w:r>
        <w:rPr>
          <w:rFonts w:ascii="Arial Narrow" w:hAnsi="Arial Narrow" w:cs="Arial"/>
          <w:sz w:val="22"/>
          <w:szCs w:val="22"/>
          <w:u w:val="single"/>
        </w:rPr>
        <w:t>rovnomerné odpisovanie</w:t>
      </w:r>
      <w:r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</w:t>
      </w:r>
      <w:r w:rsidR="0059191A">
        <w:rPr>
          <w:rFonts w:ascii="Arial Narrow" w:hAnsi="Arial Narrow" w:cs="Arial"/>
          <w:sz w:val="22"/>
          <w:szCs w:val="22"/>
        </w:rPr>
        <w:t>Pohoda</w:t>
      </w:r>
      <w:r>
        <w:rPr>
          <w:rFonts w:ascii="Arial Narrow" w:hAnsi="Arial Narrow" w:cs="Arial"/>
          <w:sz w:val="22"/>
          <w:szCs w:val="22"/>
        </w:rPr>
        <w:t xml:space="preserve"> (taktiež daňové odpisy podľa zákona o dani z príjmov).</w:t>
      </w:r>
    </w:p>
    <w:p w:rsidR="00B42CFA" w:rsidRDefault="00B42CFA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>
        <w:rPr>
          <w:rFonts w:ascii="Arial Narrow" w:hAnsi="Arial Narrow" w:cs="Arial"/>
          <w:sz w:val="22"/>
          <w:szCs w:val="22"/>
          <w:u w:val="single"/>
        </w:rPr>
        <w:t>súbory hnuteľných vecí</w:t>
      </w:r>
      <w:r>
        <w:rPr>
          <w:rFonts w:ascii="Arial Narrow" w:hAnsi="Arial Narrow" w:cs="Arial"/>
          <w:sz w:val="22"/>
          <w:szCs w:val="22"/>
        </w:rPr>
        <w:t xml:space="preserve"> (napr. počítačová sieť, nábytková zostava). UJ nepoužíva komponentné odpisovanie (odpisovanie častí majetku - komponentov).</w:t>
      </w:r>
    </w:p>
    <w:p w:rsidR="00B42CFA" w:rsidRDefault="00B42CFA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UJ nepoužila </w:t>
      </w:r>
      <w:r>
        <w:rPr>
          <w:rFonts w:ascii="Arial Narrow" w:hAnsi="Arial Narrow" w:cs="Arial Narrow"/>
          <w:sz w:val="22"/>
          <w:szCs w:val="22"/>
          <w:u w:val="single"/>
        </w:rPr>
        <w:t>jednorazový odpis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dlhodobého majetku z dôvodu jednorazového trvalého zníženia hodnoty majetku (§ 21/5 PU).</w:t>
      </w:r>
    </w:p>
    <w:p w:rsidR="00B42CFA" w:rsidRDefault="00B42CFA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kategóriu drobného dlhodobého nehmotného majetku</w:t>
      </w:r>
      <w:r>
        <w:rPr>
          <w:rFonts w:ascii="Arial Narrow" w:hAnsi="Arial Narrow" w:cs="Arial Narrow"/>
          <w:sz w:val="22"/>
          <w:szCs w:val="22"/>
        </w:rPr>
        <w:t xml:space="preserve"> - položky pod 2 400 eur jednotkovej ceny so životnosťou nad jeden rok (§ 13/2 PU).</w:t>
      </w:r>
    </w:p>
    <w:p w:rsidR="00B42CFA" w:rsidRDefault="00B42CFA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kategóriu drobného dlhodobého hmotného majetku</w:t>
      </w:r>
      <w:r>
        <w:rPr>
          <w:rFonts w:ascii="Arial Narrow" w:hAnsi="Arial Narrow" w:cs="Arial Narrow"/>
          <w:sz w:val="22"/>
          <w:szCs w:val="22"/>
        </w:rPr>
        <w:t xml:space="preserve"> - položky pod 1 700 eur jednotkovej ceny so životnosťou nad jeden rok (§ 13/6 PU).</w:t>
      </w:r>
    </w:p>
    <w:p w:rsidR="00B42CFA" w:rsidRDefault="00B42CFA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>
        <w:rPr>
          <w:rFonts w:ascii="Arial Narrow" w:hAnsi="Arial Narrow" w:cs="Arial Narrow"/>
          <w:sz w:val="22"/>
          <w:szCs w:val="22"/>
        </w:rPr>
        <w:t xml:space="preserve"> do odpisovaného dlhodobého majetku – technické zhodnotenie pod 1 700 eur za účtovné obdobie (§ 21/3 PU; § 29/2 ZDP).</w:t>
      </w:r>
    </w:p>
    <w:p w:rsidR="00B42CFA" w:rsidRDefault="00B42CFA">
      <w:pPr>
        <w:numPr>
          <w:ilvl w:val="0"/>
          <w:numId w:val="2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>
        <w:rPr>
          <w:rFonts w:ascii="Arial Narrow" w:hAnsi="Arial Narrow" w:cs="Arial Narrow"/>
          <w:sz w:val="22"/>
          <w:szCs w:val="22"/>
        </w:rPr>
        <w:t xml:space="preserve"> do obstarávacej ceny odpisovaného dlhodobého hmotného majetku alebo dlhodobého nehmotného majetku (§ 34/1 PU; § 35/2/h PU).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</w:p>
    <w:p w:rsidR="00B42CFA" w:rsidRDefault="00B42CFA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B42CFA" w:rsidRDefault="00B42CFA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5) </w:t>
      </w:r>
      <w:r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3075"/>
        <w:gridCol w:w="1040"/>
        <w:gridCol w:w="1039"/>
        <w:gridCol w:w="1928"/>
        <w:gridCol w:w="2529"/>
      </w:tblGrid>
      <w:tr w:rsidR="00B42CFA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B42CFA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42CFA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B42CFA" w:rsidRDefault="00B42CFA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Vysvetlivky k oprave chýb minulých účtovných období:</w:t>
      </w:r>
    </w:p>
    <w:p w:rsidR="00B42CFA" w:rsidRDefault="00B42CFA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Po schválení účtovnej závierky na valnom zhromaždení už nemožno otvárať účtovné knihy minulých účtovných období a prípadné opravy sa vykonajú v bežnom účtovnom období (§ 16/10,11 ZoU).</w:t>
      </w:r>
    </w:p>
    <w:p w:rsidR="00B42CFA" w:rsidRDefault="00B42CFA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:rsidR="00B42CFA" w:rsidRDefault="00B42CFA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Významné opravy chýb minulých účtovných období sa účtujú (§ 59/13 PU) - voči minulým výsledkom hospodárenia (voči vlastnému imaniu na účet 428 alebo 429). </w:t>
      </w:r>
    </w:p>
    <w:p w:rsidR="00B42CFA" w:rsidRDefault="00B42CFA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</w:p>
    <w:p w:rsidR="00B42CFA" w:rsidRDefault="00B42CFA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Pri ukladaní pokuty za nesprávnosti v účtovníctve prihliadne daňový úrad aj na to, či UJ písomne ohlásila obsah a sumu vykonanej opravy chýb minulých účtovných období (§ 38/5 ZoU).</w:t>
      </w:r>
    </w:p>
    <w:p w:rsidR="00B42CFA" w:rsidRDefault="00B42CFA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Opravy chýb minulých účtovných období sa daňovo vysporiadajú podľa pravidiel v zákone o dani z príjmov (§ 17/15,29 ZDP) a pravidiel v daňovom poriadku (§ 16). 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ind w:right="-468"/>
        <w:jc w:val="center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 w:rsidR="00B42CFA" w:rsidRDefault="00B42CFA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r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>
        <w:rPr>
          <w:rFonts w:ascii="Arial Narrow" w:hAnsi="Arial Narrow" w:cs="Arial Narrow"/>
          <w:b/>
          <w:sz w:val="22"/>
          <w:szCs w:val="22"/>
        </w:rPr>
        <w:t xml:space="preserve"> - </w:t>
      </w:r>
      <w:r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</w:rPr>
        <w:t>[Vysvetlivky: Záporný goodwill sa účtovne odpíše do výnosov (075/551) jednorázovo v roku jeho vzniku (§ 37 PU). Daňovo sa goodwill z podnikových kombinácií spravidla odpisuje najdlhšie počas 7 rokov podľa pravidiel v zákone o dani z príjmov (§ 17/11; § 17a - 17e ZDP)]</w:t>
      </w:r>
    </w:p>
    <w:p w:rsidR="00B42CFA" w:rsidRDefault="00B42CF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Informácie o významných </w:t>
      </w:r>
      <w:r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Pritom sa uvádza forma tohto zabezpečenia a uvádza sa zmena reálnej hodnoty v priebehu účtovného obdobia (§ 27 ZoU). Pre každý druh derivátov sa uvádza informácia o rozsahu a povahe týchto derivátov vrátane významných podmienok, ktoré môžu ovplyvniť sumu, načasovanie a mieru istoty budúcich peňažných tokov a </w:t>
      </w:r>
      <w:r>
        <w:rPr>
          <w:rFonts w:ascii="Arial Narrow" w:hAnsi="Arial Narrow" w:cs="Arial Narrow"/>
          <w:sz w:val="22"/>
          <w:szCs w:val="22"/>
          <w:u w:val="single"/>
        </w:rPr>
        <w:t>v tabuľkovej forme</w:t>
      </w:r>
      <w:r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3655"/>
        <w:gridCol w:w="1135"/>
        <w:gridCol w:w="1135"/>
        <w:gridCol w:w="1844"/>
        <w:gridCol w:w="1846"/>
      </w:tblGrid>
      <w:tr w:rsidR="00B42CFA">
        <w:trPr>
          <w:trHeight w:val="153"/>
        </w:trPr>
        <w:tc>
          <w:tcPr>
            <w:tcW w:w="3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 derivátov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B42CFA">
        <w:trPr>
          <w:trHeight w:val="62"/>
        </w:trPr>
        <w:tc>
          <w:tcPr>
            <w:tcW w:w="3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42CFA">
        <w:trPr>
          <w:trHeight w:val="109"/>
        </w:trPr>
        <w:tc>
          <w:tcPr>
            <w:tcW w:w="3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B42CFA" w:rsidRDefault="00B42CFA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Komentár</w:t>
      </w:r>
      <w:r>
        <w:rPr>
          <w:rFonts w:ascii="Arial Narrow" w:hAnsi="Arial Narrow" w:cs="Arial Narrow"/>
          <w:sz w:val="22"/>
          <w:szCs w:val="22"/>
        </w:rPr>
        <w:t>: Prvotné ocenenie reálnou hodnotou (§ 25 ZoU) počas účtovného obdobia – bez náplne.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[Vysvetlivky: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  <w:u w:val="single"/>
        </w:rPr>
        <w:t>Reálnou hodnotou</w:t>
      </w:r>
      <w:r>
        <w:rPr>
          <w:rFonts w:ascii="Arial Narrow" w:hAnsi="Arial Narrow" w:cs="Arial Narrow"/>
          <w:sz w:val="22"/>
          <w:szCs w:val="22"/>
        </w:rPr>
        <w:t xml:space="preserve"> – sa k závierkovému dňu oceňujú, okrem iného, aj deriváty a majetok a záväzky zabezpečené derivátmi (§ 27/1 ZoU); precenenie na reálnu hodnotu k závierkovému dňu sa účtuje (§ 16 PU) - výsledkovo (účty 56x, 66x) alebo súvahovo (účet 414)].</w:t>
      </w:r>
    </w:p>
    <w:p w:rsidR="00B42CFA" w:rsidRDefault="00B42CFA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3a) Celková suma </w:t>
      </w:r>
      <w:r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785"/>
        <w:gridCol w:w="2553"/>
        <w:gridCol w:w="2386"/>
      </w:tblGrid>
      <w:tr w:rsidR="00B42CFA">
        <w:trPr>
          <w:trHeight w:val="693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Názov položky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Bežné účtovné obdobie</w:t>
            </w:r>
          </w:p>
        </w:tc>
        <w:tc>
          <w:tcPr>
            <w:tcW w:w="2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Bezprostredne predchádzajúce účtovné obdobie</w:t>
            </w:r>
          </w:p>
        </w:tc>
      </w:tr>
      <w:tr w:rsidR="00B42CFA">
        <w:trPr>
          <w:trHeight w:val="207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59191A">
            <w:pPr>
              <w:snapToGrid w:val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2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59191A">
            <w:pPr>
              <w:snapToGrid w:val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</w:tr>
    </w:tbl>
    <w:p w:rsidR="00B42CFA" w:rsidRDefault="00B42CFA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[Vysvetlivky: Zostatková doba splatnosti záväzku alebo jeho časti – je rozdiel medzi dohodnutou dobou splatnosti záväzkov a závierkovým dňom (§ 12 PU).]</w:t>
      </w:r>
    </w:p>
    <w:p w:rsidR="00B42CFA" w:rsidRDefault="00B42CFA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3b) Celková suma </w:t>
      </w:r>
      <w:r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6"/>
        <w:gridCol w:w="2831"/>
        <w:gridCol w:w="2421"/>
      </w:tblGrid>
      <w:tr w:rsidR="00B42CFA">
        <w:tc>
          <w:tcPr>
            <w:tcW w:w="4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Zabezpečené záväzky</w:t>
            </w:r>
          </w:p>
        </w:tc>
        <w:tc>
          <w:tcPr>
            <w:tcW w:w="525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Bežné účtovné obdobie</w:t>
            </w:r>
          </w:p>
        </w:tc>
      </w:tr>
      <w:tr w:rsidR="00B42CFA">
        <w:tc>
          <w:tcPr>
            <w:tcW w:w="439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  <w:snapToGrid w:val="0"/>
              <w:jc w:val="both"/>
            </w:pP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 xml:space="preserve">Spôsob </w:t>
            </w:r>
          </w:p>
          <w:p w:rsidR="00B42CFA" w:rsidRDefault="00B42CFA">
            <w:pPr>
              <w:pStyle w:val="TopHeader"/>
            </w:pPr>
            <w:r>
              <w:t>zabezpečenia</w:t>
            </w: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Hodnota záväzkov</w:t>
            </w:r>
          </w:p>
        </w:tc>
      </w:tr>
      <w:tr w:rsidR="00B42CFA">
        <w:trPr>
          <w:trHeight w:val="69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42CFA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42CFA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B42CFA" w:rsidRDefault="00B42CFA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 w:rsidR="00B42CFA" w:rsidRDefault="00B42CF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 w:rsidR="00B42CFA" w:rsidRDefault="00B42CF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B42CFA" w:rsidRDefault="00B42CFA">
      <w:pPr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</w:rPr>
        <w:t xml:space="preserve">5) Informácie o sume a dôvodoch vzniku jednotlivých položiek </w:t>
      </w:r>
      <w:r>
        <w:rPr>
          <w:rFonts w:ascii="Arial Narrow" w:hAnsi="Arial Narrow" w:cs="Arial Narrow"/>
          <w:b/>
          <w:sz w:val="22"/>
          <w:szCs w:val="22"/>
        </w:rPr>
        <w:t>nákladov alebo výnosov</w:t>
      </w:r>
      <w:r>
        <w:rPr>
          <w:rFonts w:ascii="Arial Narrow" w:hAnsi="Arial Narrow" w:cs="Arial Narrow"/>
          <w:sz w:val="22"/>
          <w:szCs w:val="22"/>
        </w:rPr>
        <w:t xml:space="preserve">, ktoré majú </w:t>
      </w:r>
      <w:r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</w:p>
    <w:p w:rsidR="00B42CFA" w:rsidRDefault="00B42CF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B42CFA" w:rsidRDefault="00B42CFA">
      <w:pPr>
        <w:spacing w:after="120"/>
        <w:ind w:right="-471"/>
        <w:jc w:val="center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1a)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1b)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</w:p>
    <w:p w:rsidR="00B42CFA" w:rsidRDefault="00B42CFA">
      <w:pPr>
        <w:numPr>
          <w:ilvl w:val="0"/>
          <w:numId w:val="6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:rsidR="00B42CFA" w:rsidRDefault="00B42CFA">
      <w:pPr>
        <w:numPr>
          <w:ilvl w:val="0"/>
          <w:numId w:val="6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6311"/>
        <w:gridCol w:w="1701"/>
        <w:gridCol w:w="1603"/>
      </w:tblGrid>
      <w:tr w:rsidR="00B42CFA">
        <w:trPr>
          <w:trHeight w:val="780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Názov podsúvahovej položky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Bežné účtovné obdobie</w:t>
            </w: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Bezprostredne predchádzajúce účtovné obdobie</w:t>
            </w:r>
          </w:p>
        </w:tc>
      </w:tr>
      <w:tr w:rsidR="00B42CFA">
        <w:trPr>
          <w:trHeight w:val="267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lastRenderedPageBreak/>
              <w:t>Prenajatý majetok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42CFA">
        <w:trPr>
          <w:trHeight w:val="144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42CFA">
        <w:trPr>
          <w:trHeight w:val="161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Pohľadávky z opcií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42CFA">
        <w:trPr>
          <w:trHeight w:val="161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 opcií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42CFA">
        <w:trPr>
          <w:trHeight w:val="161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42CFA">
        <w:trPr>
          <w:trHeight w:val="161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B42CFA" w:rsidRDefault="00B42CFA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VI – UDALOSTI, KTORÉ NASTALI PO ZÁVIERKOVOM DNI</w:t>
      </w:r>
    </w:p>
    <w:p w:rsidR="00B42CFA" w:rsidRDefault="00B42CFA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B42CFA" w:rsidRDefault="00B42CFA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Uvádzajú sa informácie o charaktere a finančnom vplyve významných udalostí, ktoré nastali v čase po závierkovom dni - do dňa zostavenia účtovnej závierky (t.j. do dňa podpísania výkazov podľa § 17/5 ZoU) a ktoré nie sú zohľadnené v súvahe alebo vo výkaze ziskov a strát, napríklad:</w:t>
      </w:r>
    </w:p>
    <w:p w:rsidR="00B42CFA" w:rsidRPr="00E965C1" w:rsidRDefault="00B42CFA">
      <w:pPr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</w:t>
      </w:r>
      <w:r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>
        <w:rPr>
          <w:rFonts w:ascii="Arial Narrow" w:hAnsi="Arial Narrow" w:cs="Arial Narrow"/>
          <w:sz w:val="22"/>
          <w:szCs w:val="22"/>
        </w:rPr>
        <w:t xml:space="preserve"> ako dôsledku udalostí, ktoré nastali po dni, ku ktorému sa zostavuje účtovná závierka do dňa zostavenia účtovnej závierky s uvedením dôvodu týchto zmien: </w:t>
      </w:r>
      <w:r w:rsidR="00E965C1">
        <w:rPr>
          <w:rFonts w:ascii="Arial Narrow" w:hAnsi="Arial Narrow" w:cs="Arial Narrow"/>
          <w:sz w:val="22"/>
          <w:szCs w:val="22"/>
        </w:rPr>
        <w:t xml:space="preserve"> </w:t>
      </w:r>
      <w:r w:rsidR="00E965C1" w:rsidRPr="00E965C1">
        <w:rPr>
          <w:rFonts w:ascii="Arial Narrow" w:hAnsi="Arial Narrow" w:cs="Arial Narrow"/>
          <w:b/>
          <w:sz w:val="22"/>
          <w:szCs w:val="22"/>
        </w:rPr>
        <w:t>Nenastal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</w:t>
      </w:r>
      <w:r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  <w:r w:rsidR="00E965C1">
        <w:rPr>
          <w:rFonts w:ascii="Arial Narrow" w:hAnsi="Arial Narrow" w:cs="Arial Narrow"/>
          <w:sz w:val="22"/>
          <w:szCs w:val="22"/>
        </w:rPr>
        <w:t xml:space="preserve"> nenastali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  <w:r w:rsidR="00E965C1">
        <w:rPr>
          <w:rFonts w:ascii="Arial Narrow" w:hAnsi="Arial Narrow" w:cs="Arial Narrow"/>
          <w:sz w:val="22"/>
          <w:szCs w:val="22"/>
        </w:rPr>
        <w:t>nebola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  <w:r w:rsidR="00E965C1">
        <w:rPr>
          <w:rFonts w:ascii="Arial Narrow" w:hAnsi="Arial Narrow" w:cs="Arial Narrow"/>
          <w:sz w:val="22"/>
          <w:szCs w:val="22"/>
        </w:rPr>
        <w:t xml:space="preserve"> neboli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  <w:r w:rsidR="00E965C1">
        <w:rPr>
          <w:rFonts w:ascii="Arial Narrow" w:hAnsi="Arial Narrow" w:cs="Arial Narrow"/>
          <w:sz w:val="22"/>
          <w:szCs w:val="22"/>
        </w:rPr>
        <w:t xml:space="preserve"> neboli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  <w:r w:rsidR="00E965C1">
        <w:rPr>
          <w:rFonts w:ascii="Arial Narrow" w:hAnsi="Arial Narrow" w:cs="Arial Narrow"/>
          <w:sz w:val="22"/>
          <w:szCs w:val="22"/>
        </w:rPr>
        <w:t>nie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  <w:r w:rsidR="00E965C1">
        <w:rPr>
          <w:rFonts w:ascii="Arial Narrow" w:hAnsi="Arial Narrow" w:cs="Arial Narrow"/>
          <w:sz w:val="22"/>
          <w:szCs w:val="22"/>
        </w:rPr>
        <w:t>nie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  <w:r w:rsidR="00E965C1">
        <w:rPr>
          <w:rFonts w:ascii="Arial Narrow" w:hAnsi="Arial Narrow" w:cs="Arial Narrow"/>
          <w:sz w:val="22"/>
          <w:szCs w:val="22"/>
        </w:rPr>
        <w:t>nie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  <w:r w:rsidR="00E965C1">
        <w:rPr>
          <w:rFonts w:ascii="Arial Narrow" w:hAnsi="Arial Narrow" w:cs="Arial Narrow"/>
          <w:sz w:val="22"/>
          <w:szCs w:val="22"/>
        </w:rPr>
        <w:t>nie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  <w:r w:rsidR="00E965C1">
        <w:rPr>
          <w:rFonts w:ascii="Arial Narrow" w:hAnsi="Arial Narrow" w:cs="Arial Narrow"/>
          <w:sz w:val="22"/>
          <w:szCs w:val="22"/>
        </w:rPr>
        <w:t>nie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závierkovom dni do dňa podpísania výkazov – uvádza sa v poznámkach. </w:t>
      </w:r>
      <w:r>
        <w:rPr>
          <w:rFonts w:ascii="Arial Narrow" w:hAnsi="Arial Narrow" w:cs="Arial Narrow"/>
          <w:sz w:val="22"/>
          <w:szCs w:val="22"/>
          <w:u w:val="single"/>
        </w:rPr>
        <w:t>Upravujúci závierkový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závierkového dňa, len bol zistený do dňa podpísania výkazov – riadne sa účtuje do hlavnej knihy a riadne sa vykazuje vo výkazoch (§ 17/8 ZoU; § 2a; § 18/9; § 19/6; § 48/3; § 50/6 PU).]</w:t>
      </w:r>
    </w:p>
    <w:p w:rsidR="00B42CFA" w:rsidRDefault="00B42CFA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B42CFA" w:rsidRDefault="00B42CFA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B42CFA" w:rsidRDefault="00B42CFA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VII – OSTATNÉ INFORMÁCIE</w:t>
      </w:r>
    </w:p>
    <w:p w:rsidR="00B42CFA" w:rsidRDefault="00B42CFA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42CFA" w:rsidRDefault="00B42CFA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1) Informácie o výlučnom práve poskytovať služby vo verejnom záujme:</w:t>
      </w:r>
      <w:r w:rsidR="00E965C1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42CFA" w:rsidRDefault="00B42CFA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  <w:r w:rsidR="00E965C1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42CFA" w:rsidRDefault="00B42CFA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  <w:r w:rsidR="00E965C1">
        <w:rPr>
          <w:rFonts w:ascii="Arial Narrow" w:hAnsi="Arial Narrow" w:cs="Arial Narrow"/>
          <w:bCs/>
          <w:sz w:val="22"/>
          <w:szCs w:val="22"/>
        </w:rPr>
        <w:t>nie</w:t>
      </w:r>
    </w:p>
    <w:sectPr w:rsidR="00B42CFA">
      <w:headerReference w:type="default" r:id="rId8"/>
      <w:footerReference w:type="default" r:id="rId9"/>
      <w:pgSz w:w="11906" w:h="16838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D19AA" w:rsidRDefault="002D19AA">
      <w:r>
        <w:separator/>
      </w:r>
    </w:p>
  </w:endnote>
  <w:endnote w:type="continuationSeparator" w:id="0">
    <w:p w:rsidR="002D19AA" w:rsidRDefault="002D19A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42CFA" w:rsidRDefault="00B42CFA">
    <w:pPr>
      <w:pStyle w:val="Pta"/>
      <w:jc w:val="right"/>
    </w:pPr>
    <w:r>
      <w:fldChar w:fldCharType="begin"/>
    </w:r>
    <w:r>
      <w:instrText xml:space="preserve"> PAGE </w:instrText>
    </w:r>
    <w:r>
      <w:fldChar w:fldCharType="separate"/>
    </w:r>
    <w:r w:rsidR="007B299A">
      <w:rPr>
        <w:noProof/>
      </w:rPr>
      <w:t>7</w:t>
    </w:r>
    <w:r>
      <w:fldChar w:fldCharType="end"/>
    </w:r>
  </w:p>
  <w:p w:rsidR="00B42CFA" w:rsidRDefault="00B42CF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D19AA" w:rsidRDefault="002D19AA">
      <w:r>
        <w:separator/>
      </w:r>
    </w:p>
  </w:footnote>
  <w:footnote w:type="continuationSeparator" w:id="0">
    <w:p w:rsidR="002D19AA" w:rsidRDefault="002D19A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42CFA" w:rsidRDefault="00B42CFA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lang w:val="sk-SK"/>
      </w:rPr>
      <w:t>Po</w:t>
    </w:r>
    <w:r>
      <w:rPr>
        <w:rFonts w:ascii="Arial" w:hAnsi="Arial" w:cs="Arial"/>
        <w:spacing w:val="1"/>
        <w:sz w:val="22"/>
        <w:szCs w:val="22"/>
        <w:lang w:val="sk-SK"/>
      </w:rPr>
      <w:t>z</w:t>
    </w:r>
    <w:r>
      <w:rPr>
        <w:rFonts w:ascii="Arial" w:hAnsi="Arial" w:cs="Arial"/>
        <w:sz w:val="22"/>
        <w:szCs w:val="22"/>
        <w:lang w:val="sk-SK"/>
      </w:rPr>
      <w:t>n</w:t>
    </w:r>
    <w:r>
      <w:rPr>
        <w:rFonts w:ascii="Arial" w:hAnsi="Arial" w:cs="Arial"/>
        <w:spacing w:val="-1"/>
        <w:sz w:val="22"/>
        <w:szCs w:val="22"/>
        <w:lang w:val="sk-SK"/>
      </w:rPr>
      <w:t>á</w:t>
    </w:r>
    <w:r>
      <w:rPr>
        <w:rFonts w:ascii="Arial" w:hAnsi="Arial" w:cs="Arial"/>
        <w:sz w:val="22"/>
        <w:szCs w:val="22"/>
        <w:lang w:val="sk-SK"/>
      </w:rPr>
      <w:t>m</w:t>
    </w:r>
    <w:r>
      <w:rPr>
        <w:rFonts w:ascii="Arial" w:hAnsi="Arial" w:cs="Arial"/>
        <w:spacing w:val="2"/>
        <w:sz w:val="22"/>
        <w:szCs w:val="22"/>
        <w:lang w:val="sk-SK"/>
      </w:rPr>
      <w:t>k</w:t>
    </w:r>
    <w:r>
      <w:rPr>
        <w:rFonts w:ascii="Arial" w:hAnsi="Arial" w:cs="Arial"/>
        <w:sz w:val="22"/>
        <w:szCs w:val="22"/>
        <w:lang w:val="sk-SK"/>
      </w:rPr>
      <w:t>y</w:t>
    </w:r>
    <w:r>
      <w:rPr>
        <w:rFonts w:ascii="Arial" w:hAnsi="Arial" w:cs="Arial"/>
        <w:spacing w:val="-8"/>
        <w:sz w:val="22"/>
        <w:szCs w:val="22"/>
        <w:lang w:val="sk-SK"/>
      </w:rPr>
      <w:t xml:space="preserve"> </w:t>
    </w:r>
    <w:r>
      <w:rPr>
        <w:rFonts w:ascii="Arial" w:hAnsi="Arial" w:cs="Arial"/>
        <w:spacing w:val="1"/>
        <w:sz w:val="22"/>
        <w:szCs w:val="22"/>
        <w:lang w:val="sk-SK"/>
      </w:rPr>
      <w:t>Ú</w:t>
    </w:r>
    <w:r>
      <w:rPr>
        <w:rFonts w:ascii="Arial" w:hAnsi="Arial" w:cs="Arial"/>
        <w:sz w:val="22"/>
        <w:szCs w:val="22"/>
        <w:lang w:val="sk-SK"/>
      </w:rPr>
      <w:t>č</w:t>
    </w:r>
    <w:r>
      <w:rPr>
        <w:rFonts w:ascii="Arial" w:hAnsi="Arial" w:cs="Arial"/>
        <w:sz w:val="22"/>
        <w:szCs w:val="22"/>
      </w:rPr>
      <w:t xml:space="preserve"> POD 3 –</w:t>
    </w:r>
    <w:r>
      <w:rPr>
        <w:rFonts w:ascii="Arial" w:hAnsi="Arial" w:cs="Arial"/>
        <w:spacing w:val="-1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01                           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ČO: </w:t>
    </w:r>
    <w:r w:rsidR="00C36ACC" w:rsidRPr="00C36ACC">
      <w:rPr>
        <w:rFonts w:ascii="Arial" w:hAnsi="Arial" w:cs="Arial"/>
        <w:sz w:val="22"/>
        <w:szCs w:val="22"/>
      </w:rPr>
      <w:t>47235888</w:t>
    </w:r>
    <w:r>
      <w:rPr>
        <w:rFonts w:ascii="Arial" w:hAnsi="Arial" w:cs="Arial"/>
        <w:sz w:val="22"/>
        <w:szCs w:val="22"/>
      </w:rPr>
      <w:t xml:space="preserve">        </w:t>
    </w:r>
    <w:r>
      <w:rPr>
        <w:rFonts w:ascii="Arial" w:hAnsi="Arial" w:cs="Arial"/>
        <w:spacing w:val="1"/>
        <w:sz w:val="22"/>
        <w:szCs w:val="22"/>
      </w:rPr>
      <w:t>D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Č: </w:t>
    </w:r>
    <w:r w:rsidR="00C36ACC" w:rsidRPr="00C36ACC">
      <w:rPr>
        <w:rFonts w:ascii="Arial" w:hAnsi="Arial" w:cs="Arial"/>
        <w:sz w:val="22"/>
        <w:szCs w:val="22"/>
      </w:rPr>
      <w:t>2023356478</w:t>
    </w:r>
  </w:p>
  <w:p w:rsidR="006C5779" w:rsidRDefault="006C5779">
    <w:pPr>
      <w:pStyle w:val="Zkladntext"/>
      <w:tabs>
        <w:tab w:val="left" w:pos="2990"/>
        <w:tab w:val="left" w:pos="6348"/>
      </w:tabs>
      <w:ind w:left="-397" w:firstLine="0"/>
      <w:jc w:val="center"/>
    </w:pPr>
  </w:p>
  <w:p w:rsidR="00B42CFA" w:rsidRDefault="00B42CFA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singleLevel"/>
    <w:tmpl w:val="00000001"/>
    <w:lvl w:ilvl="0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w w:val="100"/>
        <w:kern w:val="1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</w:abstractNum>
  <w:abstractNum w:abstractNumId="1" w15:restartNumberingAfterBreak="0">
    <w:nsid w:val="00000002"/>
    <w:multiLevelType w:val="singleLevel"/>
    <w:tmpl w:val="00000002"/>
    <w:name w:val="WW8Num3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/>
      </w:rPr>
    </w:lvl>
  </w:abstractNum>
  <w:abstractNum w:abstractNumId="2" w15:restartNumberingAfterBreak="0">
    <w:nsid w:val="00000003"/>
    <w:multiLevelType w:val="singleLevel"/>
    <w:tmpl w:val="00000003"/>
    <w:name w:val="WW8Num5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/>
      </w:rPr>
    </w:lvl>
  </w:abstractNum>
  <w:abstractNum w:abstractNumId="3" w15:restartNumberingAfterBreak="0">
    <w:nsid w:val="00000004"/>
    <w:multiLevelType w:val="singleLevel"/>
    <w:tmpl w:val="00000004"/>
    <w:name w:val="WW8Num7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/>
      </w:rPr>
    </w:lvl>
  </w:abstractNum>
  <w:abstractNum w:abstractNumId="4" w15:restartNumberingAfterBreak="0">
    <w:nsid w:val="00000005"/>
    <w:multiLevelType w:val="singleLevel"/>
    <w:tmpl w:val="00000005"/>
    <w:name w:val="WW8Num10"/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/>
      </w:rPr>
    </w:lvl>
  </w:abstractNum>
  <w:abstractNum w:abstractNumId="5" w15:restartNumberingAfterBreak="0">
    <w:nsid w:val="00000006"/>
    <w:multiLevelType w:val="singleLevel"/>
    <w:tmpl w:val="00000006"/>
    <w:name w:val="WW8Num13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embedSystemFont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113"/>
  <w:hyphenationZone w:val="425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22087"/>
    <w:rsid w:val="000452CC"/>
    <w:rsid w:val="00093728"/>
    <w:rsid w:val="000C059A"/>
    <w:rsid w:val="00105064"/>
    <w:rsid w:val="00122087"/>
    <w:rsid w:val="00126913"/>
    <w:rsid w:val="00127928"/>
    <w:rsid w:val="0020519D"/>
    <w:rsid w:val="00223338"/>
    <w:rsid w:val="00241FBA"/>
    <w:rsid w:val="00250687"/>
    <w:rsid w:val="002D19AA"/>
    <w:rsid w:val="00356820"/>
    <w:rsid w:val="003E4345"/>
    <w:rsid w:val="00466131"/>
    <w:rsid w:val="0048303C"/>
    <w:rsid w:val="004D40C5"/>
    <w:rsid w:val="004F0239"/>
    <w:rsid w:val="00512727"/>
    <w:rsid w:val="0059191A"/>
    <w:rsid w:val="005E0E15"/>
    <w:rsid w:val="00603455"/>
    <w:rsid w:val="00616D19"/>
    <w:rsid w:val="00622C2B"/>
    <w:rsid w:val="00626366"/>
    <w:rsid w:val="00686498"/>
    <w:rsid w:val="006C5779"/>
    <w:rsid w:val="00762DDA"/>
    <w:rsid w:val="00763F1D"/>
    <w:rsid w:val="00797D70"/>
    <w:rsid w:val="007A6CE2"/>
    <w:rsid w:val="007A7A03"/>
    <w:rsid w:val="007B299A"/>
    <w:rsid w:val="007D4AF8"/>
    <w:rsid w:val="007F1566"/>
    <w:rsid w:val="00834488"/>
    <w:rsid w:val="00860EE4"/>
    <w:rsid w:val="008C7694"/>
    <w:rsid w:val="00945E58"/>
    <w:rsid w:val="00976547"/>
    <w:rsid w:val="009E22AF"/>
    <w:rsid w:val="00A364AB"/>
    <w:rsid w:val="00AD3F12"/>
    <w:rsid w:val="00AE7E78"/>
    <w:rsid w:val="00B42CFA"/>
    <w:rsid w:val="00B51D0C"/>
    <w:rsid w:val="00B54A18"/>
    <w:rsid w:val="00BD12ED"/>
    <w:rsid w:val="00BD689E"/>
    <w:rsid w:val="00C36ACC"/>
    <w:rsid w:val="00C85252"/>
    <w:rsid w:val="00CA1A0C"/>
    <w:rsid w:val="00D63A46"/>
    <w:rsid w:val="00D71732"/>
    <w:rsid w:val="00D96A4B"/>
    <w:rsid w:val="00DA6444"/>
    <w:rsid w:val="00DC4730"/>
    <w:rsid w:val="00E55C4D"/>
    <w:rsid w:val="00E965C1"/>
    <w:rsid w:val="00F15B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4:docId w14:val="440A5366"/>
  <w15:chartTrackingRefBased/>
  <w15:docId w15:val="{D4012523-6C74-476E-AA3A-264D40885D7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uppressAutoHyphens/>
    </w:pPr>
    <w:rPr>
      <w:sz w:val="24"/>
      <w:szCs w:val="24"/>
      <w:lang w:eastAsia="ar-SA"/>
    </w:rPr>
  </w:style>
  <w:style w:type="paragraph" w:styleId="Nadpis1">
    <w:name w:val="heading 1"/>
    <w:basedOn w:val="Normlny"/>
    <w:next w:val="Nadpis2"/>
    <w:qFormat/>
    <w:pPr>
      <w:keepNext/>
      <w:numPr>
        <w:numId w:val="1"/>
      </w:numPr>
      <w:tabs>
        <w:tab w:val="left" w:pos="5220"/>
      </w:tabs>
      <w:spacing w:before="240" w:after="60"/>
      <w:jc w:val="center"/>
      <w:outlineLvl w:val="0"/>
    </w:pPr>
    <w:rPr>
      <w:b/>
      <w:bCs/>
      <w:kern w:val="1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Pr>
      <w:rFonts w:cs="Times New Roman"/>
    </w:rPr>
  </w:style>
  <w:style w:type="character" w:customStyle="1" w:styleId="WW8Num2z0">
    <w:name w:val="WW8Num2z0"/>
    <w:rPr>
      <w:rFonts w:ascii="Wingdings" w:hAnsi="Wingdings" w:cs="Wingdings"/>
    </w:rPr>
  </w:style>
  <w:style w:type="character" w:customStyle="1" w:styleId="WW8Num2z1">
    <w:name w:val="WW8Num2z1"/>
    <w:rPr>
      <w:rFonts w:ascii="Courier New" w:hAnsi="Courier New" w:cs="Courier New"/>
    </w:rPr>
  </w:style>
  <w:style w:type="character" w:customStyle="1" w:styleId="WW8Num2z3">
    <w:name w:val="WW8Num2z3"/>
    <w:rPr>
      <w:rFonts w:ascii="Symbol" w:hAnsi="Symbol" w:cs="Symbol"/>
    </w:rPr>
  </w:style>
  <w:style w:type="character" w:customStyle="1" w:styleId="WW8Num3z0">
    <w:name w:val="WW8Num3z0"/>
    <w:rPr>
      <w:rFonts w:ascii="Wingdings" w:hAnsi="Wingdings" w:cs="Wingdings"/>
    </w:rPr>
  </w:style>
  <w:style w:type="character" w:customStyle="1" w:styleId="WW8Num3z1">
    <w:name w:val="WW8Num3z1"/>
    <w:rPr>
      <w:rFonts w:ascii="Courier New" w:hAnsi="Courier New" w:cs="Courier New"/>
    </w:rPr>
  </w:style>
  <w:style w:type="character" w:customStyle="1" w:styleId="WW8Num3z3">
    <w:name w:val="WW8Num3z3"/>
    <w:rPr>
      <w:rFonts w:ascii="Symbol" w:hAnsi="Symbol" w:cs="Symbol"/>
    </w:rPr>
  </w:style>
  <w:style w:type="character" w:customStyle="1" w:styleId="WW8Num5z0">
    <w:name w:val="WW8Num5z0"/>
    <w:rPr>
      <w:rFonts w:ascii="Wingdings" w:hAnsi="Wingdings" w:cs="Wingdings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5z3">
    <w:name w:val="WW8Num5z3"/>
    <w:rPr>
      <w:rFonts w:ascii="Symbol" w:hAnsi="Symbol" w:cs="Symbol"/>
    </w:rPr>
  </w:style>
  <w:style w:type="character" w:customStyle="1" w:styleId="WW8Num6z0">
    <w:name w:val="WW8Num6z0"/>
    <w:rPr>
      <w:rFonts w:ascii="Wingdings" w:hAnsi="Wingdings" w:cs="Wingdings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WW8Num6z3">
    <w:name w:val="WW8Num6z3"/>
    <w:rPr>
      <w:rFonts w:ascii="Symbol" w:hAnsi="Symbol" w:cs="Symbol"/>
    </w:rPr>
  </w:style>
  <w:style w:type="character" w:customStyle="1" w:styleId="WW8Num7z0">
    <w:name w:val="WW8Num7z0"/>
    <w:rPr>
      <w:rFonts w:ascii="Wingdings" w:hAnsi="Wingdings" w:cs="Wingdings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8Num7z3">
    <w:name w:val="WW8Num7z3"/>
    <w:rPr>
      <w:rFonts w:ascii="Symbol" w:hAnsi="Symbol" w:cs="Symbol"/>
    </w:rPr>
  </w:style>
  <w:style w:type="character" w:customStyle="1" w:styleId="WW8Num10z0">
    <w:name w:val="WW8Num10z0"/>
    <w:rPr>
      <w:rFonts w:ascii="Arial Narrow" w:eastAsia="Times New Roman" w:hAnsi="Arial Narrow" w:cs="Arial Narrow"/>
    </w:rPr>
  </w:style>
  <w:style w:type="character" w:customStyle="1" w:styleId="WW8Num10z1">
    <w:name w:val="WW8Num10z1"/>
    <w:rPr>
      <w:rFonts w:ascii="Courier New" w:hAnsi="Courier New" w:cs="Courier New"/>
    </w:rPr>
  </w:style>
  <w:style w:type="character" w:customStyle="1" w:styleId="WW8Num10z2">
    <w:name w:val="WW8Num10z2"/>
    <w:rPr>
      <w:rFonts w:ascii="Wingdings" w:hAnsi="Wingdings" w:cs="Wingdings"/>
    </w:rPr>
  </w:style>
  <w:style w:type="character" w:customStyle="1" w:styleId="WW8Num10z3">
    <w:name w:val="WW8Num10z3"/>
    <w:rPr>
      <w:rFonts w:ascii="Symbol" w:hAnsi="Symbol" w:cs="Symbol"/>
    </w:rPr>
  </w:style>
  <w:style w:type="character" w:customStyle="1" w:styleId="WW8Num11z0">
    <w:name w:val="WW8Num11z0"/>
    <w:rPr>
      <w:rFonts w:ascii="Wingdings" w:hAnsi="Wingdings" w:cs="Wingdings"/>
    </w:rPr>
  </w:style>
  <w:style w:type="character" w:customStyle="1" w:styleId="WW8Num11z1">
    <w:name w:val="WW8Num11z1"/>
    <w:rPr>
      <w:rFonts w:ascii="Courier New" w:hAnsi="Courier New" w:cs="Courier New"/>
    </w:rPr>
  </w:style>
  <w:style w:type="character" w:customStyle="1" w:styleId="WW8Num11z3">
    <w:name w:val="WW8Num11z3"/>
    <w:rPr>
      <w:rFonts w:ascii="Symbol" w:hAnsi="Symbol" w:cs="Symbol"/>
    </w:rPr>
  </w:style>
  <w:style w:type="character" w:customStyle="1" w:styleId="WW8Num12z0">
    <w:name w:val="WW8Num12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auto"/>
      <w:spacing w:val="0"/>
      <w:w w:val="100"/>
      <w:kern w:val="1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14z0">
    <w:name w:val="WW8Num14z0"/>
    <w:rPr>
      <w:rFonts w:ascii="Wingdings" w:hAnsi="Wingdings" w:cs="Wingdings"/>
    </w:rPr>
  </w:style>
  <w:style w:type="character" w:customStyle="1" w:styleId="WW8Num14z1">
    <w:name w:val="WW8Num14z1"/>
    <w:rPr>
      <w:rFonts w:ascii="Courier New" w:hAnsi="Courier New" w:cs="Courier New"/>
    </w:rPr>
  </w:style>
  <w:style w:type="character" w:customStyle="1" w:styleId="WW8Num14z3">
    <w:name w:val="WW8Num14z3"/>
    <w:rPr>
      <w:rFonts w:ascii="Symbol" w:hAnsi="Symbol" w:cs="Symbol"/>
    </w:rPr>
  </w:style>
  <w:style w:type="character" w:customStyle="1" w:styleId="WW8Num16z0">
    <w:name w:val="WW8Num16z0"/>
    <w:rPr>
      <w:rFonts w:ascii="Wingdings" w:hAnsi="Wingdings" w:cs="Wingdings"/>
    </w:rPr>
  </w:style>
  <w:style w:type="character" w:customStyle="1" w:styleId="WW8Num16z1">
    <w:name w:val="WW8Num16z1"/>
    <w:rPr>
      <w:rFonts w:ascii="Courier New" w:hAnsi="Courier New" w:cs="Courier New"/>
    </w:rPr>
  </w:style>
  <w:style w:type="character" w:customStyle="1" w:styleId="WW8Num16z3">
    <w:name w:val="WW8Num16z3"/>
    <w:rPr>
      <w:rFonts w:ascii="Symbol" w:hAnsi="Symbol" w:cs="Symbol"/>
    </w:rPr>
  </w:style>
  <w:style w:type="character" w:customStyle="1" w:styleId="Predvolenpsmoodseku1">
    <w:name w:val="Predvolené písmo odseku1"/>
  </w:style>
  <w:style w:type="character" w:customStyle="1" w:styleId="Nadpis1Char">
    <w:name w:val="Nadpis 1 Char"/>
    <w:rPr>
      <w:b/>
      <w:bCs/>
      <w:kern w:val="1"/>
      <w:sz w:val="24"/>
      <w:szCs w:val="24"/>
      <w:lang w:val="sk-SK"/>
    </w:rPr>
  </w:style>
  <w:style w:type="character" w:customStyle="1" w:styleId="Nadpis2Char">
    <w:name w:val="Nadpis 2 Char"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TextpoznmkypodiarouChar">
    <w:name w:val="Text poznámky pod čiarou Char"/>
    <w:rPr>
      <w:sz w:val="20"/>
      <w:szCs w:val="20"/>
    </w:rPr>
  </w:style>
  <w:style w:type="character" w:customStyle="1" w:styleId="Znakypropoznmkupodarou">
    <w:name w:val="Znaky pro poznámku pod čarou"/>
    <w:rPr>
      <w:vertAlign w:val="superscript"/>
    </w:rPr>
  </w:style>
  <w:style w:type="character" w:customStyle="1" w:styleId="PtaChar">
    <w:name w:val="Päta Char"/>
    <w:rPr>
      <w:sz w:val="24"/>
      <w:szCs w:val="24"/>
    </w:rPr>
  </w:style>
  <w:style w:type="character" w:styleId="slostrany">
    <w:name w:val="page number"/>
    <w:basedOn w:val="Predvolenpsmoodseku1"/>
  </w:style>
  <w:style w:type="character" w:customStyle="1" w:styleId="NzovChar">
    <w:name w:val="Názov Char"/>
    <w:rPr>
      <w:rFonts w:ascii="Arial Narrow" w:hAnsi="Arial Narrow" w:cs="Arial Narrow"/>
      <w:b/>
      <w:bCs/>
      <w:kern w:val="1"/>
      <w:sz w:val="32"/>
      <w:szCs w:val="32"/>
      <w:lang w:val="sk-SK"/>
    </w:rPr>
  </w:style>
  <w:style w:type="character" w:customStyle="1" w:styleId="HlavikaChar">
    <w:name w:val="Hlavička Char"/>
    <w:rPr>
      <w:sz w:val="24"/>
      <w:szCs w:val="24"/>
      <w:lang w:val="sk-SK"/>
    </w:rPr>
  </w:style>
  <w:style w:type="character" w:customStyle="1" w:styleId="ZkladntextChar">
    <w:name w:val="Základný text Char"/>
    <w:rPr>
      <w:sz w:val="24"/>
      <w:szCs w:val="24"/>
      <w:lang w:val="en-US"/>
    </w:rPr>
  </w:style>
  <w:style w:type="paragraph" w:customStyle="1" w:styleId="Nadpis">
    <w:name w:val="Nadpis"/>
    <w:basedOn w:val="Normlny"/>
    <w:next w:val="Zkladntext"/>
    <w:pPr>
      <w:keepNext/>
      <w:spacing w:before="240" w:after="120"/>
    </w:pPr>
    <w:rPr>
      <w:rFonts w:ascii="Arial" w:eastAsia="Arial Unicode MS" w:hAnsi="Arial" w:cs="Mangal"/>
      <w:sz w:val="28"/>
      <w:szCs w:val="28"/>
    </w:rPr>
  </w:style>
  <w:style w:type="paragraph" w:styleId="Zkladntext">
    <w:name w:val="Body Text"/>
    <w:basedOn w:val="Normlny"/>
    <w:pPr>
      <w:widowControl w:val="0"/>
      <w:ind w:left="668" w:hanging="567"/>
    </w:pPr>
    <w:rPr>
      <w:lang w:val="en-US"/>
    </w:rPr>
  </w:style>
  <w:style w:type="paragraph" w:styleId="Zoznam">
    <w:name w:val="List"/>
    <w:basedOn w:val="Zkladntext"/>
    <w:rPr>
      <w:rFonts w:cs="Mangal"/>
    </w:rPr>
  </w:style>
  <w:style w:type="paragraph" w:customStyle="1" w:styleId="Popisek">
    <w:name w:val="Popisek"/>
    <w:basedOn w:val="Normlny"/>
    <w:pPr>
      <w:suppressLineNumbers/>
      <w:spacing w:before="120" w:after="120"/>
    </w:pPr>
    <w:rPr>
      <w:rFonts w:cs="Mangal"/>
      <w:i/>
      <w:iCs/>
    </w:rPr>
  </w:style>
  <w:style w:type="paragraph" w:customStyle="1" w:styleId="Rejstk">
    <w:name w:val="Rejstřík"/>
    <w:basedOn w:val="Normlny"/>
    <w:pPr>
      <w:suppressLineNumbers/>
    </w:pPr>
    <w:rPr>
      <w:rFonts w:cs="Mangal"/>
    </w:rPr>
  </w:style>
  <w:style w:type="paragraph" w:customStyle="1" w:styleId="Zkladntext0">
    <w:name w:val="Základní text"/>
    <w:pPr>
      <w:suppressAutoHyphens/>
      <w:spacing w:after="240"/>
      <w:jc w:val="both"/>
    </w:pPr>
    <w:rPr>
      <w:color w:val="000000"/>
      <w:sz w:val="24"/>
      <w:szCs w:val="24"/>
      <w:lang w:eastAsia="ar-SA"/>
    </w:rPr>
  </w:style>
  <w:style w:type="paragraph" w:styleId="Textpoznmkypodiarou">
    <w:name w:val="footnote text"/>
    <w:basedOn w:val="Normlny"/>
    <w:rPr>
      <w:sz w:val="20"/>
      <w:szCs w:val="20"/>
    </w:r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paragraph" w:styleId="Nzov">
    <w:name w:val="Title"/>
    <w:basedOn w:val="Normlny"/>
    <w:next w:val="Normlny"/>
    <w:qFormat/>
    <w:pPr>
      <w:keepNext/>
      <w:spacing w:before="280" w:after="220"/>
      <w:jc w:val="center"/>
    </w:pPr>
    <w:rPr>
      <w:rFonts w:ascii="Arial Narrow" w:hAnsi="Arial Narrow" w:cs="Arial Narrow"/>
      <w:b/>
      <w:bCs/>
      <w:kern w:val="1"/>
      <w:sz w:val="22"/>
      <w:szCs w:val="22"/>
    </w:rPr>
  </w:style>
  <w:style w:type="paragraph" w:styleId="Podtitul">
    <w:name w:val="Subtitle"/>
    <w:basedOn w:val="Nadpis"/>
    <w:next w:val="Zkladntext"/>
    <w:qFormat/>
    <w:pPr>
      <w:jc w:val="center"/>
    </w:pPr>
    <w:rPr>
      <w:i/>
      <w:iCs/>
    </w:rPr>
  </w:style>
  <w:style w:type="paragraph" w:customStyle="1" w:styleId="TopHeader">
    <w:name w:val="Top Header"/>
    <w:basedOn w:val="Normlny"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lavika">
    <w:name w:val="header"/>
    <w:basedOn w:val="Normlny"/>
    <w:pPr>
      <w:tabs>
        <w:tab w:val="center" w:pos="4703"/>
        <w:tab w:val="right" w:pos="9406"/>
      </w:tabs>
    </w:pPr>
  </w:style>
  <w:style w:type="paragraph" w:customStyle="1" w:styleId="Obsahtabulky">
    <w:name w:val="Obsah tabulky"/>
    <w:basedOn w:val="Normlny"/>
    <w:pPr>
      <w:suppressLineNumbers/>
    </w:pPr>
  </w:style>
  <w:style w:type="paragraph" w:customStyle="1" w:styleId="Nadpistabulky">
    <w:name w:val="Nadpis tabulky"/>
    <w:basedOn w:val="Obsahtabulky"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2505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676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83C6BED-3A01-4771-875D-853DB025FF5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7</Pages>
  <Words>2958</Words>
  <Characters>16866</Characters>
  <Application>Microsoft Office Word</Application>
  <DocSecurity>0</DocSecurity>
  <Lines>140</Lines>
  <Paragraphs>39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/>
  <LinksUpToDate>false</LinksUpToDate>
  <CharactersWithSpaces>19785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Windows User</cp:lastModifiedBy>
  <cp:revision>2</cp:revision>
  <cp:lastPrinted>2015-07-22T08:26:00Z</cp:lastPrinted>
  <dcterms:created xsi:type="dcterms:W3CDTF">2022-06-28T14:07:00Z</dcterms:created>
  <dcterms:modified xsi:type="dcterms:W3CDTF">2022-06-28T14:07:00Z</dcterms:modified>
</cp:coreProperties>
</file>