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781" w:rsidRDefault="004C7781" w:rsidP="007F3DF2">
      <w:pPr>
        <w:pBdr>
          <w:top w:val="single" w:sz="4" w:space="0" w:color="auto"/>
          <w:left w:val="single" w:sz="4" w:space="4" w:color="auto"/>
          <w:bottom w:val="single" w:sz="4" w:space="1" w:color="auto"/>
          <w:right w:val="single" w:sz="4" w:space="6" w:color="auto"/>
        </w:pBdr>
        <w:spacing w:after="120"/>
        <w:jc w:val="center"/>
        <w:rPr>
          <w:b/>
          <w:sz w:val="22"/>
          <w:szCs w:val="22"/>
        </w:rPr>
      </w:pPr>
    </w:p>
    <w:p w:rsidR="007F3DF2" w:rsidRPr="000918A0" w:rsidRDefault="006F6027" w:rsidP="007F3DF2">
      <w:pPr>
        <w:pBdr>
          <w:top w:val="single" w:sz="4" w:space="0" w:color="auto"/>
          <w:left w:val="single" w:sz="4" w:space="4" w:color="auto"/>
          <w:bottom w:val="single" w:sz="4" w:space="1" w:color="auto"/>
          <w:right w:val="single" w:sz="4" w:space="6" w:color="auto"/>
        </w:pBdr>
        <w:spacing w:after="120"/>
        <w:jc w:val="center"/>
        <w:rPr>
          <w:b/>
          <w:sz w:val="22"/>
          <w:szCs w:val="22"/>
        </w:rPr>
      </w:pPr>
      <w:r w:rsidRPr="000918A0">
        <w:rPr>
          <w:b/>
          <w:sz w:val="22"/>
          <w:szCs w:val="22"/>
        </w:rPr>
        <w:t>POZNÁMKY K ÚČTOVNEJ ZÁVIERKE 20</w:t>
      </w:r>
      <w:r w:rsidR="00DA2927">
        <w:rPr>
          <w:b/>
          <w:sz w:val="22"/>
          <w:szCs w:val="22"/>
        </w:rPr>
        <w:t>21</w:t>
      </w:r>
    </w:p>
    <w:p w:rsidR="007F3DF2" w:rsidRPr="000918A0" w:rsidRDefault="006F6027" w:rsidP="007F3DF2">
      <w:pPr>
        <w:pBdr>
          <w:top w:val="single" w:sz="4" w:space="0" w:color="auto"/>
          <w:left w:val="single" w:sz="4" w:space="4" w:color="auto"/>
          <w:bottom w:val="single" w:sz="4" w:space="1" w:color="auto"/>
          <w:right w:val="single" w:sz="4" w:space="6" w:color="auto"/>
        </w:pBdr>
        <w:jc w:val="center"/>
        <w:rPr>
          <w:sz w:val="22"/>
          <w:szCs w:val="22"/>
        </w:rPr>
      </w:pPr>
      <w:r w:rsidRPr="000918A0">
        <w:rPr>
          <w:sz w:val="22"/>
          <w:szCs w:val="22"/>
        </w:rPr>
        <w:t xml:space="preserve">zostavené podľa Opatrenia č.MF/23378/2014-74 (FS č.12/2014), ktorým sa ustanovujú podrobnosti o individuálnej účtovnej závierke a rozsahu údajov určených z individuálnej účtovnej závierky na zverejnenie </w:t>
      </w:r>
    </w:p>
    <w:p w:rsidR="007F3DF2" w:rsidRPr="000918A0" w:rsidRDefault="006F6027" w:rsidP="007F3DF2">
      <w:pPr>
        <w:pBdr>
          <w:top w:val="single" w:sz="4" w:space="0" w:color="auto"/>
          <w:left w:val="single" w:sz="4" w:space="4" w:color="auto"/>
          <w:bottom w:val="single" w:sz="4" w:space="1" w:color="auto"/>
          <w:right w:val="single" w:sz="4" w:space="6" w:color="auto"/>
        </w:pBdr>
        <w:jc w:val="center"/>
        <w:rPr>
          <w:sz w:val="22"/>
          <w:szCs w:val="22"/>
        </w:rPr>
      </w:pPr>
      <w:r w:rsidRPr="000918A0">
        <w:rPr>
          <w:b/>
          <w:sz w:val="22"/>
          <w:szCs w:val="22"/>
        </w:rPr>
        <w:t>pre malé účtovné jednotky</w:t>
      </w:r>
      <w:r w:rsidRPr="000918A0">
        <w:rPr>
          <w:sz w:val="22"/>
          <w:szCs w:val="22"/>
        </w:rPr>
        <w:t xml:space="preserve"> </w:t>
      </w:r>
    </w:p>
    <w:p w:rsidR="009069F7" w:rsidRDefault="009069F7" w:rsidP="00451724">
      <w:pPr>
        <w:ind w:right="71"/>
        <w:jc w:val="both"/>
        <w:rPr>
          <w:b/>
          <w:bCs/>
          <w:sz w:val="22"/>
          <w:szCs w:val="22"/>
          <w:lang w:eastAsia="en-US"/>
        </w:rPr>
      </w:pPr>
    </w:p>
    <w:p w:rsidR="008F0710" w:rsidRDefault="008F0710" w:rsidP="00451724">
      <w:pPr>
        <w:ind w:right="71"/>
        <w:jc w:val="both"/>
        <w:rPr>
          <w:b/>
          <w:bCs/>
          <w:sz w:val="22"/>
          <w:szCs w:val="22"/>
          <w:lang w:eastAsia="en-US"/>
        </w:rPr>
      </w:pPr>
    </w:p>
    <w:p w:rsidR="009346B9" w:rsidRDefault="00A02A84" w:rsidP="000918A0">
      <w:pPr>
        <w:ind w:right="71"/>
        <w:jc w:val="center"/>
        <w:rPr>
          <w:b/>
          <w:bCs/>
          <w:sz w:val="22"/>
          <w:szCs w:val="22"/>
          <w:lang w:eastAsia="en-US"/>
        </w:rPr>
      </w:pPr>
      <w:r>
        <w:rPr>
          <w:b/>
          <w:bCs/>
          <w:sz w:val="22"/>
          <w:szCs w:val="22"/>
          <w:lang w:eastAsia="en-US"/>
        </w:rPr>
        <w:t>Článok I</w:t>
      </w:r>
    </w:p>
    <w:p w:rsidR="009346B9" w:rsidRDefault="00B67317" w:rsidP="000918A0">
      <w:pPr>
        <w:ind w:right="71"/>
        <w:jc w:val="center"/>
        <w:rPr>
          <w:bCs/>
          <w:sz w:val="22"/>
          <w:szCs w:val="22"/>
          <w:lang w:eastAsia="en-US"/>
        </w:rPr>
      </w:pPr>
      <w:r w:rsidRPr="00A02A84">
        <w:rPr>
          <w:b/>
          <w:bCs/>
          <w:sz w:val="22"/>
          <w:szCs w:val="22"/>
          <w:lang w:eastAsia="en-US"/>
        </w:rPr>
        <w:t>Všeobecné informácie o účtovnej jednotke</w:t>
      </w:r>
    </w:p>
    <w:p w:rsidR="00451724" w:rsidRDefault="00451724" w:rsidP="00451724">
      <w:pPr>
        <w:ind w:left="360" w:right="71"/>
        <w:rPr>
          <w:b/>
          <w:bCs/>
          <w:sz w:val="22"/>
          <w:szCs w:val="22"/>
          <w:lang w:eastAsia="en-US"/>
        </w:rPr>
      </w:pPr>
    </w:p>
    <w:p w:rsidR="008F0710" w:rsidRPr="00A02A84" w:rsidRDefault="008F0710" w:rsidP="00451724">
      <w:pPr>
        <w:ind w:left="360" w:right="71"/>
        <w:rPr>
          <w:b/>
          <w:bCs/>
          <w:sz w:val="22"/>
          <w:szCs w:val="22"/>
          <w:lang w:eastAsia="en-US"/>
        </w:rPr>
      </w:pPr>
    </w:p>
    <w:tbl>
      <w:tblPr>
        <w:tblW w:w="4944" w:type="pct"/>
        <w:tblLayout w:type="fixed"/>
        <w:tblLook w:val="00A0" w:firstRow="1" w:lastRow="0" w:firstColumn="1" w:lastColumn="0" w:noHBand="0" w:noVBand="0"/>
      </w:tblPr>
      <w:tblGrid>
        <w:gridCol w:w="2520"/>
        <w:gridCol w:w="6664"/>
      </w:tblGrid>
      <w:tr w:rsidR="007F3DF2" w:rsidRPr="00A02A84" w:rsidTr="00625393">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7F3DF2" w:rsidRPr="000918A0" w:rsidRDefault="006F6027" w:rsidP="00625393">
            <w:pPr>
              <w:jc w:val="both"/>
              <w:rPr>
                <w:sz w:val="22"/>
                <w:szCs w:val="22"/>
              </w:rPr>
            </w:pPr>
            <w:r w:rsidRPr="000918A0">
              <w:rPr>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7F3DF2" w:rsidRPr="000918A0" w:rsidRDefault="00E71B44" w:rsidP="00625393">
            <w:pPr>
              <w:jc w:val="both"/>
              <w:rPr>
                <w:b/>
                <w:sz w:val="22"/>
                <w:szCs w:val="22"/>
              </w:rPr>
            </w:pPr>
            <w:r w:rsidRPr="00A02A84">
              <w:rPr>
                <w:sz w:val="22"/>
                <w:szCs w:val="22"/>
                <w:lang w:eastAsia="en-US"/>
              </w:rPr>
              <w:t>MBB a.s.</w:t>
            </w:r>
          </w:p>
        </w:tc>
      </w:tr>
      <w:tr w:rsidR="007F3DF2" w:rsidRPr="00A02A84" w:rsidTr="00625393">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7F3DF2" w:rsidRPr="000918A0" w:rsidRDefault="006F6027" w:rsidP="00625393">
            <w:pPr>
              <w:jc w:val="both"/>
              <w:rPr>
                <w:sz w:val="22"/>
                <w:szCs w:val="22"/>
              </w:rPr>
            </w:pPr>
            <w:r w:rsidRPr="000918A0">
              <w:rPr>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7F3DF2" w:rsidRPr="000918A0" w:rsidRDefault="00E71B44" w:rsidP="00625393">
            <w:pPr>
              <w:jc w:val="both"/>
              <w:rPr>
                <w:sz w:val="22"/>
                <w:szCs w:val="22"/>
              </w:rPr>
            </w:pPr>
            <w:r w:rsidRPr="00A02A84">
              <w:rPr>
                <w:sz w:val="22"/>
                <w:szCs w:val="22"/>
                <w:lang w:eastAsia="en-US"/>
              </w:rPr>
              <w:t>ČSA 26,  974 01 Banská Bystrica</w:t>
            </w:r>
          </w:p>
        </w:tc>
      </w:tr>
      <w:tr w:rsidR="007F3DF2" w:rsidRPr="00A02A84" w:rsidTr="00625393">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7F3DF2" w:rsidRPr="000918A0" w:rsidRDefault="006F6027" w:rsidP="00625393">
            <w:pPr>
              <w:jc w:val="both"/>
              <w:rPr>
                <w:sz w:val="22"/>
                <w:szCs w:val="22"/>
              </w:rPr>
            </w:pPr>
            <w:r w:rsidRPr="000918A0">
              <w:rPr>
                <w:sz w:val="22"/>
                <w:szCs w:val="22"/>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7F3DF2" w:rsidRPr="000918A0" w:rsidRDefault="003E3C37" w:rsidP="00625393">
            <w:pPr>
              <w:jc w:val="both"/>
              <w:rPr>
                <w:sz w:val="22"/>
                <w:szCs w:val="22"/>
              </w:rPr>
            </w:pPr>
            <w:r>
              <w:rPr>
                <w:sz w:val="22"/>
                <w:szCs w:val="22"/>
              </w:rPr>
              <w:t>Akciová spoločnosť</w:t>
            </w:r>
          </w:p>
        </w:tc>
      </w:tr>
      <w:tr w:rsidR="007F3DF2" w:rsidRPr="00A02A84" w:rsidTr="00625393">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7F3DF2" w:rsidRPr="000918A0" w:rsidRDefault="006F6027" w:rsidP="00625393">
            <w:pPr>
              <w:jc w:val="both"/>
              <w:rPr>
                <w:sz w:val="22"/>
                <w:szCs w:val="22"/>
              </w:rPr>
            </w:pPr>
            <w:r w:rsidRPr="000918A0">
              <w:rPr>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7F3DF2" w:rsidRPr="000918A0" w:rsidRDefault="006F6027" w:rsidP="00E71B44">
            <w:pPr>
              <w:jc w:val="both"/>
              <w:rPr>
                <w:sz w:val="22"/>
                <w:szCs w:val="22"/>
              </w:rPr>
            </w:pPr>
            <w:r w:rsidRPr="000918A0">
              <w:rPr>
                <w:sz w:val="22"/>
                <w:szCs w:val="22"/>
              </w:rPr>
              <w:t xml:space="preserve">Zápis do obchodného registra: 11.1.2000 </w:t>
            </w:r>
          </w:p>
        </w:tc>
      </w:tr>
      <w:tr w:rsidR="007F3DF2" w:rsidRPr="00A02A84" w:rsidTr="00625393">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9346B9" w:rsidRDefault="006F6027" w:rsidP="000918A0">
            <w:pPr>
              <w:rPr>
                <w:sz w:val="22"/>
                <w:szCs w:val="22"/>
              </w:rPr>
            </w:pPr>
            <w:r w:rsidRPr="000918A0">
              <w:rPr>
                <w:sz w:val="22"/>
                <w:szCs w:val="22"/>
              </w:rPr>
              <w:t>Hlavný predmet podnikania:</w:t>
            </w: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Default="009346B9" w:rsidP="000918A0">
            <w:pPr>
              <w:rPr>
                <w:sz w:val="22"/>
                <w:szCs w:val="22"/>
              </w:rPr>
            </w:pPr>
          </w:p>
          <w:p w:rsidR="009346B9" w:rsidRPr="000918A0" w:rsidRDefault="009346B9" w:rsidP="000918A0">
            <w:pPr>
              <w:rPr>
                <w:sz w:val="22"/>
                <w:szCs w:val="22"/>
              </w:rPr>
            </w:pPr>
          </w:p>
        </w:tc>
        <w:tc>
          <w:tcPr>
            <w:tcW w:w="3628" w:type="pct"/>
            <w:tcBorders>
              <w:top w:val="single" w:sz="4" w:space="0" w:color="auto"/>
              <w:left w:val="nil"/>
              <w:bottom w:val="single" w:sz="4" w:space="0" w:color="auto"/>
              <w:right w:val="single" w:sz="8" w:space="0" w:color="auto"/>
            </w:tcBorders>
            <w:vAlign w:val="bottom"/>
          </w:tcPr>
          <w:p w:rsidR="007F3DF2" w:rsidRPr="000918A0" w:rsidRDefault="006F6027" w:rsidP="00625393">
            <w:pPr>
              <w:jc w:val="both"/>
              <w:rPr>
                <w:sz w:val="22"/>
                <w:szCs w:val="22"/>
              </w:rPr>
            </w:pPr>
            <w:r w:rsidRPr="000918A0">
              <w:rPr>
                <w:sz w:val="22"/>
                <w:szCs w:val="22"/>
              </w:rPr>
              <w:t>Staviteľské vykonávanie jednoduchých stavieb a poddodávok, vykonávanie bytových a občianskych stavieb, prenájom a správa bytových a občianskych stavieb, vykonávanie inžinierskych a priemyselných stavieb, činnosť stavebného dozoru: pozemné stavby, inžinierska činnosť v stavebníctve, obstarávanie prác a dodávok v stavebníctve, vykonávanie prác a výkonov pre investorov charakteru: vypracovanie koncepcií a štúdií, rozpočtovanie, fakturácia a kalkulácia stavieb, kúpa tovaru za účelom jeho predaja konečnému spotrebiteľovi v rozsahu voľnej živnosti, kúpa tovaru  za účelom jeho predaja iným prevádzkovateľom živnosti v rozsahu voľnej živnosti, sprostredkovanie obchodu, služieb a výroby, prenájom bytov a nebytových priestorov, správa bytového a nebytového fondu, vedenie účtovníctva, prevádzkovanie športových zariadení, poskytovanie leasingových služieb, faktoring, forfaiting</w:t>
            </w:r>
          </w:p>
        </w:tc>
      </w:tr>
      <w:tr w:rsidR="007F3DF2" w:rsidRPr="00A02A84" w:rsidTr="00625393">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9346B9" w:rsidRPr="000918A0" w:rsidRDefault="006F6027" w:rsidP="000918A0">
            <w:pPr>
              <w:rPr>
                <w:sz w:val="22"/>
                <w:szCs w:val="22"/>
              </w:rPr>
            </w:pPr>
            <w:r w:rsidRPr="000918A0">
              <w:rPr>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rsidR="007F3DF2" w:rsidRPr="000918A0" w:rsidRDefault="006F6027" w:rsidP="00625393">
            <w:pPr>
              <w:tabs>
                <w:tab w:val="left" w:pos="1560"/>
                <w:tab w:val="center" w:pos="4536"/>
              </w:tabs>
              <w:jc w:val="both"/>
              <w:rPr>
                <w:sz w:val="22"/>
                <w:szCs w:val="22"/>
              </w:rPr>
            </w:pPr>
            <w:r w:rsidRPr="000918A0">
              <w:rPr>
                <w:sz w:val="22"/>
                <w:szCs w:val="22"/>
              </w:rPr>
              <w:t xml:space="preserve">Spoločnosť </w:t>
            </w:r>
            <w:r w:rsidR="00E71B44" w:rsidRPr="00A02A84">
              <w:rPr>
                <w:sz w:val="22"/>
                <w:szCs w:val="22"/>
                <w:lang w:eastAsia="en-US"/>
              </w:rPr>
              <w:t xml:space="preserve">MBB a.s. </w:t>
            </w:r>
            <w:r w:rsidRPr="000918A0">
              <w:rPr>
                <w:sz w:val="22"/>
                <w:szCs w:val="22"/>
              </w:rPr>
              <w:t>nie je subjektom verejného záujmu (§ 2/14 ZoU).</w:t>
            </w:r>
          </w:p>
        </w:tc>
      </w:tr>
      <w:tr w:rsidR="007F3DF2" w:rsidRPr="00A02A84" w:rsidTr="00625393">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7F3DF2" w:rsidRPr="000918A0" w:rsidRDefault="006F6027" w:rsidP="00625393">
            <w:pPr>
              <w:tabs>
                <w:tab w:val="left" w:pos="1560"/>
                <w:tab w:val="center" w:pos="4536"/>
              </w:tabs>
              <w:jc w:val="both"/>
              <w:rPr>
                <w:sz w:val="22"/>
                <w:szCs w:val="22"/>
              </w:rPr>
            </w:pPr>
            <w:r w:rsidRPr="000918A0">
              <w:rPr>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7F3DF2" w:rsidRPr="000918A0" w:rsidRDefault="006F6027" w:rsidP="00EB71F0">
            <w:pPr>
              <w:tabs>
                <w:tab w:val="left" w:pos="1560"/>
                <w:tab w:val="center" w:pos="4536"/>
              </w:tabs>
              <w:jc w:val="both"/>
              <w:rPr>
                <w:sz w:val="22"/>
                <w:szCs w:val="22"/>
              </w:rPr>
            </w:pPr>
            <w:r w:rsidRPr="000918A0">
              <w:rPr>
                <w:sz w:val="22"/>
                <w:szCs w:val="22"/>
              </w:rPr>
              <w:t>Kalendárny rok 20</w:t>
            </w:r>
            <w:r w:rsidR="00DA2927">
              <w:rPr>
                <w:sz w:val="22"/>
                <w:szCs w:val="22"/>
              </w:rPr>
              <w:t>21</w:t>
            </w:r>
          </w:p>
        </w:tc>
      </w:tr>
    </w:tbl>
    <w:p w:rsidR="007F3DF2" w:rsidRPr="00A02A84" w:rsidRDefault="007F3DF2" w:rsidP="00451724">
      <w:pPr>
        <w:ind w:left="360" w:right="71"/>
        <w:rPr>
          <w:b/>
          <w:bCs/>
          <w:sz w:val="22"/>
          <w:szCs w:val="22"/>
          <w:lang w:eastAsia="en-US"/>
        </w:rPr>
      </w:pPr>
    </w:p>
    <w:p w:rsidR="009346B9" w:rsidRPr="000918A0" w:rsidRDefault="006F6027" w:rsidP="000918A0">
      <w:pPr>
        <w:widowControl w:val="0"/>
        <w:spacing w:after="60"/>
        <w:jc w:val="both"/>
        <w:outlineLvl w:val="0"/>
        <w:rPr>
          <w:b/>
          <w:bCs/>
          <w:kern w:val="28"/>
          <w:sz w:val="22"/>
          <w:szCs w:val="22"/>
          <w:lang w:eastAsia="en-US"/>
        </w:rPr>
      </w:pPr>
      <w:r w:rsidRPr="000918A0">
        <w:rPr>
          <w:b/>
          <w:bCs/>
          <w:kern w:val="28"/>
          <w:sz w:val="22"/>
          <w:szCs w:val="22"/>
          <w:lang w:eastAsia="en-US"/>
        </w:rPr>
        <w:t>Právny dôvod na zostavenie účtovnej závierky</w:t>
      </w:r>
    </w:p>
    <w:p w:rsidR="008C04FA" w:rsidRPr="00A02A84" w:rsidRDefault="008C04FA" w:rsidP="00B67317">
      <w:pPr>
        <w:ind w:left="426"/>
        <w:rPr>
          <w:sz w:val="22"/>
          <w:szCs w:val="22"/>
          <w:lang w:eastAsia="en-US"/>
        </w:rPr>
      </w:pPr>
    </w:p>
    <w:p w:rsidR="00451724" w:rsidRPr="00A02A84" w:rsidRDefault="00451724" w:rsidP="00112BE4">
      <w:pPr>
        <w:jc w:val="both"/>
        <w:rPr>
          <w:sz w:val="22"/>
          <w:szCs w:val="22"/>
          <w:lang w:eastAsia="en-US"/>
        </w:rPr>
      </w:pPr>
      <w:r w:rsidRPr="00A02A84">
        <w:rPr>
          <w:sz w:val="22"/>
          <w:szCs w:val="22"/>
          <w:lang w:eastAsia="en-US"/>
        </w:rPr>
        <w:t xml:space="preserve">Účtovná závierka </w:t>
      </w:r>
      <w:r w:rsidR="00961F5F" w:rsidRPr="00A02A84">
        <w:rPr>
          <w:sz w:val="22"/>
          <w:szCs w:val="22"/>
          <w:lang w:eastAsia="en-US"/>
        </w:rPr>
        <w:t>obchodnej</w:t>
      </w:r>
      <w:r w:rsidRPr="00A02A84">
        <w:rPr>
          <w:sz w:val="22"/>
          <w:szCs w:val="22"/>
          <w:lang w:eastAsia="en-US"/>
        </w:rPr>
        <w:t xml:space="preserve"> spoločnosti zostavená k 31. decembru 20</w:t>
      </w:r>
      <w:r w:rsidR="00DA2927">
        <w:rPr>
          <w:sz w:val="22"/>
          <w:szCs w:val="22"/>
          <w:lang w:eastAsia="en-US"/>
        </w:rPr>
        <w:t>21</w:t>
      </w:r>
      <w:r w:rsidRPr="00A02A84">
        <w:rPr>
          <w:sz w:val="22"/>
          <w:szCs w:val="22"/>
          <w:lang w:eastAsia="en-US"/>
        </w:rPr>
        <w:t xml:space="preserve"> je zostavená ako riadna účtovná závierka podľa § 17 ods. 6 zákona č. 431/2002 Z. z. o účtovníctve v znení neskorších predpisov.</w:t>
      </w:r>
    </w:p>
    <w:p w:rsidR="009346B9" w:rsidRDefault="009346B9" w:rsidP="000918A0">
      <w:pPr>
        <w:ind w:left="426"/>
        <w:jc w:val="both"/>
        <w:rPr>
          <w:sz w:val="22"/>
          <w:szCs w:val="22"/>
          <w:lang w:eastAsia="en-US"/>
        </w:rPr>
      </w:pPr>
    </w:p>
    <w:p w:rsidR="009346B9" w:rsidRPr="000918A0" w:rsidRDefault="006F6027" w:rsidP="000918A0">
      <w:pPr>
        <w:jc w:val="both"/>
        <w:rPr>
          <w:b/>
          <w:sz w:val="22"/>
          <w:szCs w:val="22"/>
        </w:rPr>
      </w:pPr>
      <w:r w:rsidRPr="000918A0">
        <w:rPr>
          <w:b/>
          <w:sz w:val="22"/>
          <w:szCs w:val="22"/>
        </w:rPr>
        <w:t>Dátum schválenia účtovnej závierky za rok 20</w:t>
      </w:r>
      <w:r w:rsidR="00DA2927">
        <w:rPr>
          <w:b/>
          <w:sz w:val="22"/>
          <w:szCs w:val="22"/>
        </w:rPr>
        <w:t>20</w:t>
      </w:r>
    </w:p>
    <w:p w:rsidR="009346B9" w:rsidRPr="000918A0" w:rsidRDefault="009346B9" w:rsidP="000918A0">
      <w:pPr>
        <w:jc w:val="both"/>
        <w:rPr>
          <w:b/>
          <w:sz w:val="22"/>
          <w:szCs w:val="22"/>
        </w:rPr>
      </w:pPr>
    </w:p>
    <w:p w:rsidR="009346B9" w:rsidRDefault="00451724" w:rsidP="000918A0">
      <w:pPr>
        <w:jc w:val="both"/>
        <w:rPr>
          <w:sz w:val="22"/>
          <w:szCs w:val="22"/>
          <w:lang w:eastAsia="en-US"/>
        </w:rPr>
      </w:pPr>
      <w:r w:rsidRPr="00A02A84">
        <w:rPr>
          <w:sz w:val="22"/>
          <w:szCs w:val="22"/>
          <w:lang w:eastAsia="en-US"/>
        </w:rPr>
        <w:t xml:space="preserve">Účtovná závierka </w:t>
      </w:r>
      <w:r w:rsidR="00E7615C" w:rsidRPr="00A02A84">
        <w:rPr>
          <w:sz w:val="22"/>
          <w:szCs w:val="22"/>
          <w:lang w:eastAsia="en-US"/>
        </w:rPr>
        <w:t xml:space="preserve">akciovej </w:t>
      </w:r>
      <w:r w:rsidRPr="00A02A84">
        <w:rPr>
          <w:sz w:val="22"/>
          <w:szCs w:val="22"/>
          <w:lang w:eastAsia="en-US"/>
        </w:rPr>
        <w:t xml:space="preserve"> spoločnosti </w:t>
      </w:r>
      <w:r w:rsidR="00272458" w:rsidRPr="00A02A84">
        <w:rPr>
          <w:sz w:val="22"/>
          <w:szCs w:val="22"/>
          <w:lang w:eastAsia="en-US"/>
        </w:rPr>
        <w:t>za predchádzajúce účtovné obdobie</w:t>
      </w:r>
      <w:r w:rsidR="00B96D5D" w:rsidRPr="00A02A84">
        <w:rPr>
          <w:sz w:val="22"/>
          <w:szCs w:val="22"/>
          <w:lang w:eastAsia="en-US"/>
        </w:rPr>
        <w:t xml:space="preserve"> rok </w:t>
      </w:r>
      <w:r w:rsidR="00E7615C" w:rsidRPr="00A02A84">
        <w:rPr>
          <w:sz w:val="22"/>
          <w:szCs w:val="22"/>
          <w:lang w:eastAsia="en-US"/>
        </w:rPr>
        <w:t xml:space="preserve"> </w:t>
      </w:r>
      <w:r w:rsidR="00DA2927">
        <w:rPr>
          <w:sz w:val="22"/>
          <w:szCs w:val="22"/>
          <w:lang w:eastAsia="en-US"/>
        </w:rPr>
        <w:t>2020</w:t>
      </w:r>
      <w:r w:rsidR="00E8000B" w:rsidRPr="00A02A84">
        <w:rPr>
          <w:sz w:val="22"/>
          <w:szCs w:val="22"/>
          <w:lang w:eastAsia="en-US"/>
        </w:rPr>
        <w:t xml:space="preserve"> </w:t>
      </w:r>
      <w:r w:rsidR="00B96D5D" w:rsidRPr="00A02A84">
        <w:rPr>
          <w:sz w:val="22"/>
          <w:szCs w:val="22"/>
          <w:lang w:eastAsia="en-US"/>
        </w:rPr>
        <w:t xml:space="preserve"> </w:t>
      </w:r>
      <w:r w:rsidRPr="00A02A84">
        <w:rPr>
          <w:sz w:val="22"/>
          <w:szCs w:val="22"/>
          <w:lang w:eastAsia="en-US"/>
        </w:rPr>
        <w:t xml:space="preserve">bola  schválená valným zhromaždením </w:t>
      </w:r>
      <w:r w:rsidR="00E7615C" w:rsidRPr="00A02A84">
        <w:rPr>
          <w:sz w:val="22"/>
          <w:szCs w:val="22"/>
          <w:lang w:eastAsia="en-US"/>
        </w:rPr>
        <w:t xml:space="preserve">akciovej </w:t>
      </w:r>
      <w:r w:rsidRPr="00A02A84">
        <w:rPr>
          <w:sz w:val="22"/>
          <w:szCs w:val="22"/>
          <w:lang w:eastAsia="en-US"/>
        </w:rPr>
        <w:t xml:space="preserve"> spoločnosti dňa </w:t>
      </w:r>
      <w:r w:rsidR="00271E3A" w:rsidRPr="00A02A84">
        <w:rPr>
          <w:sz w:val="22"/>
          <w:szCs w:val="22"/>
          <w:lang w:eastAsia="en-US"/>
        </w:rPr>
        <w:t xml:space="preserve"> </w:t>
      </w:r>
      <w:r w:rsidR="00DA2927">
        <w:rPr>
          <w:sz w:val="22"/>
          <w:szCs w:val="22"/>
          <w:lang w:eastAsia="en-US"/>
        </w:rPr>
        <w:t>15.07.2021</w:t>
      </w:r>
      <w:r w:rsidR="00E8000B" w:rsidRPr="00A02A84">
        <w:rPr>
          <w:sz w:val="22"/>
          <w:szCs w:val="22"/>
          <w:lang w:eastAsia="en-US"/>
        </w:rPr>
        <w:t>.</w:t>
      </w:r>
      <w:r w:rsidRPr="00A02A84">
        <w:rPr>
          <w:sz w:val="22"/>
          <w:szCs w:val="22"/>
          <w:lang w:eastAsia="en-US"/>
        </w:rPr>
        <w:t xml:space="preserve"> </w:t>
      </w:r>
    </w:p>
    <w:p w:rsidR="009346B9" w:rsidRDefault="009346B9" w:rsidP="000918A0">
      <w:pPr>
        <w:ind w:left="360" w:hanging="360"/>
        <w:jc w:val="both"/>
        <w:rPr>
          <w:sz w:val="22"/>
          <w:szCs w:val="22"/>
        </w:rPr>
      </w:pPr>
    </w:p>
    <w:p w:rsidR="009346B9" w:rsidRDefault="006F6027" w:rsidP="000918A0">
      <w:pPr>
        <w:ind w:left="360" w:hanging="360"/>
        <w:jc w:val="both"/>
        <w:rPr>
          <w:sz w:val="22"/>
          <w:szCs w:val="22"/>
        </w:rPr>
      </w:pPr>
      <w:r w:rsidRPr="000918A0">
        <w:rPr>
          <w:b/>
          <w:bCs/>
          <w:sz w:val="22"/>
          <w:szCs w:val="22"/>
        </w:rPr>
        <w:t>Údaje o skupine účtovných jednotiek v súvislosti s konsolidáciou</w:t>
      </w:r>
    </w:p>
    <w:p w:rsidR="009346B9" w:rsidRDefault="009346B9" w:rsidP="000918A0">
      <w:pPr>
        <w:ind w:left="360" w:right="71" w:hanging="360"/>
        <w:jc w:val="both"/>
        <w:rPr>
          <w:b/>
          <w:bCs/>
          <w:sz w:val="22"/>
          <w:szCs w:val="22"/>
          <w:lang w:eastAsia="en-US"/>
        </w:rPr>
      </w:pPr>
    </w:p>
    <w:p w:rsidR="00CF4F1F" w:rsidRPr="00A02A84" w:rsidRDefault="00AF0D4E" w:rsidP="00474DD3">
      <w:pPr>
        <w:ind w:right="71"/>
        <w:jc w:val="both"/>
        <w:rPr>
          <w:bCs/>
          <w:sz w:val="22"/>
          <w:szCs w:val="22"/>
          <w:lang w:eastAsia="en-US"/>
        </w:rPr>
      </w:pPr>
      <w:r w:rsidRPr="00A02A84">
        <w:rPr>
          <w:bCs/>
          <w:sz w:val="22"/>
          <w:szCs w:val="22"/>
          <w:lang w:eastAsia="en-US"/>
        </w:rPr>
        <w:t xml:space="preserve">Účtovná závierka </w:t>
      </w:r>
      <w:r w:rsidR="00271E3A" w:rsidRPr="00A02A84">
        <w:rPr>
          <w:bCs/>
          <w:sz w:val="22"/>
          <w:szCs w:val="22"/>
          <w:lang w:eastAsia="en-US"/>
        </w:rPr>
        <w:t>akciovej</w:t>
      </w:r>
      <w:r w:rsidRPr="00A02A84">
        <w:rPr>
          <w:bCs/>
          <w:sz w:val="22"/>
          <w:szCs w:val="22"/>
          <w:lang w:eastAsia="en-US"/>
        </w:rPr>
        <w:t xml:space="preserve"> spoločnosti je zahrňovaná do konsolidovanej</w:t>
      </w:r>
      <w:r w:rsidR="00CF4F1F" w:rsidRPr="00A02A84">
        <w:rPr>
          <w:bCs/>
          <w:sz w:val="22"/>
          <w:szCs w:val="22"/>
          <w:lang w:eastAsia="en-US"/>
        </w:rPr>
        <w:t xml:space="preserve"> účtovnej závierky mesta </w:t>
      </w:r>
      <w:r w:rsidR="00253E07" w:rsidRPr="00A02A84">
        <w:rPr>
          <w:bCs/>
          <w:sz w:val="22"/>
          <w:szCs w:val="22"/>
          <w:lang w:eastAsia="en-US"/>
        </w:rPr>
        <w:t>Banská</w:t>
      </w:r>
      <w:r w:rsidR="00CF4F1F" w:rsidRPr="00A02A84">
        <w:rPr>
          <w:bCs/>
          <w:sz w:val="22"/>
          <w:szCs w:val="22"/>
          <w:lang w:eastAsia="en-US"/>
        </w:rPr>
        <w:t xml:space="preserve"> </w:t>
      </w:r>
      <w:r w:rsidRPr="00A02A84">
        <w:rPr>
          <w:bCs/>
          <w:sz w:val="22"/>
          <w:szCs w:val="22"/>
          <w:lang w:eastAsia="en-US"/>
        </w:rPr>
        <w:t xml:space="preserve">Bystrica – </w:t>
      </w:r>
      <w:r w:rsidR="00271E3A" w:rsidRPr="00A02A84">
        <w:rPr>
          <w:bCs/>
          <w:sz w:val="22"/>
          <w:szCs w:val="22"/>
          <w:lang w:eastAsia="en-US"/>
        </w:rPr>
        <w:t>majoritný akcionár</w:t>
      </w:r>
      <w:r w:rsidRPr="00A02A84">
        <w:rPr>
          <w:bCs/>
          <w:sz w:val="22"/>
          <w:szCs w:val="22"/>
          <w:lang w:eastAsia="en-US"/>
        </w:rPr>
        <w:t xml:space="preserve"> účtovnej jednotky</w:t>
      </w:r>
      <w:r w:rsidR="008C04FA" w:rsidRPr="00A02A84">
        <w:rPr>
          <w:bCs/>
          <w:sz w:val="22"/>
          <w:szCs w:val="22"/>
          <w:lang w:eastAsia="en-US"/>
        </w:rPr>
        <w:t xml:space="preserve">. </w:t>
      </w:r>
    </w:p>
    <w:p w:rsidR="00CF4F1F" w:rsidRPr="00A02A84" w:rsidRDefault="00173DF5" w:rsidP="00451724">
      <w:pPr>
        <w:ind w:left="360" w:right="71" w:hanging="360"/>
        <w:jc w:val="both"/>
        <w:rPr>
          <w:bCs/>
          <w:sz w:val="22"/>
          <w:szCs w:val="22"/>
          <w:lang w:eastAsia="en-US"/>
        </w:rPr>
      </w:pPr>
      <w:r w:rsidRPr="00A02A84">
        <w:rPr>
          <w:bCs/>
          <w:sz w:val="22"/>
          <w:szCs w:val="22"/>
          <w:lang w:eastAsia="en-US"/>
        </w:rPr>
        <w:t>Konsolidovaná účtovná zá</w:t>
      </w:r>
      <w:r w:rsidR="00253E07" w:rsidRPr="00A02A84">
        <w:rPr>
          <w:bCs/>
          <w:sz w:val="22"/>
          <w:szCs w:val="22"/>
          <w:lang w:eastAsia="en-US"/>
        </w:rPr>
        <w:t>vierka mesta Banská Bystrica je</w:t>
      </w:r>
      <w:r w:rsidR="00CF4F1F" w:rsidRPr="00A02A84">
        <w:rPr>
          <w:bCs/>
          <w:sz w:val="22"/>
          <w:szCs w:val="22"/>
          <w:lang w:eastAsia="en-US"/>
        </w:rPr>
        <w:t xml:space="preserve"> </w:t>
      </w:r>
      <w:r w:rsidRPr="00A02A84">
        <w:rPr>
          <w:bCs/>
          <w:sz w:val="22"/>
          <w:szCs w:val="22"/>
          <w:lang w:eastAsia="en-US"/>
        </w:rPr>
        <w:t xml:space="preserve">uložená na </w:t>
      </w:r>
      <w:r w:rsidR="00253E07" w:rsidRPr="00A02A84">
        <w:rPr>
          <w:bCs/>
          <w:sz w:val="22"/>
          <w:szCs w:val="22"/>
          <w:lang w:eastAsia="en-US"/>
        </w:rPr>
        <w:t>M</w:t>
      </w:r>
      <w:r w:rsidR="00CF4F1F" w:rsidRPr="00A02A84">
        <w:rPr>
          <w:bCs/>
          <w:sz w:val="22"/>
          <w:szCs w:val="22"/>
          <w:lang w:eastAsia="en-US"/>
        </w:rPr>
        <w:t>estskom úrade v Banskej</w:t>
      </w:r>
    </w:p>
    <w:p w:rsidR="00451724" w:rsidRPr="00A02A84" w:rsidRDefault="00173DF5" w:rsidP="00451724">
      <w:pPr>
        <w:ind w:left="360" w:right="71" w:hanging="360"/>
        <w:jc w:val="both"/>
        <w:rPr>
          <w:bCs/>
          <w:sz w:val="22"/>
          <w:szCs w:val="22"/>
          <w:lang w:eastAsia="en-US"/>
        </w:rPr>
      </w:pPr>
      <w:r w:rsidRPr="00A02A84">
        <w:rPr>
          <w:bCs/>
          <w:sz w:val="22"/>
          <w:szCs w:val="22"/>
          <w:lang w:eastAsia="en-US"/>
        </w:rPr>
        <w:t>Bystrici</w:t>
      </w:r>
      <w:r w:rsidR="008C04FA" w:rsidRPr="00A02A84">
        <w:rPr>
          <w:bCs/>
          <w:sz w:val="22"/>
          <w:szCs w:val="22"/>
          <w:lang w:eastAsia="en-US"/>
        </w:rPr>
        <w:t>, ČSA 26, 974 01 Banská Bystrica.</w:t>
      </w:r>
    </w:p>
    <w:p w:rsidR="00A17E35" w:rsidRDefault="00A17E35" w:rsidP="00451724">
      <w:pPr>
        <w:ind w:left="360" w:right="71" w:hanging="360"/>
        <w:jc w:val="both"/>
        <w:rPr>
          <w:bCs/>
          <w:sz w:val="22"/>
          <w:szCs w:val="22"/>
          <w:lang w:eastAsia="en-US"/>
        </w:rPr>
      </w:pPr>
    </w:p>
    <w:p w:rsidR="008F0710" w:rsidRDefault="008F0710" w:rsidP="00451724">
      <w:pPr>
        <w:ind w:left="360" w:right="71" w:hanging="360"/>
        <w:jc w:val="both"/>
        <w:rPr>
          <w:bCs/>
          <w:sz w:val="22"/>
          <w:szCs w:val="22"/>
          <w:lang w:eastAsia="en-US"/>
        </w:rPr>
      </w:pPr>
    </w:p>
    <w:p w:rsidR="008F0710" w:rsidRPr="00A02A84" w:rsidRDefault="008F0710" w:rsidP="00451724">
      <w:pPr>
        <w:ind w:left="360" w:right="71" w:hanging="360"/>
        <w:jc w:val="both"/>
        <w:rPr>
          <w:bCs/>
          <w:sz w:val="22"/>
          <w:szCs w:val="22"/>
          <w:lang w:eastAsia="en-US"/>
        </w:rPr>
      </w:pPr>
    </w:p>
    <w:p w:rsidR="009346B9" w:rsidRDefault="008C04FA" w:rsidP="000918A0">
      <w:pPr>
        <w:widowControl w:val="0"/>
        <w:spacing w:after="60"/>
        <w:jc w:val="both"/>
        <w:outlineLvl w:val="0"/>
        <w:rPr>
          <w:b/>
          <w:bCs/>
          <w:kern w:val="28"/>
          <w:sz w:val="22"/>
          <w:szCs w:val="22"/>
          <w:lang w:eastAsia="en-US"/>
        </w:rPr>
      </w:pPr>
      <w:r w:rsidRPr="00A02A84">
        <w:rPr>
          <w:b/>
          <w:bCs/>
          <w:kern w:val="28"/>
          <w:sz w:val="22"/>
          <w:szCs w:val="22"/>
          <w:lang w:eastAsia="en-US"/>
        </w:rPr>
        <w:t>Informácie o počte zamestnancov</w:t>
      </w:r>
    </w:p>
    <w:tbl>
      <w:tblPr>
        <w:tblW w:w="8946" w:type="dxa"/>
        <w:tblInd w:w="55" w:type="dxa"/>
        <w:tblCellMar>
          <w:left w:w="70" w:type="dxa"/>
          <w:right w:w="70" w:type="dxa"/>
        </w:tblCellMar>
        <w:tblLook w:val="0000" w:firstRow="0" w:lastRow="0" w:firstColumn="0" w:lastColumn="0" w:noHBand="0" w:noVBand="0"/>
      </w:tblPr>
      <w:tblGrid>
        <w:gridCol w:w="3980"/>
        <w:gridCol w:w="2414"/>
        <w:gridCol w:w="2552"/>
      </w:tblGrid>
      <w:tr w:rsidR="008C04FA" w:rsidRPr="00A02A84" w:rsidTr="000918A0">
        <w:trPr>
          <w:trHeight w:val="450"/>
        </w:trPr>
        <w:tc>
          <w:tcPr>
            <w:tcW w:w="8946" w:type="dxa"/>
            <w:gridSpan w:val="3"/>
            <w:tcBorders>
              <w:top w:val="nil"/>
              <w:left w:val="nil"/>
              <w:bottom w:val="single" w:sz="4" w:space="0" w:color="000000"/>
              <w:right w:val="nil"/>
            </w:tcBorders>
            <w:shd w:val="clear" w:color="auto" w:fill="auto"/>
            <w:noWrap/>
            <w:vAlign w:val="bottom"/>
          </w:tcPr>
          <w:p w:rsidR="008C04FA" w:rsidRPr="000918A0" w:rsidRDefault="008C04FA" w:rsidP="00625393">
            <w:pPr>
              <w:rPr>
                <w:b/>
                <w:bCs/>
                <w:sz w:val="22"/>
                <w:szCs w:val="22"/>
              </w:rPr>
            </w:pPr>
          </w:p>
        </w:tc>
      </w:tr>
      <w:tr w:rsidR="008C04FA" w:rsidRPr="00A02A84" w:rsidTr="000918A0">
        <w:trPr>
          <w:trHeight w:val="675"/>
        </w:trPr>
        <w:tc>
          <w:tcPr>
            <w:tcW w:w="3980" w:type="dxa"/>
            <w:tcBorders>
              <w:top w:val="nil"/>
              <w:left w:val="single" w:sz="4" w:space="0" w:color="000000"/>
              <w:bottom w:val="single" w:sz="4" w:space="0" w:color="000000"/>
              <w:right w:val="single" w:sz="4" w:space="0" w:color="000000"/>
            </w:tcBorders>
            <w:shd w:val="clear" w:color="auto" w:fill="auto"/>
            <w:vAlign w:val="center"/>
          </w:tcPr>
          <w:p w:rsidR="008C04FA" w:rsidRPr="000918A0" w:rsidRDefault="006F6027" w:rsidP="00625393">
            <w:pPr>
              <w:jc w:val="center"/>
              <w:rPr>
                <w:b/>
                <w:bCs/>
                <w:sz w:val="22"/>
                <w:szCs w:val="22"/>
              </w:rPr>
            </w:pPr>
            <w:r w:rsidRPr="000918A0">
              <w:rPr>
                <w:b/>
                <w:bCs/>
                <w:sz w:val="22"/>
                <w:szCs w:val="22"/>
              </w:rPr>
              <w:t>Názov položky</w:t>
            </w:r>
          </w:p>
        </w:tc>
        <w:tc>
          <w:tcPr>
            <w:tcW w:w="2414" w:type="dxa"/>
            <w:tcBorders>
              <w:top w:val="nil"/>
              <w:left w:val="nil"/>
              <w:bottom w:val="single" w:sz="4" w:space="0" w:color="000000"/>
              <w:right w:val="single" w:sz="4" w:space="0" w:color="000000"/>
            </w:tcBorders>
            <w:shd w:val="clear" w:color="auto" w:fill="auto"/>
            <w:vAlign w:val="center"/>
          </w:tcPr>
          <w:p w:rsidR="008C04FA" w:rsidRPr="000918A0" w:rsidRDefault="006F6027" w:rsidP="00625393">
            <w:pPr>
              <w:jc w:val="center"/>
              <w:rPr>
                <w:b/>
                <w:bCs/>
                <w:sz w:val="22"/>
                <w:szCs w:val="22"/>
              </w:rPr>
            </w:pPr>
            <w:r w:rsidRPr="000918A0">
              <w:rPr>
                <w:b/>
                <w:bCs/>
                <w:sz w:val="22"/>
                <w:szCs w:val="22"/>
              </w:rPr>
              <w:t>Bežné účtovné obdobie</w:t>
            </w:r>
          </w:p>
        </w:tc>
        <w:tc>
          <w:tcPr>
            <w:tcW w:w="2552" w:type="dxa"/>
            <w:tcBorders>
              <w:top w:val="nil"/>
              <w:left w:val="nil"/>
              <w:bottom w:val="single" w:sz="4" w:space="0" w:color="000000"/>
              <w:right w:val="single" w:sz="4" w:space="0" w:color="000000"/>
            </w:tcBorders>
            <w:shd w:val="clear" w:color="auto" w:fill="auto"/>
            <w:vAlign w:val="center"/>
          </w:tcPr>
          <w:p w:rsidR="008C04FA" w:rsidRPr="000918A0" w:rsidRDefault="006F6027" w:rsidP="00625393">
            <w:pPr>
              <w:jc w:val="center"/>
              <w:rPr>
                <w:b/>
                <w:bCs/>
                <w:sz w:val="22"/>
                <w:szCs w:val="22"/>
              </w:rPr>
            </w:pPr>
            <w:r w:rsidRPr="000918A0">
              <w:rPr>
                <w:b/>
                <w:bCs/>
                <w:sz w:val="22"/>
                <w:szCs w:val="22"/>
              </w:rPr>
              <w:t>Bezprostredne predchádzajúce účtovné obdobie</w:t>
            </w:r>
          </w:p>
        </w:tc>
      </w:tr>
      <w:tr w:rsidR="008C04FA" w:rsidRPr="00A02A84" w:rsidTr="00A33DD8">
        <w:trPr>
          <w:trHeight w:val="330"/>
        </w:trPr>
        <w:tc>
          <w:tcPr>
            <w:tcW w:w="3980" w:type="dxa"/>
            <w:tcBorders>
              <w:top w:val="nil"/>
              <w:left w:val="single" w:sz="4" w:space="0" w:color="000000"/>
              <w:bottom w:val="single" w:sz="4" w:space="0" w:color="000000"/>
              <w:right w:val="single" w:sz="4" w:space="0" w:color="000000"/>
            </w:tcBorders>
            <w:shd w:val="clear" w:color="auto" w:fill="auto"/>
            <w:vAlign w:val="bottom"/>
          </w:tcPr>
          <w:p w:rsidR="008C04FA" w:rsidRPr="000918A0" w:rsidRDefault="006F6027" w:rsidP="00625393">
            <w:pPr>
              <w:rPr>
                <w:sz w:val="22"/>
                <w:szCs w:val="22"/>
              </w:rPr>
            </w:pPr>
            <w:r w:rsidRPr="000918A0">
              <w:rPr>
                <w:sz w:val="22"/>
                <w:szCs w:val="22"/>
              </w:rPr>
              <w:t>Priemerný prepočítaný počet zamestnancov</w:t>
            </w:r>
          </w:p>
        </w:tc>
        <w:tc>
          <w:tcPr>
            <w:tcW w:w="2414" w:type="dxa"/>
            <w:tcBorders>
              <w:top w:val="nil"/>
              <w:left w:val="nil"/>
              <w:bottom w:val="single" w:sz="4" w:space="0" w:color="000000"/>
              <w:right w:val="single" w:sz="4" w:space="0" w:color="000000"/>
            </w:tcBorders>
            <w:shd w:val="clear" w:color="auto" w:fill="auto"/>
            <w:noWrap/>
            <w:vAlign w:val="center"/>
          </w:tcPr>
          <w:p w:rsidR="008C04FA" w:rsidRPr="000918A0" w:rsidRDefault="00903042" w:rsidP="00A33DD8">
            <w:pPr>
              <w:jc w:val="center"/>
              <w:rPr>
                <w:sz w:val="22"/>
                <w:szCs w:val="22"/>
              </w:rPr>
            </w:pPr>
            <w:r>
              <w:rPr>
                <w:sz w:val="22"/>
                <w:szCs w:val="22"/>
              </w:rPr>
              <w:t>41</w:t>
            </w:r>
          </w:p>
        </w:tc>
        <w:tc>
          <w:tcPr>
            <w:tcW w:w="2552" w:type="dxa"/>
            <w:tcBorders>
              <w:top w:val="nil"/>
              <w:left w:val="nil"/>
              <w:bottom w:val="single" w:sz="4" w:space="0" w:color="000000"/>
              <w:right w:val="single" w:sz="4" w:space="0" w:color="000000"/>
            </w:tcBorders>
            <w:shd w:val="clear" w:color="auto" w:fill="auto"/>
            <w:noWrap/>
            <w:vAlign w:val="center"/>
          </w:tcPr>
          <w:p w:rsidR="008C04FA" w:rsidRPr="000918A0" w:rsidRDefault="00DA2927" w:rsidP="00A33DD8">
            <w:pPr>
              <w:jc w:val="center"/>
              <w:rPr>
                <w:sz w:val="22"/>
                <w:szCs w:val="22"/>
              </w:rPr>
            </w:pPr>
            <w:r>
              <w:rPr>
                <w:sz w:val="22"/>
                <w:szCs w:val="22"/>
              </w:rPr>
              <w:t>39</w:t>
            </w:r>
          </w:p>
        </w:tc>
      </w:tr>
      <w:tr w:rsidR="008C04FA" w:rsidRPr="00A02A84" w:rsidTr="00A33DD8">
        <w:trPr>
          <w:trHeight w:val="495"/>
        </w:trPr>
        <w:tc>
          <w:tcPr>
            <w:tcW w:w="3980" w:type="dxa"/>
            <w:tcBorders>
              <w:top w:val="nil"/>
              <w:left w:val="single" w:sz="4" w:space="0" w:color="000000"/>
              <w:bottom w:val="single" w:sz="4" w:space="0" w:color="000000"/>
              <w:right w:val="single" w:sz="4" w:space="0" w:color="000000"/>
            </w:tcBorders>
            <w:shd w:val="clear" w:color="auto" w:fill="auto"/>
            <w:vAlign w:val="bottom"/>
          </w:tcPr>
          <w:p w:rsidR="008C04FA" w:rsidRPr="000918A0" w:rsidRDefault="006F6027" w:rsidP="00625393">
            <w:pPr>
              <w:rPr>
                <w:sz w:val="22"/>
                <w:szCs w:val="22"/>
              </w:rPr>
            </w:pPr>
            <w:r w:rsidRPr="000918A0">
              <w:rPr>
                <w:sz w:val="22"/>
                <w:szCs w:val="22"/>
              </w:rPr>
              <w:t>Stav zamestnancov ku dňu, ku ktorému sa zostavuje účtovná závierka, z toho:</w:t>
            </w:r>
          </w:p>
        </w:tc>
        <w:tc>
          <w:tcPr>
            <w:tcW w:w="2414" w:type="dxa"/>
            <w:tcBorders>
              <w:top w:val="nil"/>
              <w:left w:val="nil"/>
              <w:bottom w:val="single" w:sz="4" w:space="0" w:color="000000"/>
              <w:right w:val="single" w:sz="4" w:space="0" w:color="000000"/>
            </w:tcBorders>
            <w:shd w:val="clear" w:color="auto" w:fill="auto"/>
            <w:noWrap/>
            <w:vAlign w:val="center"/>
          </w:tcPr>
          <w:p w:rsidR="008C04FA" w:rsidRPr="000918A0" w:rsidRDefault="00903042" w:rsidP="00A33DD8">
            <w:pPr>
              <w:jc w:val="center"/>
              <w:rPr>
                <w:sz w:val="22"/>
                <w:szCs w:val="22"/>
              </w:rPr>
            </w:pPr>
            <w:r>
              <w:rPr>
                <w:sz w:val="22"/>
                <w:szCs w:val="22"/>
              </w:rPr>
              <w:t>43</w:t>
            </w:r>
          </w:p>
        </w:tc>
        <w:tc>
          <w:tcPr>
            <w:tcW w:w="2552" w:type="dxa"/>
            <w:tcBorders>
              <w:top w:val="nil"/>
              <w:left w:val="nil"/>
              <w:bottom w:val="single" w:sz="4" w:space="0" w:color="000000"/>
              <w:right w:val="single" w:sz="4" w:space="0" w:color="000000"/>
            </w:tcBorders>
            <w:shd w:val="clear" w:color="auto" w:fill="auto"/>
            <w:noWrap/>
            <w:vAlign w:val="center"/>
          </w:tcPr>
          <w:p w:rsidR="008C04FA" w:rsidRPr="000918A0" w:rsidRDefault="00DA2927" w:rsidP="00A33DD8">
            <w:pPr>
              <w:jc w:val="center"/>
              <w:rPr>
                <w:sz w:val="22"/>
                <w:szCs w:val="22"/>
              </w:rPr>
            </w:pPr>
            <w:r>
              <w:rPr>
                <w:sz w:val="22"/>
                <w:szCs w:val="22"/>
              </w:rPr>
              <w:t>38</w:t>
            </w:r>
          </w:p>
        </w:tc>
      </w:tr>
      <w:tr w:rsidR="008C04FA" w:rsidRPr="00A02A84" w:rsidTr="00A33DD8">
        <w:trPr>
          <w:trHeight w:val="330"/>
        </w:trPr>
        <w:tc>
          <w:tcPr>
            <w:tcW w:w="3980" w:type="dxa"/>
            <w:tcBorders>
              <w:top w:val="nil"/>
              <w:left w:val="single" w:sz="4" w:space="0" w:color="000000"/>
              <w:bottom w:val="single" w:sz="4" w:space="0" w:color="000000"/>
              <w:right w:val="single" w:sz="4" w:space="0" w:color="000000"/>
            </w:tcBorders>
            <w:shd w:val="clear" w:color="auto" w:fill="auto"/>
            <w:vAlign w:val="bottom"/>
          </w:tcPr>
          <w:p w:rsidR="008C04FA" w:rsidRPr="000918A0" w:rsidRDefault="006F6027" w:rsidP="00625393">
            <w:pPr>
              <w:rPr>
                <w:sz w:val="22"/>
                <w:szCs w:val="22"/>
              </w:rPr>
            </w:pPr>
            <w:r w:rsidRPr="000918A0">
              <w:rPr>
                <w:sz w:val="22"/>
                <w:szCs w:val="22"/>
              </w:rPr>
              <w:t>počet vedúcich zamestnancov</w:t>
            </w:r>
          </w:p>
        </w:tc>
        <w:tc>
          <w:tcPr>
            <w:tcW w:w="2414" w:type="dxa"/>
            <w:tcBorders>
              <w:top w:val="nil"/>
              <w:left w:val="nil"/>
              <w:bottom w:val="single" w:sz="4" w:space="0" w:color="000000"/>
              <w:right w:val="single" w:sz="4" w:space="0" w:color="000000"/>
            </w:tcBorders>
            <w:shd w:val="clear" w:color="auto" w:fill="auto"/>
            <w:noWrap/>
            <w:vAlign w:val="center"/>
          </w:tcPr>
          <w:p w:rsidR="008C04FA" w:rsidRPr="000918A0" w:rsidRDefault="00903042" w:rsidP="00A33DD8">
            <w:pPr>
              <w:jc w:val="center"/>
              <w:rPr>
                <w:sz w:val="22"/>
                <w:szCs w:val="22"/>
              </w:rPr>
            </w:pPr>
            <w:r>
              <w:rPr>
                <w:sz w:val="22"/>
                <w:szCs w:val="22"/>
              </w:rPr>
              <w:t>5</w:t>
            </w:r>
          </w:p>
        </w:tc>
        <w:tc>
          <w:tcPr>
            <w:tcW w:w="2552" w:type="dxa"/>
            <w:tcBorders>
              <w:top w:val="nil"/>
              <w:left w:val="nil"/>
              <w:bottom w:val="single" w:sz="4" w:space="0" w:color="000000"/>
              <w:right w:val="single" w:sz="4" w:space="0" w:color="000000"/>
            </w:tcBorders>
            <w:shd w:val="clear" w:color="auto" w:fill="auto"/>
            <w:noWrap/>
            <w:vAlign w:val="center"/>
          </w:tcPr>
          <w:p w:rsidR="008C04FA" w:rsidRPr="000918A0" w:rsidRDefault="002F022E" w:rsidP="00A33DD8">
            <w:pPr>
              <w:jc w:val="center"/>
              <w:rPr>
                <w:sz w:val="22"/>
                <w:szCs w:val="22"/>
              </w:rPr>
            </w:pPr>
            <w:r>
              <w:rPr>
                <w:sz w:val="22"/>
                <w:szCs w:val="22"/>
              </w:rPr>
              <w:t>5</w:t>
            </w:r>
          </w:p>
        </w:tc>
      </w:tr>
    </w:tbl>
    <w:p w:rsidR="008C04FA" w:rsidRPr="00A02A84" w:rsidRDefault="008C04FA" w:rsidP="008C04FA">
      <w:pPr>
        <w:keepNext/>
        <w:outlineLvl w:val="0"/>
        <w:rPr>
          <w:b/>
          <w:bCs/>
          <w:kern w:val="28"/>
          <w:sz w:val="22"/>
          <w:szCs w:val="22"/>
          <w:lang w:eastAsia="en-US"/>
        </w:rPr>
      </w:pPr>
    </w:p>
    <w:p w:rsidR="008C04FA" w:rsidRPr="00A02A84" w:rsidRDefault="008C04FA" w:rsidP="008C04FA">
      <w:pPr>
        <w:rPr>
          <w:sz w:val="22"/>
          <w:szCs w:val="22"/>
          <w:lang w:eastAsia="en-US"/>
        </w:rPr>
      </w:pPr>
      <w:r w:rsidRPr="00A02A84">
        <w:rPr>
          <w:sz w:val="22"/>
          <w:szCs w:val="22"/>
          <w:lang w:eastAsia="en-US"/>
        </w:rPr>
        <w:t>Akciová  spoločnosť nie je neobmedzene ručiacim spoločníkom v žiadnej spoločnosti.</w:t>
      </w:r>
    </w:p>
    <w:p w:rsidR="00271E3A" w:rsidRPr="00A02A84" w:rsidRDefault="00271E3A" w:rsidP="00451724">
      <w:pPr>
        <w:ind w:left="360" w:right="71" w:hanging="360"/>
        <w:jc w:val="both"/>
        <w:rPr>
          <w:bCs/>
          <w:sz w:val="22"/>
          <w:szCs w:val="22"/>
          <w:lang w:eastAsia="en-US"/>
        </w:rPr>
      </w:pPr>
    </w:p>
    <w:p w:rsidR="00A17E35" w:rsidRPr="00A02A84" w:rsidRDefault="00A17E35" w:rsidP="00A17E35">
      <w:pPr>
        <w:widowControl w:val="0"/>
        <w:spacing w:after="60"/>
        <w:jc w:val="both"/>
        <w:outlineLvl w:val="0"/>
        <w:rPr>
          <w:b/>
          <w:bCs/>
          <w:kern w:val="28"/>
          <w:sz w:val="22"/>
          <w:szCs w:val="22"/>
          <w:lang w:eastAsia="en-US"/>
        </w:rPr>
      </w:pPr>
      <w:r w:rsidRPr="00A02A84">
        <w:rPr>
          <w:b/>
          <w:bCs/>
          <w:kern w:val="28"/>
          <w:sz w:val="22"/>
          <w:szCs w:val="22"/>
          <w:lang w:eastAsia="en-US"/>
        </w:rPr>
        <w:t xml:space="preserve">Informácie o orgánoch spoločnosti </w:t>
      </w:r>
    </w:p>
    <w:p w:rsidR="00D53216" w:rsidRPr="00A02A84" w:rsidRDefault="00D53216" w:rsidP="00A17E35">
      <w:pPr>
        <w:widowControl w:val="0"/>
        <w:spacing w:after="60"/>
        <w:jc w:val="both"/>
        <w:outlineLvl w:val="0"/>
        <w:rPr>
          <w:b/>
          <w:bCs/>
          <w:kern w:val="28"/>
          <w:sz w:val="22"/>
          <w:szCs w:val="22"/>
          <w:lang w:eastAsia="en-US"/>
        </w:rPr>
      </w:pPr>
    </w:p>
    <w:p w:rsidR="00A17E35" w:rsidRPr="00A02A84" w:rsidRDefault="00D53216" w:rsidP="00210082">
      <w:pPr>
        <w:ind w:right="71"/>
        <w:jc w:val="both"/>
        <w:rPr>
          <w:bCs/>
          <w:sz w:val="22"/>
          <w:szCs w:val="22"/>
          <w:lang w:eastAsia="en-US"/>
        </w:rPr>
      </w:pPr>
      <w:r w:rsidRPr="00A02A84">
        <w:rPr>
          <w:bCs/>
          <w:kern w:val="28"/>
          <w:sz w:val="22"/>
          <w:szCs w:val="22"/>
          <w:lang w:eastAsia="en-US"/>
        </w:rPr>
        <w:t>Za výkon funkcie sú členovia dozornej rady odmeňovaní v zmysle stanov spoločnosti.</w:t>
      </w:r>
      <w:r w:rsidR="008F0710">
        <w:rPr>
          <w:bCs/>
          <w:kern w:val="28"/>
          <w:sz w:val="22"/>
          <w:szCs w:val="22"/>
          <w:lang w:eastAsia="en-US"/>
        </w:rPr>
        <w:t xml:space="preserve"> </w:t>
      </w:r>
      <w:r w:rsidR="00A17E35" w:rsidRPr="00A02A84">
        <w:rPr>
          <w:bCs/>
          <w:sz w:val="22"/>
          <w:szCs w:val="22"/>
          <w:lang w:eastAsia="en-US"/>
        </w:rPr>
        <w:t xml:space="preserve">Okrem peňažných príjmov za výkon funkcie neboli členom štatutárnych a dozorných orgánov </w:t>
      </w:r>
      <w:r w:rsidR="00F3674B" w:rsidRPr="00A02A84">
        <w:rPr>
          <w:bCs/>
          <w:sz w:val="22"/>
          <w:szCs w:val="22"/>
          <w:lang w:eastAsia="en-US"/>
        </w:rPr>
        <w:t xml:space="preserve">spoločnosti </w:t>
      </w:r>
      <w:r w:rsidR="00A17E35" w:rsidRPr="00A02A84">
        <w:rPr>
          <w:bCs/>
          <w:sz w:val="22"/>
          <w:szCs w:val="22"/>
          <w:lang w:eastAsia="en-US"/>
        </w:rPr>
        <w:t xml:space="preserve">poskytnuté žiadne iné peňažné a nepeňažné plnenia a výhody. </w:t>
      </w:r>
    </w:p>
    <w:p w:rsidR="00F3674B" w:rsidRDefault="00F3674B" w:rsidP="00A17E35">
      <w:pPr>
        <w:ind w:left="426" w:right="71"/>
        <w:jc w:val="both"/>
        <w:rPr>
          <w:b/>
          <w:bCs/>
          <w:sz w:val="22"/>
          <w:szCs w:val="22"/>
          <w:lang w:eastAsia="en-US"/>
        </w:rPr>
      </w:pPr>
    </w:p>
    <w:p w:rsidR="00A02A84" w:rsidRPr="000918A0" w:rsidRDefault="00A02A84" w:rsidP="00A17E35">
      <w:pPr>
        <w:ind w:left="426" w:right="71"/>
        <w:jc w:val="both"/>
        <w:rPr>
          <w:b/>
          <w:bCs/>
          <w:sz w:val="22"/>
          <w:szCs w:val="22"/>
          <w:lang w:eastAsia="en-US"/>
        </w:rPr>
      </w:pPr>
    </w:p>
    <w:p w:rsidR="009346B9" w:rsidRPr="000918A0" w:rsidRDefault="006F6027" w:rsidP="000918A0">
      <w:pPr>
        <w:jc w:val="center"/>
        <w:rPr>
          <w:b/>
          <w:sz w:val="22"/>
          <w:szCs w:val="22"/>
          <w:lang w:eastAsia="en-US"/>
        </w:rPr>
      </w:pPr>
      <w:r w:rsidRPr="000918A0">
        <w:rPr>
          <w:b/>
          <w:sz w:val="22"/>
          <w:szCs w:val="22"/>
          <w:lang w:eastAsia="en-US"/>
        </w:rPr>
        <w:t>Článok II</w:t>
      </w:r>
    </w:p>
    <w:p w:rsidR="009346B9" w:rsidRDefault="009069F7" w:rsidP="000918A0">
      <w:pPr>
        <w:ind w:left="360" w:right="71" w:hanging="360"/>
        <w:jc w:val="center"/>
        <w:rPr>
          <w:b/>
          <w:bCs/>
          <w:sz w:val="22"/>
          <w:szCs w:val="22"/>
          <w:lang w:eastAsia="en-US"/>
        </w:rPr>
      </w:pPr>
      <w:r w:rsidRPr="00A02A84">
        <w:rPr>
          <w:b/>
          <w:bCs/>
          <w:sz w:val="22"/>
          <w:szCs w:val="22"/>
          <w:lang w:eastAsia="en-US"/>
        </w:rPr>
        <w:t>Informácie o použitých účtovných zásadách a metódach</w:t>
      </w:r>
    </w:p>
    <w:p w:rsidR="00F3674B" w:rsidRPr="00A02A84" w:rsidRDefault="00F3674B" w:rsidP="00F3674B">
      <w:pPr>
        <w:ind w:left="360" w:right="71" w:hanging="360"/>
        <w:jc w:val="both"/>
        <w:rPr>
          <w:b/>
          <w:bCs/>
          <w:sz w:val="22"/>
          <w:szCs w:val="22"/>
        </w:rPr>
      </w:pPr>
    </w:p>
    <w:p w:rsidR="009346B9" w:rsidRPr="000918A0" w:rsidRDefault="006F6027" w:rsidP="000918A0">
      <w:pPr>
        <w:suppressAutoHyphens/>
        <w:ind w:right="71"/>
        <w:jc w:val="both"/>
        <w:rPr>
          <w:bCs/>
          <w:sz w:val="22"/>
          <w:szCs w:val="22"/>
        </w:rPr>
      </w:pPr>
      <w:r w:rsidRPr="000918A0">
        <w:rPr>
          <w:bCs/>
          <w:sz w:val="22"/>
          <w:szCs w:val="22"/>
        </w:rPr>
        <w:t>Spoločnosť uplatňuje účtovné princípy a postupy účtovania v súlade so zákonom o účtovníctve a s postupmi účtovania pre podnikateľov, ktoré platia v Slovenskej republike. Účtovníctvo sa vedie v peňažných jednotkách slovenskej meny, t.j. v eurách. Pokiaľ nie je uvedené inak, všetky vykázané údaje v týchto poznámkach sú v celých eurách.</w:t>
      </w:r>
    </w:p>
    <w:p w:rsidR="00F3674B" w:rsidRPr="00A02A84" w:rsidRDefault="00F3674B" w:rsidP="00F3674B">
      <w:pPr>
        <w:ind w:right="71"/>
        <w:jc w:val="both"/>
        <w:rPr>
          <w:bCs/>
          <w:sz w:val="22"/>
          <w:szCs w:val="22"/>
        </w:rPr>
      </w:pPr>
    </w:p>
    <w:p w:rsidR="00DC0C8D" w:rsidRDefault="00F3674B" w:rsidP="00210082">
      <w:pPr>
        <w:suppressAutoHyphens/>
        <w:ind w:right="71"/>
        <w:jc w:val="both"/>
        <w:rPr>
          <w:bCs/>
          <w:sz w:val="22"/>
          <w:szCs w:val="22"/>
        </w:rPr>
      </w:pPr>
      <w:r w:rsidRPr="00A02A84">
        <w:rPr>
          <w:bCs/>
          <w:sz w:val="22"/>
          <w:szCs w:val="22"/>
        </w:rPr>
        <w:t>Spoločnosť predpokladá, že bude nepretržite  pokračovať vo svojej činnosti. Vedie záznamy o zmenách účtovných zásad a zmenách účtovných metód, s uvedením  dôvodu ich uplatnenia a ich vplyvu na hodnotu majetku, záväzkov, vlastného imania a výsledku hospodárenia  účtovnej jednotky</w:t>
      </w:r>
      <w:r w:rsidR="00DC0C8D">
        <w:rPr>
          <w:bCs/>
          <w:sz w:val="22"/>
          <w:szCs w:val="22"/>
        </w:rPr>
        <w:t>.</w:t>
      </w:r>
    </w:p>
    <w:p w:rsidR="00DC0C8D" w:rsidRDefault="00DC0C8D" w:rsidP="00210082">
      <w:pPr>
        <w:suppressAutoHyphens/>
        <w:ind w:right="71"/>
        <w:jc w:val="both"/>
        <w:rPr>
          <w:bCs/>
          <w:sz w:val="22"/>
          <w:szCs w:val="22"/>
        </w:rPr>
      </w:pPr>
    </w:p>
    <w:p w:rsidR="00DC0C8D" w:rsidRPr="00A02A84" w:rsidRDefault="006F6027" w:rsidP="003B5429">
      <w:pPr>
        <w:jc w:val="both"/>
        <w:rPr>
          <w:sz w:val="22"/>
          <w:szCs w:val="22"/>
        </w:rPr>
      </w:pPr>
      <w:r w:rsidRPr="000918A0">
        <w:rPr>
          <w:bCs/>
          <w:sz w:val="22"/>
          <w:szCs w:val="22"/>
        </w:rPr>
        <w:t xml:space="preserve">Spoločnosť </w:t>
      </w:r>
      <w:r w:rsidR="0048152A">
        <w:rPr>
          <w:bCs/>
          <w:sz w:val="22"/>
          <w:szCs w:val="22"/>
        </w:rPr>
        <w:t>vykonáva</w:t>
      </w:r>
      <w:r w:rsidR="00DC0C8D" w:rsidRPr="00A02A84">
        <w:rPr>
          <w:sz w:val="22"/>
          <w:szCs w:val="22"/>
        </w:rPr>
        <w:t xml:space="preserve"> správu bytového a nebytového fondu formou</w:t>
      </w:r>
      <w:r w:rsidR="00DD34B1">
        <w:rPr>
          <w:sz w:val="22"/>
          <w:szCs w:val="22"/>
        </w:rPr>
        <w:t xml:space="preserve"> </w:t>
      </w:r>
      <w:r w:rsidR="00DC0C8D" w:rsidRPr="00A02A84">
        <w:rPr>
          <w:sz w:val="22"/>
          <w:szCs w:val="22"/>
        </w:rPr>
        <w:t xml:space="preserve"> priamej správy. Z dôvodu verného a pravdivého zobrazenia skutočností sa </w:t>
      </w:r>
      <w:r w:rsidR="0048152A">
        <w:rPr>
          <w:sz w:val="22"/>
          <w:szCs w:val="22"/>
        </w:rPr>
        <w:t xml:space="preserve">o správe účtuje na </w:t>
      </w:r>
      <w:r w:rsidR="00DC0C8D" w:rsidRPr="00A02A84">
        <w:rPr>
          <w:sz w:val="22"/>
          <w:szCs w:val="22"/>
        </w:rPr>
        <w:t>podsúvahov</w:t>
      </w:r>
      <w:r w:rsidR="0048152A">
        <w:rPr>
          <w:sz w:val="22"/>
          <w:szCs w:val="22"/>
        </w:rPr>
        <w:t>ých účtoch.</w:t>
      </w:r>
    </w:p>
    <w:p w:rsidR="009346B9" w:rsidRDefault="009346B9" w:rsidP="000918A0">
      <w:pPr>
        <w:suppressAutoHyphens/>
        <w:ind w:right="71"/>
        <w:jc w:val="both"/>
        <w:rPr>
          <w:bCs/>
          <w:sz w:val="22"/>
          <w:szCs w:val="22"/>
          <w:lang w:eastAsia="en-US"/>
        </w:rPr>
      </w:pPr>
    </w:p>
    <w:p w:rsidR="00F3674B" w:rsidRPr="00A02A84" w:rsidRDefault="00F3674B" w:rsidP="00EA0884">
      <w:pPr>
        <w:ind w:left="360" w:right="71"/>
        <w:jc w:val="both"/>
        <w:rPr>
          <w:bCs/>
          <w:sz w:val="22"/>
          <w:szCs w:val="22"/>
          <w:lang w:eastAsia="en-US"/>
        </w:rPr>
      </w:pPr>
    </w:p>
    <w:p w:rsidR="00F3674B" w:rsidRPr="00A02A84" w:rsidRDefault="00451724" w:rsidP="00F3674B">
      <w:pPr>
        <w:ind w:right="71"/>
        <w:jc w:val="both"/>
        <w:rPr>
          <w:b/>
          <w:bCs/>
          <w:sz w:val="22"/>
          <w:szCs w:val="22"/>
          <w:lang w:eastAsia="en-US"/>
        </w:rPr>
      </w:pPr>
      <w:r w:rsidRPr="00A02A84">
        <w:rPr>
          <w:b/>
          <w:bCs/>
          <w:sz w:val="22"/>
          <w:szCs w:val="22"/>
          <w:lang w:eastAsia="en-US"/>
        </w:rPr>
        <w:t>Dlhodobý nehmotný majetok</w:t>
      </w:r>
    </w:p>
    <w:p w:rsidR="00F3674B" w:rsidRPr="00A02A84" w:rsidRDefault="00F3674B" w:rsidP="00F3674B">
      <w:pPr>
        <w:ind w:right="71"/>
        <w:jc w:val="both"/>
        <w:rPr>
          <w:bCs/>
          <w:sz w:val="22"/>
          <w:szCs w:val="22"/>
        </w:rPr>
      </w:pPr>
    </w:p>
    <w:p w:rsidR="00F3674B" w:rsidRPr="00A02A84" w:rsidRDefault="00F3674B" w:rsidP="00F3674B">
      <w:pPr>
        <w:ind w:right="71"/>
        <w:jc w:val="both"/>
        <w:rPr>
          <w:bCs/>
          <w:sz w:val="22"/>
          <w:szCs w:val="22"/>
        </w:rPr>
      </w:pPr>
      <w:r w:rsidRPr="00A02A84">
        <w:rPr>
          <w:bCs/>
          <w:sz w:val="22"/>
          <w:szCs w:val="22"/>
        </w:rPr>
        <w:t xml:space="preserve">Dlhodobý nehmotný majetok nakupovaný sa oceňuje obstarávacou cenou, ktorá zahŕňa cenu obstarania a náklady súvisiace s obstaraním (clo, prepravu, montáž, poistné a pod.) </w:t>
      </w:r>
    </w:p>
    <w:p w:rsidR="00F3674B" w:rsidRPr="00A02A84" w:rsidRDefault="00F3674B" w:rsidP="00F3674B">
      <w:pPr>
        <w:ind w:right="71"/>
        <w:jc w:val="both"/>
        <w:rPr>
          <w:b/>
          <w:bCs/>
          <w:sz w:val="22"/>
          <w:szCs w:val="22"/>
          <w:lang w:eastAsia="en-US"/>
        </w:rPr>
      </w:pPr>
    </w:p>
    <w:p w:rsidR="00F3674B" w:rsidRPr="00A02A84" w:rsidRDefault="00F3674B" w:rsidP="00F3674B">
      <w:pPr>
        <w:tabs>
          <w:tab w:val="left" w:pos="0"/>
        </w:tabs>
        <w:suppressAutoHyphens/>
        <w:ind w:right="71"/>
        <w:jc w:val="both"/>
        <w:rPr>
          <w:bCs/>
          <w:sz w:val="22"/>
          <w:szCs w:val="22"/>
        </w:rPr>
      </w:pPr>
      <w:r w:rsidRPr="00A02A84">
        <w:rPr>
          <w:bCs/>
          <w:sz w:val="22"/>
          <w:szCs w:val="22"/>
        </w:rPr>
        <w:t>Spoločnosť neobstaráva dlhodobý nehmotný majetok vlastnou činnosťou</w:t>
      </w:r>
    </w:p>
    <w:p w:rsidR="00F3674B" w:rsidRPr="00A02A84" w:rsidRDefault="00F3674B" w:rsidP="00F3674B">
      <w:pPr>
        <w:tabs>
          <w:tab w:val="left" w:pos="0"/>
        </w:tabs>
        <w:suppressAutoHyphens/>
        <w:ind w:right="71"/>
        <w:jc w:val="both"/>
        <w:rPr>
          <w:bCs/>
          <w:sz w:val="22"/>
          <w:szCs w:val="22"/>
        </w:rPr>
      </w:pPr>
    </w:p>
    <w:p w:rsidR="004C7781" w:rsidRDefault="00F3674B" w:rsidP="00F3674B">
      <w:pPr>
        <w:tabs>
          <w:tab w:val="left" w:pos="0"/>
        </w:tabs>
        <w:suppressAutoHyphens/>
        <w:ind w:right="71"/>
        <w:jc w:val="both"/>
        <w:rPr>
          <w:bCs/>
          <w:sz w:val="22"/>
          <w:szCs w:val="22"/>
        </w:rPr>
      </w:pPr>
      <w:r w:rsidRPr="00A02A84">
        <w:rPr>
          <w:bCs/>
          <w:sz w:val="22"/>
          <w:szCs w:val="22"/>
        </w:rPr>
        <w:t>Odpisy dlhodobého nehmotného majetku sú stanovené podľa predpokladanej doby používania a predpokladaného priebehu o</w:t>
      </w:r>
      <w:r w:rsidR="003E4C32">
        <w:rPr>
          <w:bCs/>
          <w:sz w:val="22"/>
          <w:szCs w:val="22"/>
        </w:rPr>
        <w:t>potrebenia. Odpisovať sa začne v mesiaci</w:t>
      </w:r>
      <w:r w:rsidRPr="00A02A84">
        <w:rPr>
          <w:bCs/>
          <w:sz w:val="22"/>
          <w:szCs w:val="22"/>
        </w:rPr>
        <w:t xml:space="preserve"> zaradenia dlhodobo nehmotného majetku do používania.  </w:t>
      </w:r>
    </w:p>
    <w:p w:rsidR="003E4C32" w:rsidRDefault="003E4C32" w:rsidP="00F3674B">
      <w:pPr>
        <w:tabs>
          <w:tab w:val="left" w:pos="0"/>
        </w:tabs>
        <w:suppressAutoHyphens/>
        <w:ind w:right="71"/>
        <w:jc w:val="both"/>
        <w:rPr>
          <w:b/>
          <w:bCs/>
          <w:sz w:val="22"/>
          <w:szCs w:val="22"/>
        </w:rPr>
      </w:pPr>
    </w:p>
    <w:p w:rsidR="00451724" w:rsidRPr="00A02A84" w:rsidRDefault="00451724" w:rsidP="00451724">
      <w:pPr>
        <w:ind w:right="71"/>
        <w:jc w:val="both"/>
        <w:rPr>
          <w:bCs/>
          <w:sz w:val="22"/>
          <w:szCs w:val="22"/>
          <w:lang w:eastAsia="en-US"/>
        </w:rPr>
      </w:pPr>
    </w:p>
    <w:tbl>
      <w:tblPr>
        <w:tblW w:w="90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544"/>
        <w:gridCol w:w="3317"/>
        <w:gridCol w:w="2139"/>
      </w:tblGrid>
      <w:tr w:rsidR="00451724" w:rsidRPr="00A02A84">
        <w:tc>
          <w:tcPr>
            <w:tcW w:w="3544" w:type="dxa"/>
          </w:tcPr>
          <w:p w:rsidR="00451724" w:rsidRPr="00A02A84" w:rsidRDefault="00451724" w:rsidP="00A17E35">
            <w:pPr>
              <w:ind w:right="71"/>
              <w:jc w:val="center"/>
              <w:rPr>
                <w:bCs/>
                <w:sz w:val="22"/>
                <w:szCs w:val="22"/>
                <w:lang w:eastAsia="en-US"/>
              </w:rPr>
            </w:pPr>
          </w:p>
        </w:tc>
        <w:tc>
          <w:tcPr>
            <w:tcW w:w="3317" w:type="dxa"/>
          </w:tcPr>
          <w:p w:rsidR="00451724" w:rsidRPr="00A02A84" w:rsidRDefault="00451724" w:rsidP="00A17E35">
            <w:pPr>
              <w:ind w:right="71"/>
              <w:jc w:val="center"/>
              <w:rPr>
                <w:bCs/>
                <w:sz w:val="22"/>
                <w:szCs w:val="22"/>
                <w:lang w:eastAsia="en-US"/>
              </w:rPr>
            </w:pPr>
            <w:r w:rsidRPr="00A02A84">
              <w:rPr>
                <w:bCs/>
                <w:sz w:val="22"/>
                <w:szCs w:val="22"/>
                <w:lang w:eastAsia="en-US"/>
              </w:rPr>
              <w:t>Doba používania</w:t>
            </w:r>
          </w:p>
        </w:tc>
        <w:tc>
          <w:tcPr>
            <w:tcW w:w="2139" w:type="dxa"/>
          </w:tcPr>
          <w:p w:rsidR="00451724" w:rsidRPr="00A02A84" w:rsidRDefault="00451724" w:rsidP="00A17E35">
            <w:pPr>
              <w:ind w:right="71"/>
              <w:jc w:val="center"/>
              <w:rPr>
                <w:bCs/>
                <w:sz w:val="22"/>
                <w:szCs w:val="22"/>
                <w:lang w:eastAsia="en-US"/>
              </w:rPr>
            </w:pPr>
            <w:r w:rsidRPr="00A02A84">
              <w:rPr>
                <w:bCs/>
                <w:sz w:val="22"/>
                <w:szCs w:val="22"/>
                <w:lang w:eastAsia="en-US"/>
              </w:rPr>
              <w:t>Metóda odpisovania</w:t>
            </w:r>
          </w:p>
        </w:tc>
      </w:tr>
      <w:tr w:rsidR="00451724" w:rsidRPr="00A02A84">
        <w:tc>
          <w:tcPr>
            <w:tcW w:w="3544" w:type="dxa"/>
          </w:tcPr>
          <w:p w:rsidR="00451724" w:rsidRPr="00A02A84" w:rsidRDefault="00451724" w:rsidP="00854ACF">
            <w:pPr>
              <w:ind w:right="71"/>
              <w:jc w:val="both"/>
              <w:rPr>
                <w:bCs/>
                <w:sz w:val="22"/>
                <w:szCs w:val="22"/>
                <w:lang w:eastAsia="en-US"/>
              </w:rPr>
            </w:pPr>
            <w:r w:rsidRPr="00A02A84">
              <w:rPr>
                <w:bCs/>
                <w:sz w:val="22"/>
                <w:szCs w:val="22"/>
                <w:lang w:eastAsia="en-US"/>
              </w:rPr>
              <w:t>013 - Softvér</w:t>
            </w:r>
          </w:p>
        </w:tc>
        <w:tc>
          <w:tcPr>
            <w:tcW w:w="3317" w:type="dxa"/>
          </w:tcPr>
          <w:p w:rsidR="00451724" w:rsidRPr="00A02A84" w:rsidRDefault="00451724" w:rsidP="00854ACF">
            <w:pPr>
              <w:ind w:right="71"/>
              <w:jc w:val="center"/>
              <w:rPr>
                <w:bCs/>
                <w:sz w:val="22"/>
                <w:szCs w:val="22"/>
                <w:lang w:eastAsia="en-US"/>
              </w:rPr>
            </w:pPr>
            <w:r w:rsidRPr="00A02A84">
              <w:rPr>
                <w:bCs/>
                <w:sz w:val="22"/>
                <w:szCs w:val="22"/>
                <w:lang w:eastAsia="en-US"/>
              </w:rPr>
              <w:t>5</w:t>
            </w:r>
          </w:p>
        </w:tc>
        <w:tc>
          <w:tcPr>
            <w:tcW w:w="2139" w:type="dxa"/>
          </w:tcPr>
          <w:p w:rsidR="00451724" w:rsidRPr="00A02A84" w:rsidRDefault="00451724" w:rsidP="00A17E35">
            <w:pPr>
              <w:ind w:right="71"/>
              <w:jc w:val="center"/>
              <w:rPr>
                <w:bCs/>
                <w:sz w:val="22"/>
                <w:szCs w:val="22"/>
                <w:lang w:eastAsia="en-US"/>
              </w:rPr>
            </w:pPr>
            <w:r w:rsidRPr="00A02A84">
              <w:rPr>
                <w:bCs/>
                <w:sz w:val="22"/>
                <w:szCs w:val="22"/>
                <w:lang w:eastAsia="en-US"/>
              </w:rPr>
              <w:t>lineárna</w:t>
            </w:r>
          </w:p>
        </w:tc>
      </w:tr>
      <w:tr w:rsidR="00451724" w:rsidRPr="00205530">
        <w:tc>
          <w:tcPr>
            <w:tcW w:w="3544" w:type="dxa"/>
          </w:tcPr>
          <w:p w:rsidR="00451724" w:rsidRPr="000D4127" w:rsidRDefault="00205530" w:rsidP="00854ACF">
            <w:pPr>
              <w:ind w:right="71"/>
              <w:jc w:val="both"/>
              <w:rPr>
                <w:bCs/>
                <w:sz w:val="22"/>
                <w:szCs w:val="22"/>
                <w:lang w:eastAsia="en-US"/>
              </w:rPr>
            </w:pPr>
            <w:r w:rsidRPr="000D4127">
              <w:rPr>
                <w:bCs/>
                <w:sz w:val="22"/>
                <w:szCs w:val="22"/>
                <w:lang w:eastAsia="en-US"/>
              </w:rPr>
              <w:t>014 Oceniteľné práva</w:t>
            </w:r>
            <w:r w:rsidR="002F5B65">
              <w:rPr>
                <w:bCs/>
                <w:sz w:val="22"/>
                <w:szCs w:val="22"/>
                <w:lang w:eastAsia="en-US"/>
              </w:rPr>
              <w:t xml:space="preserve"> </w:t>
            </w:r>
          </w:p>
        </w:tc>
        <w:tc>
          <w:tcPr>
            <w:tcW w:w="3317" w:type="dxa"/>
          </w:tcPr>
          <w:p w:rsidR="00451724" w:rsidRPr="00A47BA5" w:rsidRDefault="00AF1366" w:rsidP="00854ACF">
            <w:pPr>
              <w:ind w:right="71"/>
              <w:jc w:val="center"/>
              <w:rPr>
                <w:bCs/>
                <w:sz w:val="22"/>
                <w:szCs w:val="22"/>
                <w:lang w:eastAsia="en-US"/>
              </w:rPr>
            </w:pPr>
            <w:r>
              <w:rPr>
                <w:bCs/>
                <w:sz w:val="22"/>
                <w:szCs w:val="22"/>
                <w:lang w:eastAsia="en-US"/>
              </w:rPr>
              <w:t>5/50</w:t>
            </w:r>
          </w:p>
        </w:tc>
        <w:tc>
          <w:tcPr>
            <w:tcW w:w="2139" w:type="dxa"/>
          </w:tcPr>
          <w:p w:rsidR="00451724" w:rsidRPr="00A47BA5" w:rsidRDefault="00A47BA5" w:rsidP="00854ACF">
            <w:pPr>
              <w:ind w:right="71"/>
              <w:jc w:val="both"/>
              <w:rPr>
                <w:bCs/>
                <w:sz w:val="22"/>
                <w:szCs w:val="22"/>
                <w:lang w:eastAsia="en-US"/>
              </w:rPr>
            </w:pPr>
            <w:r w:rsidRPr="00A47BA5">
              <w:rPr>
                <w:bCs/>
                <w:sz w:val="22"/>
                <w:szCs w:val="22"/>
                <w:lang w:eastAsia="en-US"/>
              </w:rPr>
              <w:t xml:space="preserve">     </w:t>
            </w:r>
            <w:r w:rsidR="00A56340">
              <w:rPr>
                <w:bCs/>
                <w:sz w:val="22"/>
                <w:szCs w:val="22"/>
                <w:lang w:eastAsia="en-US"/>
              </w:rPr>
              <w:t xml:space="preserve">  </w:t>
            </w:r>
            <w:r w:rsidRPr="00A47BA5">
              <w:rPr>
                <w:bCs/>
                <w:sz w:val="22"/>
                <w:szCs w:val="22"/>
                <w:lang w:eastAsia="en-US"/>
              </w:rPr>
              <w:t xml:space="preserve">    lineárna</w:t>
            </w:r>
          </w:p>
        </w:tc>
      </w:tr>
    </w:tbl>
    <w:p w:rsidR="00451724" w:rsidRPr="00A02A84" w:rsidRDefault="00451724" w:rsidP="00451724">
      <w:pPr>
        <w:ind w:left="360"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lastRenderedPageBreak/>
        <w:t>Dlhodobý hmotný majetok</w:t>
      </w:r>
    </w:p>
    <w:p w:rsidR="00451724" w:rsidRPr="00A02A84" w:rsidRDefault="00451724" w:rsidP="00451724">
      <w:pPr>
        <w:ind w:left="360" w:right="71"/>
        <w:jc w:val="both"/>
        <w:rPr>
          <w:b/>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 xml:space="preserve">Dlhodobý hmotný majetok  nakupovaný sa oceňuje obstarávacou cenou, ktorá zahŕňa cenu obstarania a náklady súvisiace s obstaraním (clo, prepravu, montáž, poistné a pod.) </w:t>
      </w:r>
    </w:p>
    <w:p w:rsidR="00DC448F" w:rsidRPr="00A02A84" w:rsidRDefault="00DC448F" w:rsidP="00210082">
      <w:pPr>
        <w:ind w:right="71"/>
        <w:jc w:val="both"/>
        <w:rPr>
          <w:bCs/>
          <w:sz w:val="22"/>
          <w:szCs w:val="22"/>
          <w:lang w:eastAsia="en-US"/>
        </w:rPr>
      </w:pPr>
    </w:p>
    <w:p w:rsidR="00451724" w:rsidRPr="00A02A84" w:rsidRDefault="00DC448F" w:rsidP="00643A30">
      <w:pPr>
        <w:ind w:right="71"/>
        <w:jc w:val="both"/>
        <w:rPr>
          <w:bCs/>
          <w:sz w:val="22"/>
          <w:szCs w:val="22"/>
          <w:lang w:eastAsia="en-US"/>
        </w:rPr>
      </w:pPr>
      <w:r w:rsidRPr="00A02A84">
        <w:rPr>
          <w:bCs/>
          <w:sz w:val="22"/>
          <w:szCs w:val="22"/>
          <w:lang w:eastAsia="en-US"/>
        </w:rPr>
        <w:t xml:space="preserve">Dlhodobý hmotný </w:t>
      </w:r>
      <w:r w:rsidR="005504D1" w:rsidRPr="00A02A84">
        <w:rPr>
          <w:bCs/>
          <w:sz w:val="22"/>
          <w:szCs w:val="22"/>
          <w:lang w:eastAsia="en-US"/>
        </w:rPr>
        <w:t xml:space="preserve">nehnuteľný </w:t>
      </w:r>
      <w:r w:rsidRPr="00A02A84">
        <w:rPr>
          <w:bCs/>
          <w:sz w:val="22"/>
          <w:szCs w:val="22"/>
          <w:lang w:eastAsia="en-US"/>
        </w:rPr>
        <w:t>majetok, ktorý spoločnosť prevzala k 1.</w:t>
      </w:r>
      <w:r w:rsidR="00E61916" w:rsidRPr="00A02A84">
        <w:rPr>
          <w:bCs/>
          <w:sz w:val="22"/>
          <w:szCs w:val="22"/>
          <w:lang w:eastAsia="en-US"/>
        </w:rPr>
        <w:t>1.</w:t>
      </w:r>
      <w:r w:rsidRPr="00A02A84">
        <w:rPr>
          <w:bCs/>
          <w:sz w:val="22"/>
          <w:szCs w:val="22"/>
          <w:lang w:eastAsia="en-US"/>
        </w:rPr>
        <w:t xml:space="preserve">2016 zlúčením so spoločnosťou BPM s.r.o., so sídlom Timravy 12, Banská Bystrica, </w:t>
      </w:r>
      <w:r w:rsidR="005504D1" w:rsidRPr="00A02A84">
        <w:rPr>
          <w:bCs/>
          <w:sz w:val="22"/>
          <w:szCs w:val="22"/>
          <w:lang w:eastAsia="en-US"/>
        </w:rPr>
        <w:t>ako právny nástupca daňovníka zrušeného bez likvidácie, bol ocenený na reálne hodnoty.</w:t>
      </w:r>
      <w:r w:rsidR="00643A30" w:rsidRPr="00A02A84">
        <w:rPr>
          <w:bCs/>
          <w:sz w:val="22"/>
          <w:szCs w:val="22"/>
          <w:lang w:eastAsia="en-US"/>
        </w:rPr>
        <w:t xml:space="preserve"> Hnuteľný majetok bol ocenený podľa smernice k preceneniu majetku.</w:t>
      </w:r>
    </w:p>
    <w:p w:rsidR="00643A30" w:rsidRPr="00A02A84" w:rsidRDefault="00643A30" w:rsidP="00643A30">
      <w:pPr>
        <w:ind w:right="71"/>
        <w:jc w:val="both"/>
        <w:rPr>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 xml:space="preserve">Do dlhodobého hmotného majetku patrí majetok, ku ktorému má účtovná jednotka vlastnícke právo. </w:t>
      </w:r>
    </w:p>
    <w:p w:rsidR="00451724" w:rsidRPr="00A02A84" w:rsidRDefault="00451724" w:rsidP="00A17E35">
      <w:pPr>
        <w:ind w:left="284" w:right="71"/>
        <w:jc w:val="both"/>
        <w:rPr>
          <w:bCs/>
          <w:sz w:val="22"/>
          <w:szCs w:val="22"/>
          <w:lang w:eastAsia="en-US"/>
        </w:rPr>
      </w:pPr>
    </w:p>
    <w:p w:rsidR="00643A30" w:rsidRPr="00A02A84" w:rsidRDefault="00D83F46" w:rsidP="00210082">
      <w:pPr>
        <w:ind w:right="71"/>
        <w:jc w:val="both"/>
        <w:rPr>
          <w:bCs/>
          <w:sz w:val="22"/>
          <w:szCs w:val="22"/>
        </w:rPr>
      </w:pPr>
      <w:r w:rsidRPr="00A02A84">
        <w:rPr>
          <w:bCs/>
          <w:sz w:val="22"/>
          <w:szCs w:val="22"/>
        </w:rPr>
        <w:t xml:space="preserve">Odpisy dlhodobého hmotného majetku sú stanovené podľa predpokladanej doby jeho používania a predpokladaného priebehu jeho opotrebovania.  Odpisovať sa začne v mesiaci </w:t>
      </w:r>
      <w:r w:rsidR="00CF4F1F" w:rsidRPr="00A02A84">
        <w:rPr>
          <w:bCs/>
          <w:sz w:val="22"/>
          <w:szCs w:val="22"/>
        </w:rPr>
        <w:t xml:space="preserve">zaradenia </w:t>
      </w:r>
      <w:r w:rsidRPr="00A02A84">
        <w:rPr>
          <w:bCs/>
          <w:sz w:val="22"/>
          <w:szCs w:val="22"/>
        </w:rPr>
        <w:t xml:space="preserve"> dlhodobého hmotného majetku do používania. Pozemky, umelecké diela a zbierky sa neodpisujú. </w:t>
      </w:r>
      <w:r w:rsidR="00643A30" w:rsidRPr="00A02A84">
        <w:rPr>
          <w:bCs/>
          <w:sz w:val="22"/>
          <w:szCs w:val="22"/>
        </w:rPr>
        <w:t>Majetok nadobudnutý zlúčením sa považuje za nový majetok.</w:t>
      </w:r>
    </w:p>
    <w:p w:rsidR="00210082" w:rsidRPr="00A02A84" w:rsidRDefault="00210082" w:rsidP="00210082">
      <w:pPr>
        <w:tabs>
          <w:tab w:val="left" w:pos="0"/>
        </w:tabs>
        <w:ind w:right="71"/>
        <w:jc w:val="both"/>
        <w:rPr>
          <w:bCs/>
          <w:sz w:val="22"/>
          <w:szCs w:val="22"/>
        </w:rPr>
      </w:pPr>
    </w:p>
    <w:p w:rsidR="00D83F46" w:rsidRPr="00A02A84" w:rsidRDefault="00D83F46" w:rsidP="00210082">
      <w:pPr>
        <w:tabs>
          <w:tab w:val="left" w:pos="0"/>
        </w:tabs>
        <w:ind w:right="71"/>
        <w:jc w:val="both"/>
        <w:rPr>
          <w:bCs/>
          <w:sz w:val="22"/>
          <w:szCs w:val="22"/>
        </w:rPr>
      </w:pPr>
      <w:r w:rsidRPr="00A02A84">
        <w:rPr>
          <w:bCs/>
          <w:sz w:val="22"/>
          <w:szCs w:val="22"/>
        </w:rPr>
        <w:t xml:space="preserve">Dlhodobý hmotný majetok </w:t>
      </w:r>
      <w:r w:rsidR="00CF4F1F" w:rsidRPr="00A02A84">
        <w:rPr>
          <w:bCs/>
          <w:sz w:val="22"/>
          <w:szCs w:val="22"/>
        </w:rPr>
        <w:t>sa</w:t>
      </w:r>
      <w:r w:rsidRPr="00A02A84">
        <w:rPr>
          <w:bCs/>
          <w:sz w:val="22"/>
          <w:szCs w:val="22"/>
        </w:rPr>
        <w:t xml:space="preserve"> odpisuje</w:t>
      </w:r>
      <w:r w:rsidR="00CF4F1F" w:rsidRPr="00A02A84">
        <w:rPr>
          <w:bCs/>
          <w:sz w:val="22"/>
          <w:szCs w:val="22"/>
        </w:rPr>
        <w:t xml:space="preserve"> </w:t>
      </w:r>
      <w:r w:rsidRPr="00A02A84">
        <w:rPr>
          <w:bCs/>
          <w:sz w:val="22"/>
          <w:szCs w:val="22"/>
        </w:rPr>
        <w:t xml:space="preserve">rovnomerne podľa ročnej odpisovej sadzby v zmysle   ročného odpisového plánu. O odpisoch </w:t>
      </w:r>
      <w:r w:rsidR="008B73FB" w:rsidRPr="00A02A84">
        <w:rPr>
          <w:bCs/>
          <w:sz w:val="22"/>
          <w:szCs w:val="22"/>
        </w:rPr>
        <w:t xml:space="preserve">sa </w:t>
      </w:r>
      <w:r w:rsidRPr="00A02A84">
        <w:rPr>
          <w:bCs/>
          <w:sz w:val="22"/>
          <w:szCs w:val="22"/>
        </w:rPr>
        <w:t>účtuje mesačne.</w:t>
      </w:r>
    </w:p>
    <w:p w:rsidR="00D83F46" w:rsidRPr="00A02A84" w:rsidRDefault="00D83F46" w:rsidP="00D83F46">
      <w:pPr>
        <w:ind w:right="71"/>
        <w:jc w:val="both"/>
        <w:rPr>
          <w:bCs/>
          <w:sz w:val="22"/>
          <w:szCs w:val="22"/>
        </w:rPr>
      </w:pPr>
    </w:p>
    <w:tbl>
      <w:tblPr>
        <w:tblW w:w="9000" w:type="dxa"/>
        <w:tblInd w:w="70" w:type="dxa"/>
        <w:tblCellMar>
          <w:left w:w="70" w:type="dxa"/>
          <w:right w:w="70" w:type="dxa"/>
        </w:tblCellMar>
        <w:tblLook w:val="0000" w:firstRow="0" w:lastRow="0" w:firstColumn="0" w:lastColumn="0" w:noHBand="0" w:noVBand="0"/>
      </w:tblPr>
      <w:tblGrid>
        <w:gridCol w:w="1701"/>
        <w:gridCol w:w="3119"/>
        <w:gridCol w:w="2410"/>
        <w:gridCol w:w="1770"/>
      </w:tblGrid>
      <w:tr w:rsidR="00451724" w:rsidRPr="00A02A84">
        <w:trPr>
          <w:trHeight w:val="255"/>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1724" w:rsidRPr="000918A0" w:rsidRDefault="006F6027" w:rsidP="00DC3026">
            <w:pPr>
              <w:rPr>
                <w:b/>
                <w:bCs/>
                <w:sz w:val="22"/>
                <w:szCs w:val="22"/>
              </w:rPr>
            </w:pPr>
            <w:r w:rsidRPr="000918A0">
              <w:rPr>
                <w:b/>
                <w:bCs/>
                <w:sz w:val="22"/>
                <w:szCs w:val="22"/>
              </w:rPr>
              <w:t>Účet majetku</w:t>
            </w:r>
          </w:p>
        </w:tc>
        <w:tc>
          <w:tcPr>
            <w:tcW w:w="3119" w:type="dxa"/>
            <w:tcBorders>
              <w:top w:val="single" w:sz="4" w:space="0" w:color="auto"/>
              <w:left w:val="nil"/>
              <w:bottom w:val="single" w:sz="4" w:space="0" w:color="auto"/>
              <w:right w:val="single" w:sz="4" w:space="0" w:color="auto"/>
            </w:tcBorders>
            <w:shd w:val="clear" w:color="auto" w:fill="auto"/>
            <w:noWrap/>
            <w:vAlign w:val="bottom"/>
          </w:tcPr>
          <w:p w:rsidR="00451724" w:rsidRPr="000918A0" w:rsidRDefault="006F6027" w:rsidP="00DC3026">
            <w:pPr>
              <w:rPr>
                <w:b/>
                <w:bCs/>
                <w:sz w:val="22"/>
                <w:szCs w:val="22"/>
              </w:rPr>
            </w:pPr>
            <w:r w:rsidRPr="000918A0">
              <w:rPr>
                <w:b/>
                <w:bCs/>
                <w:sz w:val="22"/>
                <w:szCs w:val="22"/>
              </w:rPr>
              <w:t> </w:t>
            </w:r>
          </w:p>
        </w:tc>
        <w:tc>
          <w:tcPr>
            <w:tcW w:w="2410" w:type="dxa"/>
            <w:tcBorders>
              <w:top w:val="single" w:sz="4" w:space="0" w:color="auto"/>
              <w:left w:val="nil"/>
              <w:bottom w:val="single" w:sz="4" w:space="0" w:color="auto"/>
              <w:right w:val="single" w:sz="4" w:space="0" w:color="auto"/>
            </w:tcBorders>
            <w:shd w:val="clear" w:color="auto" w:fill="auto"/>
            <w:noWrap/>
            <w:vAlign w:val="bottom"/>
          </w:tcPr>
          <w:p w:rsidR="00451724" w:rsidRPr="000918A0" w:rsidRDefault="009346B9" w:rsidP="00DC3026">
            <w:pPr>
              <w:jc w:val="center"/>
              <w:rPr>
                <w:b/>
                <w:bCs/>
                <w:color w:val="FF0000"/>
                <w:sz w:val="22"/>
                <w:szCs w:val="22"/>
              </w:rPr>
            </w:pPr>
            <w:r w:rsidRPr="00667779">
              <w:rPr>
                <w:b/>
                <w:bCs/>
                <w:sz w:val="22"/>
                <w:szCs w:val="22"/>
                <w:lang w:eastAsia="en-US"/>
              </w:rPr>
              <w:t>Doba používania</w:t>
            </w:r>
          </w:p>
        </w:tc>
        <w:tc>
          <w:tcPr>
            <w:tcW w:w="1770" w:type="dxa"/>
            <w:tcBorders>
              <w:top w:val="single" w:sz="4" w:space="0" w:color="auto"/>
              <w:left w:val="nil"/>
              <w:bottom w:val="single" w:sz="4" w:space="0" w:color="auto"/>
              <w:right w:val="single" w:sz="4" w:space="0" w:color="auto"/>
            </w:tcBorders>
            <w:shd w:val="clear" w:color="auto" w:fill="auto"/>
            <w:noWrap/>
            <w:vAlign w:val="bottom"/>
          </w:tcPr>
          <w:p w:rsidR="00451724" w:rsidRPr="000918A0" w:rsidRDefault="006F6027" w:rsidP="00A17E35">
            <w:pPr>
              <w:jc w:val="center"/>
              <w:rPr>
                <w:b/>
                <w:bCs/>
                <w:sz w:val="22"/>
                <w:szCs w:val="22"/>
              </w:rPr>
            </w:pPr>
            <w:r w:rsidRPr="000918A0">
              <w:rPr>
                <w:b/>
                <w:bCs/>
                <w:sz w:val="22"/>
                <w:szCs w:val="22"/>
              </w:rPr>
              <w:t>Metóda odpisovania</w:t>
            </w:r>
          </w:p>
        </w:tc>
      </w:tr>
      <w:tr w:rsidR="008B73FB"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8B73FB" w:rsidRPr="000918A0" w:rsidRDefault="006F6027" w:rsidP="00DC3026">
            <w:pPr>
              <w:rPr>
                <w:sz w:val="22"/>
                <w:szCs w:val="22"/>
              </w:rPr>
            </w:pPr>
            <w:r w:rsidRPr="000918A0">
              <w:rPr>
                <w:sz w:val="22"/>
                <w:szCs w:val="22"/>
              </w:rPr>
              <w:t>021</w:t>
            </w:r>
          </w:p>
        </w:tc>
        <w:tc>
          <w:tcPr>
            <w:tcW w:w="3119"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rPr>
                <w:sz w:val="22"/>
                <w:szCs w:val="22"/>
              </w:rPr>
            </w:pPr>
            <w:r w:rsidRPr="000918A0">
              <w:rPr>
                <w:sz w:val="22"/>
                <w:szCs w:val="22"/>
              </w:rPr>
              <w:t>Budovy, haly a stavby</w:t>
            </w:r>
          </w:p>
        </w:tc>
        <w:tc>
          <w:tcPr>
            <w:tcW w:w="2410"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jc w:val="center"/>
              <w:rPr>
                <w:sz w:val="22"/>
                <w:szCs w:val="22"/>
              </w:rPr>
            </w:pPr>
            <w:r w:rsidRPr="000918A0">
              <w:rPr>
                <w:sz w:val="22"/>
                <w:szCs w:val="22"/>
              </w:rPr>
              <w:t>20</w:t>
            </w:r>
          </w:p>
        </w:tc>
        <w:tc>
          <w:tcPr>
            <w:tcW w:w="1770"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jc w:val="center"/>
              <w:rPr>
                <w:sz w:val="22"/>
                <w:szCs w:val="22"/>
              </w:rPr>
            </w:pPr>
            <w:r w:rsidRPr="000918A0">
              <w:rPr>
                <w:sz w:val="22"/>
                <w:szCs w:val="22"/>
              </w:rPr>
              <w:t>lineárna</w:t>
            </w:r>
          </w:p>
        </w:tc>
      </w:tr>
      <w:tr w:rsidR="00451724"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021</w:t>
            </w:r>
          </w:p>
        </w:tc>
        <w:tc>
          <w:tcPr>
            <w:tcW w:w="3119"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Budovy, haly a stavby</w:t>
            </w:r>
          </w:p>
        </w:tc>
        <w:tc>
          <w:tcPr>
            <w:tcW w:w="241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40</w:t>
            </w:r>
          </w:p>
        </w:tc>
        <w:tc>
          <w:tcPr>
            <w:tcW w:w="177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lineárna</w:t>
            </w:r>
          </w:p>
        </w:tc>
      </w:tr>
      <w:tr w:rsidR="00D83F46"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D83F46" w:rsidRPr="000918A0" w:rsidRDefault="006F6027" w:rsidP="00DC3026">
            <w:pPr>
              <w:rPr>
                <w:sz w:val="22"/>
                <w:szCs w:val="22"/>
              </w:rPr>
            </w:pPr>
            <w:r w:rsidRPr="000918A0">
              <w:rPr>
                <w:sz w:val="22"/>
                <w:szCs w:val="22"/>
              </w:rPr>
              <w:t>021</w:t>
            </w:r>
          </w:p>
        </w:tc>
        <w:tc>
          <w:tcPr>
            <w:tcW w:w="3119" w:type="dxa"/>
            <w:tcBorders>
              <w:top w:val="nil"/>
              <w:left w:val="nil"/>
              <w:bottom w:val="single" w:sz="4" w:space="0" w:color="auto"/>
              <w:right w:val="single" w:sz="4" w:space="0" w:color="auto"/>
            </w:tcBorders>
            <w:shd w:val="clear" w:color="auto" w:fill="auto"/>
            <w:noWrap/>
            <w:vAlign w:val="bottom"/>
          </w:tcPr>
          <w:p w:rsidR="00D83F46" w:rsidRPr="000918A0" w:rsidRDefault="006F6027" w:rsidP="00DC3026">
            <w:pPr>
              <w:rPr>
                <w:sz w:val="22"/>
                <w:szCs w:val="22"/>
              </w:rPr>
            </w:pPr>
            <w:r w:rsidRPr="000918A0">
              <w:rPr>
                <w:sz w:val="22"/>
                <w:szCs w:val="22"/>
              </w:rPr>
              <w:t>Inžinierske siete</w:t>
            </w:r>
          </w:p>
        </w:tc>
        <w:tc>
          <w:tcPr>
            <w:tcW w:w="2410" w:type="dxa"/>
            <w:tcBorders>
              <w:top w:val="nil"/>
              <w:left w:val="nil"/>
              <w:bottom w:val="single" w:sz="4" w:space="0" w:color="auto"/>
              <w:right w:val="single" w:sz="4" w:space="0" w:color="auto"/>
            </w:tcBorders>
            <w:shd w:val="clear" w:color="auto" w:fill="auto"/>
            <w:noWrap/>
            <w:vAlign w:val="bottom"/>
          </w:tcPr>
          <w:p w:rsidR="00D83F46" w:rsidRPr="000918A0" w:rsidRDefault="006F6027" w:rsidP="00DC3026">
            <w:pPr>
              <w:jc w:val="center"/>
              <w:rPr>
                <w:sz w:val="22"/>
                <w:szCs w:val="22"/>
              </w:rPr>
            </w:pPr>
            <w:r w:rsidRPr="000918A0">
              <w:rPr>
                <w:sz w:val="22"/>
                <w:szCs w:val="22"/>
              </w:rPr>
              <w:t>50</w:t>
            </w:r>
          </w:p>
        </w:tc>
        <w:tc>
          <w:tcPr>
            <w:tcW w:w="1770" w:type="dxa"/>
            <w:tcBorders>
              <w:top w:val="nil"/>
              <w:left w:val="nil"/>
              <w:bottom w:val="single" w:sz="4" w:space="0" w:color="auto"/>
              <w:right w:val="single" w:sz="4" w:space="0" w:color="auto"/>
            </w:tcBorders>
            <w:shd w:val="clear" w:color="auto" w:fill="auto"/>
            <w:noWrap/>
            <w:vAlign w:val="bottom"/>
          </w:tcPr>
          <w:p w:rsidR="00D83F46" w:rsidRPr="000918A0" w:rsidRDefault="006F6027" w:rsidP="00DC3026">
            <w:pPr>
              <w:jc w:val="center"/>
              <w:rPr>
                <w:sz w:val="22"/>
                <w:szCs w:val="22"/>
              </w:rPr>
            </w:pPr>
            <w:r w:rsidRPr="000918A0">
              <w:rPr>
                <w:sz w:val="22"/>
                <w:szCs w:val="22"/>
              </w:rPr>
              <w:t>lineárna</w:t>
            </w:r>
          </w:p>
        </w:tc>
      </w:tr>
      <w:tr w:rsidR="008B73FB"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8B73FB" w:rsidRPr="000918A0" w:rsidRDefault="006F6027" w:rsidP="00DC3026">
            <w:pPr>
              <w:rPr>
                <w:sz w:val="22"/>
                <w:szCs w:val="22"/>
              </w:rPr>
            </w:pPr>
            <w:r w:rsidRPr="000918A0">
              <w:rPr>
                <w:sz w:val="22"/>
                <w:szCs w:val="22"/>
              </w:rPr>
              <w:t>021</w:t>
            </w:r>
          </w:p>
        </w:tc>
        <w:tc>
          <w:tcPr>
            <w:tcW w:w="3119"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rPr>
                <w:sz w:val="22"/>
                <w:szCs w:val="22"/>
              </w:rPr>
            </w:pPr>
            <w:r w:rsidRPr="000918A0">
              <w:rPr>
                <w:sz w:val="22"/>
                <w:szCs w:val="22"/>
              </w:rPr>
              <w:t>Drobné stavby</w:t>
            </w:r>
          </w:p>
        </w:tc>
        <w:tc>
          <w:tcPr>
            <w:tcW w:w="2410"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jc w:val="center"/>
              <w:rPr>
                <w:sz w:val="22"/>
                <w:szCs w:val="22"/>
              </w:rPr>
            </w:pPr>
            <w:r w:rsidRPr="000918A0">
              <w:rPr>
                <w:sz w:val="22"/>
                <w:szCs w:val="22"/>
              </w:rPr>
              <w:t>12</w:t>
            </w:r>
          </w:p>
        </w:tc>
        <w:tc>
          <w:tcPr>
            <w:tcW w:w="1770" w:type="dxa"/>
            <w:tcBorders>
              <w:top w:val="nil"/>
              <w:left w:val="nil"/>
              <w:bottom w:val="single" w:sz="4" w:space="0" w:color="auto"/>
              <w:right w:val="single" w:sz="4" w:space="0" w:color="auto"/>
            </w:tcBorders>
            <w:shd w:val="clear" w:color="auto" w:fill="auto"/>
            <w:noWrap/>
            <w:vAlign w:val="bottom"/>
          </w:tcPr>
          <w:p w:rsidR="008B73FB" w:rsidRPr="000918A0" w:rsidRDefault="006F6027" w:rsidP="00DC3026">
            <w:pPr>
              <w:jc w:val="center"/>
              <w:rPr>
                <w:sz w:val="22"/>
                <w:szCs w:val="22"/>
              </w:rPr>
            </w:pPr>
            <w:r w:rsidRPr="000918A0">
              <w:rPr>
                <w:sz w:val="22"/>
                <w:szCs w:val="22"/>
              </w:rPr>
              <w:t>lineárna</w:t>
            </w:r>
          </w:p>
        </w:tc>
      </w:tr>
      <w:tr w:rsidR="00451724"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Stroje, prístroje a zariadenia</w:t>
            </w:r>
          </w:p>
        </w:tc>
        <w:tc>
          <w:tcPr>
            <w:tcW w:w="241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4 / 5/ 6 / 12</w:t>
            </w:r>
          </w:p>
        </w:tc>
        <w:tc>
          <w:tcPr>
            <w:tcW w:w="177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lineárna</w:t>
            </w:r>
          </w:p>
        </w:tc>
      </w:tr>
      <w:tr w:rsidR="00451724"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 xml:space="preserve">Dopravné prostriedky </w:t>
            </w:r>
          </w:p>
        </w:tc>
        <w:tc>
          <w:tcPr>
            <w:tcW w:w="241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4/5</w:t>
            </w:r>
          </w:p>
        </w:tc>
        <w:tc>
          <w:tcPr>
            <w:tcW w:w="177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lineárna</w:t>
            </w:r>
          </w:p>
        </w:tc>
      </w:tr>
      <w:tr w:rsidR="00451724" w:rsidRPr="00A02A84">
        <w:trPr>
          <w:trHeight w:val="255"/>
        </w:trPr>
        <w:tc>
          <w:tcPr>
            <w:tcW w:w="1701" w:type="dxa"/>
            <w:tcBorders>
              <w:top w:val="nil"/>
              <w:left w:val="single" w:sz="4" w:space="0" w:color="auto"/>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rPr>
                <w:sz w:val="22"/>
                <w:szCs w:val="22"/>
              </w:rPr>
            </w:pPr>
            <w:r w:rsidRPr="000918A0">
              <w:rPr>
                <w:sz w:val="22"/>
                <w:szCs w:val="22"/>
              </w:rPr>
              <w:t>Inventár</w:t>
            </w:r>
          </w:p>
        </w:tc>
        <w:tc>
          <w:tcPr>
            <w:tcW w:w="241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6</w:t>
            </w:r>
          </w:p>
        </w:tc>
        <w:tc>
          <w:tcPr>
            <w:tcW w:w="1770" w:type="dxa"/>
            <w:tcBorders>
              <w:top w:val="nil"/>
              <w:left w:val="nil"/>
              <w:bottom w:val="single" w:sz="4" w:space="0" w:color="auto"/>
              <w:right w:val="single" w:sz="4" w:space="0" w:color="auto"/>
            </w:tcBorders>
            <w:shd w:val="clear" w:color="auto" w:fill="auto"/>
            <w:noWrap/>
            <w:vAlign w:val="bottom"/>
          </w:tcPr>
          <w:p w:rsidR="00451724" w:rsidRPr="000918A0" w:rsidRDefault="006F6027" w:rsidP="00DC3026">
            <w:pPr>
              <w:jc w:val="center"/>
              <w:rPr>
                <w:sz w:val="22"/>
                <w:szCs w:val="22"/>
              </w:rPr>
            </w:pPr>
            <w:r w:rsidRPr="000918A0">
              <w:rPr>
                <w:sz w:val="22"/>
                <w:szCs w:val="22"/>
              </w:rPr>
              <w:t>lineárna</w:t>
            </w:r>
          </w:p>
        </w:tc>
      </w:tr>
    </w:tbl>
    <w:p w:rsidR="00451724" w:rsidRPr="00A02A84" w:rsidRDefault="00451724" w:rsidP="00451724">
      <w:pPr>
        <w:ind w:left="360" w:right="71"/>
        <w:jc w:val="both"/>
        <w:rPr>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Odhadovaná  doba životnosti a odpisový plán sú prehodnotené na konci každého účtovného obdobia.</w:t>
      </w:r>
    </w:p>
    <w:p w:rsidR="004F4AD0" w:rsidRPr="00A02A84" w:rsidRDefault="004F4AD0" w:rsidP="00A17E35">
      <w:pPr>
        <w:ind w:left="284" w:right="71"/>
        <w:jc w:val="both"/>
        <w:rPr>
          <w:bCs/>
          <w:sz w:val="22"/>
          <w:szCs w:val="22"/>
          <w:lang w:eastAsia="en-US"/>
        </w:rPr>
      </w:pPr>
    </w:p>
    <w:p w:rsidR="004F4AD0" w:rsidRPr="00A02A84" w:rsidRDefault="004F4AD0" w:rsidP="00210082">
      <w:pPr>
        <w:ind w:right="71"/>
        <w:jc w:val="both"/>
        <w:rPr>
          <w:bCs/>
          <w:sz w:val="22"/>
          <w:szCs w:val="22"/>
          <w:lang w:eastAsia="en-US"/>
        </w:rPr>
      </w:pPr>
      <w:r w:rsidRPr="00A02A84">
        <w:rPr>
          <w:bCs/>
          <w:sz w:val="22"/>
          <w:szCs w:val="22"/>
          <w:lang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51724" w:rsidRPr="00A02A84" w:rsidRDefault="00451724" w:rsidP="00A17E35">
      <w:pPr>
        <w:ind w:left="284" w:right="71"/>
        <w:jc w:val="both"/>
        <w:rPr>
          <w:bCs/>
          <w:sz w:val="22"/>
          <w:szCs w:val="22"/>
          <w:lang w:eastAsia="en-US"/>
        </w:rPr>
      </w:pPr>
    </w:p>
    <w:p w:rsidR="00451724" w:rsidRDefault="00451724" w:rsidP="00210082">
      <w:pPr>
        <w:ind w:right="71"/>
        <w:jc w:val="both"/>
        <w:rPr>
          <w:bCs/>
          <w:sz w:val="22"/>
          <w:szCs w:val="22"/>
          <w:lang w:eastAsia="en-US"/>
        </w:rPr>
      </w:pPr>
      <w:r w:rsidRPr="00A02A84">
        <w:rPr>
          <w:bCs/>
          <w:sz w:val="22"/>
          <w:szCs w:val="22"/>
          <w:lang w:eastAsia="en-US"/>
        </w:rPr>
        <w:t>Technické zhodnotenie dlhodobého hmotného majetku nie je technickým zhodnotením, ak neprevyšuje úhrne za účtovné obdobie sumu 1700 eur.</w:t>
      </w:r>
    </w:p>
    <w:p w:rsidR="003B5429" w:rsidRDefault="003B5429" w:rsidP="00210082">
      <w:pPr>
        <w:ind w:right="71"/>
        <w:jc w:val="both"/>
        <w:rPr>
          <w:bCs/>
          <w:sz w:val="22"/>
          <w:szCs w:val="22"/>
          <w:lang w:eastAsia="en-US"/>
        </w:rPr>
      </w:pPr>
    </w:p>
    <w:p w:rsidR="009346B9" w:rsidRPr="000918A0" w:rsidRDefault="006F6027" w:rsidP="000918A0">
      <w:pPr>
        <w:ind w:right="71"/>
        <w:jc w:val="both"/>
        <w:rPr>
          <w:bCs/>
          <w:sz w:val="22"/>
          <w:szCs w:val="22"/>
          <w:lang w:eastAsia="en-US"/>
        </w:rPr>
      </w:pPr>
      <w:r w:rsidRPr="000918A0">
        <w:rPr>
          <w:bCs/>
          <w:sz w:val="22"/>
          <w:szCs w:val="22"/>
          <w:lang w:eastAsia="en-US"/>
        </w:rPr>
        <w:t>Daňové odpisy sa uplatňujú podľa sadzieb uvedených v zákone o dani z príjmov platných pre rovnomerné odpisovanie.</w:t>
      </w:r>
    </w:p>
    <w:p w:rsidR="003B5429" w:rsidRDefault="003B5429" w:rsidP="004F4AD0">
      <w:pPr>
        <w:ind w:right="71"/>
        <w:jc w:val="both"/>
        <w:rPr>
          <w:bCs/>
          <w:sz w:val="22"/>
          <w:szCs w:val="22"/>
          <w:lang w:eastAsia="en-US"/>
        </w:rPr>
      </w:pPr>
    </w:p>
    <w:p w:rsidR="00A83011" w:rsidRDefault="00A83011" w:rsidP="004F4AD0">
      <w:pPr>
        <w:ind w:right="71"/>
        <w:jc w:val="both"/>
        <w:rPr>
          <w:bCs/>
          <w:sz w:val="22"/>
          <w:szCs w:val="22"/>
          <w:lang w:eastAsia="en-US"/>
        </w:rPr>
      </w:pPr>
      <w:r>
        <w:rPr>
          <w:bCs/>
          <w:sz w:val="22"/>
          <w:szCs w:val="22"/>
          <w:lang w:eastAsia="en-US"/>
        </w:rPr>
        <w:t>Spoločnosť</w:t>
      </w:r>
      <w:r w:rsidR="00583143">
        <w:rPr>
          <w:bCs/>
          <w:sz w:val="22"/>
          <w:szCs w:val="22"/>
          <w:lang w:eastAsia="en-US"/>
        </w:rPr>
        <w:t xml:space="preserve"> v roku 2017</w:t>
      </w:r>
      <w:r>
        <w:rPr>
          <w:bCs/>
          <w:sz w:val="22"/>
          <w:szCs w:val="22"/>
          <w:lang w:eastAsia="en-US"/>
        </w:rPr>
        <w:t xml:space="preserve"> tvorila opravnú položku k dlhodobému hmotnému majetku. Jedná sa o súbor nehnuteľností v lokalite Pršianska terasa. Pozemky, na ktorých sú vybudované rôzne inžinierske siete,</w:t>
      </w:r>
    </w:p>
    <w:p w:rsidR="004F4AD0" w:rsidRPr="00832B0B" w:rsidRDefault="00A83011" w:rsidP="004F4AD0">
      <w:pPr>
        <w:ind w:right="71"/>
        <w:jc w:val="both"/>
        <w:rPr>
          <w:bCs/>
          <w:color w:val="FF0000"/>
          <w:sz w:val="22"/>
          <w:szCs w:val="22"/>
          <w:lang w:eastAsia="en-US"/>
        </w:rPr>
      </w:pPr>
      <w:r>
        <w:rPr>
          <w:bCs/>
          <w:sz w:val="22"/>
          <w:szCs w:val="22"/>
          <w:lang w:eastAsia="en-US"/>
        </w:rPr>
        <w:t xml:space="preserve">najmä miestne komunikácie, chodníky, resp. kanalizačné, vodovodné, elektrické a plynové prípojky spoločnosť eviduje v obstarávacích cenách. Vzhľadom na ich charakter, využitie a možnosti prinášať spoločnosti ekonomické úžitky do budúcnosti </w:t>
      </w:r>
      <w:r w:rsidR="009346B9">
        <w:rPr>
          <w:bCs/>
          <w:sz w:val="22"/>
          <w:szCs w:val="22"/>
          <w:lang w:eastAsia="en-US"/>
        </w:rPr>
        <w:t>Spoločnosť v súlade</w:t>
      </w:r>
      <w:r w:rsidR="00166F7E">
        <w:rPr>
          <w:bCs/>
          <w:sz w:val="22"/>
          <w:szCs w:val="22"/>
          <w:lang w:eastAsia="en-US"/>
        </w:rPr>
        <w:t xml:space="preserve"> so zásadou opatrnosti </w:t>
      </w:r>
      <w:r w:rsidR="009346B9">
        <w:rPr>
          <w:bCs/>
          <w:sz w:val="22"/>
          <w:szCs w:val="22"/>
          <w:lang w:eastAsia="en-US"/>
        </w:rPr>
        <w:t>(</w:t>
      </w:r>
      <w:r w:rsidR="00166F7E">
        <w:rPr>
          <w:bCs/>
          <w:sz w:val="22"/>
          <w:szCs w:val="22"/>
          <w:lang w:eastAsia="en-US"/>
        </w:rPr>
        <w:t>§ 18 Postupov účtovania</w:t>
      </w:r>
      <w:r w:rsidR="009346B9">
        <w:rPr>
          <w:bCs/>
          <w:sz w:val="22"/>
          <w:szCs w:val="22"/>
          <w:lang w:eastAsia="en-US"/>
        </w:rPr>
        <w:t xml:space="preserve">) </w:t>
      </w:r>
      <w:r w:rsidR="00166F7E">
        <w:rPr>
          <w:bCs/>
          <w:sz w:val="22"/>
          <w:szCs w:val="22"/>
          <w:lang w:eastAsia="en-US"/>
        </w:rPr>
        <w:t xml:space="preserve"> tvorila opravn</w:t>
      </w:r>
      <w:r w:rsidR="009346B9">
        <w:rPr>
          <w:bCs/>
          <w:sz w:val="22"/>
          <w:szCs w:val="22"/>
          <w:lang w:eastAsia="en-US"/>
        </w:rPr>
        <w:t>ú položku</w:t>
      </w:r>
      <w:r w:rsidR="00166F7E" w:rsidRPr="00667779">
        <w:rPr>
          <w:bCs/>
          <w:sz w:val="22"/>
          <w:szCs w:val="22"/>
          <w:lang w:eastAsia="en-US"/>
        </w:rPr>
        <w:t>.</w:t>
      </w:r>
    </w:p>
    <w:p w:rsidR="00166F7E" w:rsidRPr="00A23DD4" w:rsidRDefault="00A23DD4" w:rsidP="00A17E35">
      <w:pPr>
        <w:ind w:right="71"/>
        <w:jc w:val="both"/>
        <w:rPr>
          <w:bCs/>
          <w:sz w:val="22"/>
          <w:szCs w:val="22"/>
          <w:lang w:eastAsia="en-US"/>
        </w:rPr>
      </w:pPr>
      <w:r>
        <w:rPr>
          <w:bCs/>
          <w:sz w:val="22"/>
          <w:szCs w:val="22"/>
          <w:lang w:eastAsia="en-US"/>
        </w:rPr>
        <w:t>Spoločnosť v roku 2021 rozp</w:t>
      </w:r>
      <w:r w:rsidR="00D01F30">
        <w:rPr>
          <w:bCs/>
          <w:sz w:val="22"/>
          <w:szCs w:val="22"/>
          <w:lang w:eastAsia="en-US"/>
        </w:rPr>
        <w:t>ustila opravnú položku v sume 162 247,52€  ( Nebytové priestory Medená) z dôvodu zaradenie nebytových priestorov do majetku.</w:t>
      </w:r>
    </w:p>
    <w:p w:rsidR="00CD63EC" w:rsidRDefault="00CD63EC" w:rsidP="00A17E35">
      <w:pPr>
        <w:ind w:right="71"/>
        <w:jc w:val="both"/>
        <w:rPr>
          <w:b/>
          <w:bCs/>
          <w:sz w:val="22"/>
          <w:szCs w:val="22"/>
          <w:lang w:eastAsia="en-US"/>
        </w:rPr>
      </w:pPr>
    </w:p>
    <w:p w:rsidR="00CD63EC" w:rsidRDefault="00CD63EC" w:rsidP="00A17E35">
      <w:pPr>
        <w:ind w:right="71"/>
        <w:jc w:val="both"/>
        <w:rPr>
          <w:b/>
          <w:bCs/>
          <w:sz w:val="22"/>
          <w:szCs w:val="22"/>
          <w:lang w:eastAsia="en-US"/>
        </w:rPr>
      </w:pPr>
    </w:p>
    <w:p w:rsidR="00747CFA" w:rsidRDefault="00747CFA" w:rsidP="00A17E35">
      <w:pPr>
        <w:ind w:right="71"/>
        <w:jc w:val="both"/>
        <w:rPr>
          <w:b/>
          <w:bCs/>
          <w:sz w:val="22"/>
          <w:szCs w:val="22"/>
          <w:lang w:eastAsia="en-US"/>
        </w:rPr>
      </w:pPr>
    </w:p>
    <w:p w:rsidR="00CD63EC" w:rsidRDefault="00CD63EC" w:rsidP="00A17E35">
      <w:pPr>
        <w:ind w:right="71"/>
        <w:jc w:val="both"/>
        <w:rPr>
          <w:b/>
          <w:bCs/>
          <w:sz w:val="22"/>
          <w:szCs w:val="22"/>
          <w:lang w:eastAsia="en-US"/>
        </w:rPr>
      </w:pPr>
    </w:p>
    <w:p w:rsidR="004F4AD0" w:rsidRPr="00A02A84" w:rsidRDefault="004F4AD0" w:rsidP="00A17E35">
      <w:pPr>
        <w:ind w:right="71"/>
        <w:jc w:val="both"/>
        <w:rPr>
          <w:b/>
          <w:bCs/>
          <w:sz w:val="22"/>
          <w:szCs w:val="22"/>
          <w:lang w:eastAsia="en-US"/>
        </w:rPr>
      </w:pPr>
      <w:r w:rsidRPr="00A02A84">
        <w:rPr>
          <w:b/>
          <w:bCs/>
          <w:sz w:val="22"/>
          <w:szCs w:val="22"/>
          <w:lang w:eastAsia="en-US"/>
        </w:rPr>
        <w:lastRenderedPageBreak/>
        <w:t>Cenné papiere a podiely</w:t>
      </w:r>
    </w:p>
    <w:p w:rsidR="00451724" w:rsidRPr="00A02A84" w:rsidRDefault="00451724" w:rsidP="00451724">
      <w:pPr>
        <w:ind w:right="71"/>
        <w:jc w:val="both"/>
        <w:rPr>
          <w:bCs/>
          <w:sz w:val="22"/>
          <w:szCs w:val="22"/>
          <w:lang w:eastAsia="en-US"/>
        </w:rPr>
      </w:pPr>
    </w:p>
    <w:p w:rsidR="004F4AD0" w:rsidRPr="00A02A84" w:rsidRDefault="004F4AD0" w:rsidP="00210082">
      <w:pPr>
        <w:ind w:right="71"/>
        <w:jc w:val="both"/>
        <w:rPr>
          <w:bCs/>
          <w:sz w:val="22"/>
          <w:szCs w:val="22"/>
          <w:lang w:eastAsia="en-US"/>
        </w:rPr>
      </w:pPr>
      <w:r w:rsidRPr="00A02A84">
        <w:rPr>
          <w:bCs/>
          <w:sz w:val="22"/>
          <w:szCs w:val="22"/>
          <w:lang w:eastAsia="en-US"/>
        </w:rPr>
        <w:t>Cenné papiere a podiely sa oceňujú pri nadobudnutí obstarávacou cenou, vrátane nákladov súvisiacich s obstaraním.</w:t>
      </w:r>
    </w:p>
    <w:p w:rsidR="004F4AD0" w:rsidRPr="00A02A84" w:rsidRDefault="004F4AD0" w:rsidP="00A17E35">
      <w:pPr>
        <w:ind w:left="284" w:right="71"/>
        <w:jc w:val="both"/>
        <w:rPr>
          <w:bCs/>
          <w:sz w:val="22"/>
          <w:szCs w:val="22"/>
          <w:lang w:eastAsia="en-US"/>
        </w:rPr>
      </w:pPr>
    </w:p>
    <w:p w:rsidR="004F4AD0" w:rsidRPr="00A02A84" w:rsidRDefault="004F4AD0" w:rsidP="00210082">
      <w:pPr>
        <w:ind w:right="71"/>
        <w:jc w:val="both"/>
        <w:rPr>
          <w:bCs/>
          <w:sz w:val="22"/>
          <w:szCs w:val="22"/>
          <w:lang w:eastAsia="en-US"/>
        </w:rPr>
      </w:pPr>
      <w:r w:rsidRPr="00A02A84">
        <w:rPr>
          <w:bCs/>
          <w:sz w:val="22"/>
          <w:szCs w:val="22"/>
          <w:lang w:eastAsia="en-US"/>
        </w:rPr>
        <w:t>Ku dňu, ku ktorému sa zostavuje účtovná závierka, sú cenné papiere a podiely ocenené reálnou hodnotou. Ak dôjde k zníženiu hodnoty podielu oproti jeho oceneniu v účtovníctve, vytvorí sa opravná položka.</w:t>
      </w:r>
    </w:p>
    <w:p w:rsidR="00451724" w:rsidRDefault="00451724" w:rsidP="00451724">
      <w:pPr>
        <w:ind w:right="71"/>
        <w:jc w:val="both"/>
        <w:rPr>
          <w:bCs/>
          <w:sz w:val="22"/>
          <w:szCs w:val="22"/>
          <w:lang w:eastAsia="en-US"/>
        </w:rPr>
      </w:pPr>
    </w:p>
    <w:p w:rsidR="008F0710" w:rsidRPr="00A02A84" w:rsidRDefault="008F0710" w:rsidP="00451724">
      <w:pPr>
        <w:ind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Zásoby</w:t>
      </w:r>
    </w:p>
    <w:p w:rsidR="00451724" w:rsidRDefault="00451724" w:rsidP="00451724">
      <w:pPr>
        <w:ind w:left="360" w:right="71"/>
        <w:jc w:val="both"/>
        <w:rPr>
          <w:bCs/>
          <w:sz w:val="22"/>
          <w:szCs w:val="22"/>
          <w:lang w:eastAsia="en-US"/>
        </w:rPr>
      </w:pPr>
    </w:p>
    <w:p w:rsidR="009346B9" w:rsidRPr="00667779" w:rsidRDefault="005A6969" w:rsidP="00755C6A">
      <w:pPr>
        <w:jc w:val="both"/>
        <w:rPr>
          <w:bCs/>
          <w:sz w:val="22"/>
          <w:szCs w:val="22"/>
          <w:lang w:eastAsia="en-US"/>
        </w:rPr>
      </w:pPr>
      <w:r w:rsidRPr="00667779">
        <w:rPr>
          <w:bCs/>
          <w:sz w:val="22"/>
          <w:szCs w:val="22"/>
          <w:lang w:eastAsia="en-US"/>
        </w:rPr>
        <w:t>Zásoby spoločnosti sú ocenené obstarávacími cenami, ktorých súčasťou je cena obstarania a náklady súvisiace s</w:t>
      </w:r>
      <w:r w:rsidR="00755C6A" w:rsidRPr="00667779">
        <w:rPr>
          <w:bCs/>
          <w:sz w:val="22"/>
          <w:szCs w:val="22"/>
          <w:lang w:eastAsia="en-US"/>
        </w:rPr>
        <w:t> </w:t>
      </w:r>
      <w:r w:rsidRPr="00667779">
        <w:rPr>
          <w:bCs/>
          <w:sz w:val="22"/>
          <w:szCs w:val="22"/>
          <w:lang w:eastAsia="en-US"/>
        </w:rPr>
        <w:t>obstaraním</w:t>
      </w:r>
      <w:r w:rsidR="00755C6A" w:rsidRPr="00667779">
        <w:rPr>
          <w:bCs/>
          <w:sz w:val="22"/>
          <w:szCs w:val="22"/>
          <w:lang w:eastAsia="en-US"/>
        </w:rPr>
        <w:t>, najmä náklady súvisiace s uvedením nehnuteľnosti do stavu spôsobilého na predaj (inžinierske siete).</w:t>
      </w:r>
    </w:p>
    <w:p w:rsidR="006F6ED5" w:rsidRDefault="006F6ED5" w:rsidP="00A17E35">
      <w:pPr>
        <w:ind w:left="284" w:right="71"/>
        <w:jc w:val="both"/>
        <w:rPr>
          <w:bCs/>
          <w:sz w:val="22"/>
          <w:szCs w:val="22"/>
          <w:lang w:eastAsia="en-US"/>
        </w:rPr>
      </w:pPr>
    </w:p>
    <w:p w:rsidR="00755C6A" w:rsidRPr="00A02A84" w:rsidRDefault="00755C6A" w:rsidP="00A17E35">
      <w:pPr>
        <w:ind w:left="284"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Pohľadávky</w:t>
      </w:r>
    </w:p>
    <w:p w:rsidR="00451724" w:rsidRPr="00A02A84" w:rsidRDefault="00451724" w:rsidP="00451724">
      <w:pPr>
        <w:ind w:right="71"/>
        <w:jc w:val="both"/>
        <w:rPr>
          <w:b/>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Pohľadávky</w:t>
      </w:r>
      <w:r w:rsidR="0058113B" w:rsidRPr="00A02A84">
        <w:rPr>
          <w:bCs/>
          <w:sz w:val="22"/>
          <w:szCs w:val="22"/>
          <w:lang w:eastAsia="en-US"/>
        </w:rPr>
        <w:t xml:space="preserve"> sa</w:t>
      </w:r>
      <w:r w:rsidRPr="00A02A84">
        <w:rPr>
          <w:bCs/>
          <w:sz w:val="22"/>
          <w:szCs w:val="22"/>
          <w:lang w:eastAsia="en-US"/>
        </w:rPr>
        <w:t xml:space="preserve"> pri ich vzniku oceňujú menovitou hodnotou. Zníženie ocenenia pohľadávok prostredníctvom tvorby opravných položiek sa tvorí k pochybným pohľadávkam a nevymožiteľným pohľadávkam.</w:t>
      </w:r>
    </w:p>
    <w:p w:rsidR="00451724" w:rsidRPr="00A02A84" w:rsidRDefault="00451724" w:rsidP="00A17E35">
      <w:pPr>
        <w:ind w:left="284" w:right="71"/>
        <w:jc w:val="both"/>
        <w:rPr>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03555D" w:rsidRPr="00A02A84" w:rsidRDefault="0003555D" w:rsidP="00A17E35">
      <w:pPr>
        <w:ind w:left="284" w:right="71"/>
        <w:jc w:val="both"/>
        <w:rPr>
          <w:bCs/>
          <w:sz w:val="22"/>
          <w:szCs w:val="22"/>
          <w:lang w:eastAsia="en-US"/>
        </w:rPr>
      </w:pPr>
    </w:p>
    <w:p w:rsidR="009346B9" w:rsidRDefault="00451724" w:rsidP="000918A0">
      <w:pPr>
        <w:ind w:right="71"/>
        <w:jc w:val="both"/>
        <w:rPr>
          <w:bCs/>
          <w:sz w:val="22"/>
          <w:szCs w:val="22"/>
          <w:lang w:eastAsia="en-US"/>
        </w:rPr>
      </w:pPr>
      <w:r w:rsidRPr="00A02A84">
        <w:rPr>
          <w:bCs/>
          <w:sz w:val="22"/>
          <w:szCs w:val="22"/>
          <w:lang w:eastAsia="en-US"/>
        </w:rPr>
        <w:t>Opravná položka na pohľadávky z obchodného styku sa vytvára vtedy, ak existuje objektívny dôkaz, že obchodná spoločnosť nebude schopná  zinkasovať všetky dlžné čiastky podľa pôvodných podmienok splatnosti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2F707C" w:rsidRPr="00A02A84" w:rsidRDefault="002F707C" w:rsidP="00210082">
      <w:pPr>
        <w:ind w:right="71"/>
        <w:jc w:val="both"/>
        <w:rPr>
          <w:bCs/>
          <w:sz w:val="22"/>
          <w:szCs w:val="22"/>
          <w:lang w:eastAsia="en-US"/>
        </w:rPr>
      </w:pPr>
      <w:r w:rsidRPr="00A02A84">
        <w:rPr>
          <w:bCs/>
          <w:sz w:val="22"/>
          <w:szCs w:val="22"/>
          <w:lang w:eastAsia="en-US"/>
        </w:rPr>
        <w:t xml:space="preserve">Spoločnosť tvorí opravnú položku k pohľadávkam po lehote splatnosti dlhšej ako jeden rok vo výške </w:t>
      </w:r>
      <w:r w:rsidR="00650C4C" w:rsidRPr="00A02A84">
        <w:rPr>
          <w:bCs/>
          <w:sz w:val="22"/>
          <w:szCs w:val="22"/>
          <w:lang w:eastAsia="en-US"/>
        </w:rPr>
        <w:t>100%.</w:t>
      </w:r>
      <w:r w:rsidRPr="00A02A84">
        <w:rPr>
          <w:bCs/>
          <w:sz w:val="22"/>
          <w:szCs w:val="22"/>
          <w:lang w:eastAsia="en-US"/>
        </w:rPr>
        <w:t xml:space="preserve"> </w:t>
      </w:r>
      <w:r w:rsidR="00822367" w:rsidRPr="00A02A84">
        <w:rPr>
          <w:bCs/>
          <w:sz w:val="22"/>
          <w:szCs w:val="22"/>
          <w:lang w:eastAsia="en-US"/>
        </w:rPr>
        <w:t>Spoločnosť rozpúšťa</w:t>
      </w:r>
      <w:r w:rsidRPr="00A02A84">
        <w:rPr>
          <w:bCs/>
          <w:sz w:val="22"/>
          <w:szCs w:val="22"/>
          <w:lang w:eastAsia="en-US"/>
        </w:rPr>
        <w:t xml:space="preserve"> opravné položky k pohľadávkam z titulu vymoženia pohľadávok</w:t>
      </w:r>
      <w:r w:rsidR="00822367" w:rsidRPr="00A02A84">
        <w:rPr>
          <w:bCs/>
          <w:sz w:val="22"/>
          <w:szCs w:val="22"/>
          <w:lang w:eastAsia="en-US"/>
        </w:rPr>
        <w:t xml:space="preserve"> a odpisu pohľadávok</w:t>
      </w:r>
      <w:r w:rsidRPr="00A02A84">
        <w:rPr>
          <w:bCs/>
          <w:sz w:val="22"/>
          <w:szCs w:val="22"/>
          <w:lang w:eastAsia="en-US"/>
        </w:rPr>
        <w:t>.</w:t>
      </w:r>
    </w:p>
    <w:p w:rsidR="00451724" w:rsidRPr="00A02A84" w:rsidRDefault="00451724" w:rsidP="00451724">
      <w:pPr>
        <w:ind w:left="720"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Peňažné prostriedky, ekvivalenty peňažných prostriedkov  a peňažné ekvivalenty</w:t>
      </w:r>
    </w:p>
    <w:p w:rsidR="00451724" w:rsidRPr="00A02A84" w:rsidRDefault="00451724" w:rsidP="00451724">
      <w:pPr>
        <w:ind w:left="720" w:right="71"/>
        <w:jc w:val="both"/>
        <w:rPr>
          <w:b/>
          <w:bCs/>
          <w:sz w:val="22"/>
          <w:szCs w:val="22"/>
          <w:lang w:eastAsia="en-US"/>
        </w:rPr>
      </w:pPr>
    </w:p>
    <w:p w:rsidR="00822367" w:rsidRPr="00A02A84" w:rsidRDefault="00451724" w:rsidP="00210082">
      <w:pPr>
        <w:ind w:right="71"/>
        <w:jc w:val="both"/>
        <w:rPr>
          <w:bCs/>
          <w:sz w:val="22"/>
          <w:szCs w:val="22"/>
          <w:lang w:eastAsia="en-US"/>
        </w:rPr>
      </w:pPr>
      <w:r w:rsidRPr="00A02A84">
        <w:rPr>
          <w:bCs/>
          <w:sz w:val="22"/>
          <w:szCs w:val="22"/>
          <w:lang w:eastAsia="en-US"/>
        </w:rPr>
        <w:t xml:space="preserve">Peňažné prostriedky a ceniny sa oceňujú ich menovitou hodnotou. </w:t>
      </w:r>
    </w:p>
    <w:p w:rsidR="00822367" w:rsidRPr="00A02A84" w:rsidRDefault="00822367" w:rsidP="00A17E35">
      <w:pPr>
        <w:ind w:left="284" w:right="71"/>
        <w:jc w:val="both"/>
        <w:rPr>
          <w:bCs/>
          <w:sz w:val="22"/>
          <w:szCs w:val="22"/>
          <w:lang w:eastAsia="en-US"/>
        </w:rPr>
      </w:pPr>
    </w:p>
    <w:p w:rsidR="00451724" w:rsidRPr="00A02A84" w:rsidRDefault="00822367" w:rsidP="00210082">
      <w:pPr>
        <w:ind w:right="71"/>
        <w:jc w:val="both"/>
        <w:rPr>
          <w:bCs/>
          <w:sz w:val="22"/>
          <w:szCs w:val="22"/>
          <w:lang w:eastAsia="en-US"/>
        </w:rPr>
      </w:pPr>
      <w:r w:rsidRPr="00A02A84">
        <w:rPr>
          <w:bCs/>
          <w:sz w:val="22"/>
          <w:szCs w:val="22"/>
          <w:lang w:eastAsia="en-US"/>
        </w:rPr>
        <w:t>Peňažné prostriedky a peňažné ekvivalenty zahŕňajú peňažnú hotovosť a peňažné prostriedky na bežných účtoch v</w:t>
      </w:r>
      <w:r w:rsidR="008F0D07" w:rsidRPr="00A02A84">
        <w:rPr>
          <w:bCs/>
          <w:sz w:val="22"/>
          <w:szCs w:val="22"/>
          <w:lang w:eastAsia="en-US"/>
        </w:rPr>
        <w:t> </w:t>
      </w:r>
      <w:r w:rsidRPr="00A02A84">
        <w:rPr>
          <w:bCs/>
          <w:sz w:val="22"/>
          <w:szCs w:val="22"/>
          <w:lang w:eastAsia="en-US"/>
        </w:rPr>
        <w:t>bankách</w:t>
      </w:r>
    </w:p>
    <w:p w:rsidR="008F0D07" w:rsidRPr="00A02A84" w:rsidRDefault="008F0D07" w:rsidP="00295E19">
      <w:pPr>
        <w:ind w:left="284"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Náklady budúcich období  a príjmy budúcich období</w:t>
      </w:r>
    </w:p>
    <w:p w:rsidR="00451724" w:rsidRPr="00A02A84" w:rsidRDefault="00451724" w:rsidP="00451724">
      <w:pPr>
        <w:ind w:left="360" w:right="71"/>
        <w:jc w:val="both"/>
        <w:rPr>
          <w:b/>
          <w:bCs/>
          <w:sz w:val="22"/>
          <w:szCs w:val="22"/>
          <w:lang w:eastAsia="en-US"/>
        </w:rPr>
      </w:pPr>
    </w:p>
    <w:p w:rsidR="00451724" w:rsidRPr="00A02A84" w:rsidRDefault="00451724" w:rsidP="00210082">
      <w:pPr>
        <w:ind w:right="71"/>
        <w:jc w:val="both"/>
        <w:rPr>
          <w:bCs/>
          <w:sz w:val="22"/>
          <w:szCs w:val="22"/>
          <w:lang w:eastAsia="en-US"/>
        </w:rPr>
      </w:pPr>
      <w:r w:rsidRPr="00A02A84">
        <w:rPr>
          <w:bCs/>
          <w:sz w:val="22"/>
          <w:szCs w:val="22"/>
          <w:lang w:eastAsia="en-US"/>
        </w:rPr>
        <w:t>Náklady  budúcich období a príjmy budúcich období sa vykazujú vo výške, ktorá je potrebná na dodržanie zásady vecnej a časovej súvislosti s účtovným obdobím. Sú tu zúčtované náklady na predplatné, poistné, spoje a služby.</w:t>
      </w:r>
    </w:p>
    <w:p w:rsidR="00451724" w:rsidRDefault="00451724" w:rsidP="00451724">
      <w:pPr>
        <w:ind w:left="360" w:right="71"/>
        <w:jc w:val="both"/>
        <w:rPr>
          <w:bCs/>
          <w:sz w:val="22"/>
          <w:szCs w:val="22"/>
          <w:lang w:eastAsia="en-US"/>
        </w:rPr>
      </w:pPr>
    </w:p>
    <w:p w:rsidR="0048152A" w:rsidRDefault="0048152A" w:rsidP="00A17E35">
      <w:pPr>
        <w:ind w:right="71"/>
        <w:jc w:val="both"/>
        <w:rPr>
          <w:b/>
          <w:bCs/>
          <w:sz w:val="22"/>
          <w:szCs w:val="22"/>
          <w:lang w:eastAsia="en-US"/>
        </w:rPr>
      </w:pPr>
    </w:p>
    <w:p w:rsidR="00CD63EC" w:rsidRDefault="00CD63EC" w:rsidP="00A17E35">
      <w:pPr>
        <w:ind w:right="71"/>
        <w:jc w:val="both"/>
        <w:rPr>
          <w:b/>
          <w:bCs/>
          <w:sz w:val="22"/>
          <w:szCs w:val="22"/>
          <w:lang w:eastAsia="en-US"/>
        </w:rPr>
      </w:pPr>
    </w:p>
    <w:p w:rsidR="00CD63EC" w:rsidRDefault="00CD63EC" w:rsidP="00A17E35">
      <w:pPr>
        <w:ind w:right="71"/>
        <w:jc w:val="both"/>
        <w:rPr>
          <w:b/>
          <w:bCs/>
          <w:sz w:val="22"/>
          <w:szCs w:val="22"/>
          <w:lang w:eastAsia="en-US"/>
        </w:rPr>
      </w:pPr>
    </w:p>
    <w:p w:rsidR="00CD63EC" w:rsidRDefault="00CD63EC" w:rsidP="00A17E35">
      <w:pPr>
        <w:ind w:right="71"/>
        <w:jc w:val="both"/>
        <w:rPr>
          <w:b/>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Rezervy</w:t>
      </w:r>
    </w:p>
    <w:p w:rsidR="00451724" w:rsidRPr="00A02A84" w:rsidRDefault="00451724" w:rsidP="00451724">
      <w:pPr>
        <w:ind w:left="360" w:right="71"/>
        <w:jc w:val="both"/>
        <w:rPr>
          <w:b/>
          <w:bCs/>
          <w:sz w:val="22"/>
          <w:szCs w:val="22"/>
          <w:lang w:eastAsia="en-US"/>
        </w:rPr>
      </w:pPr>
    </w:p>
    <w:p w:rsidR="00650C4C" w:rsidRPr="00A02A84" w:rsidRDefault="006F6027" w:rsidP="00650C4C">
      <w:pPr>
        <w:rPr>
          <w:bCs/>
          <w:sz w:val="22"/>
          <w:szCs w:val="22"/>
          <w:lang w:eastAsia="en-US"/>
        </w:rPr>
      </w:pPr>
      <w:r w:rsidRPr="000918A0">
        <w:rPr>
          <w:bCs/>
          <w:sz w:val="22"/>
          <w:szCs w:val="22"/>
          <w:lang w:eastAsia="en-US"/>
        </w:rPr>
        <w:t>Spoločnosť tvorí rezervy (§26 Zákona 431/2002 Z.z. o účtovníctve) na predpokladané riziká, straty a zníženia hodnoty súvisiace so záväzkami s neurčitým časovým vymedzením alebo výškou.</w:t>
      </w:r>
    </w:p>
    <w:p w:rsidR="00650C4C" w:rsidRPr="000918A0" w:rsidRDefault="00650C4C" w:rsidP="00650C4C">
      <w:pPr>
        <w:rPr>
          <w:bCs/>
          <w:sz w:val="22"/>
          <w:szCs w:val="22"/>
          <w:lang w:eastAsia="en-US"/>
        </w:rPr>
      </w:pPr>
    </w:p>
    <w:p w:rsidR="00822367" w:rsidRDefault="00822367" w:rsidP="000E0A20">
      <w:pPr>
        <w:ind w:right="71"/>
        <w:jc w:val="both"/>
        <w:rPr>
          <w:bCs/>
          <w:sz w:val="22"/>
          <w:szCs w:val="22"/>
          <w:lang w:eastAsia="en-US"/>
        </w:rPr>
      </w:pPr>
      <w:r w:rsidRPr="00A02A84">
        <w:rPr>
          <w:bCs/>
          <w:sz w:val="22"/>
          <w:szCs w:val="22"/>
          <w:lang w:eastAsia="en-US"/>
        </w:rPr>
        <w:t>Rezervy sa oceňujú odhadom v sume dostatočnej  na splnenie existujúcej povinnosti ku dňu, ku ktorému sa zostavuje  účtovná závierka pri zohľadnení rizík a neistôt.</w:t>
      </w:r>
    </w:p>
    <w:p w:rsidR="008F76DE" w:rsidRDefault="008F76DE" w:rsidP="000E0A20">
      <w:pPr>
        <w:ind w:right="71"/>
        <w:jc w:val="both"/>
        <w:rPr>
          <w:bCs/>
          <w:sz w:val="22"/>
          <w:szCs w:val="22"/>
          <w:lang w:eastAsia="en-US"/>
        </w:rPr>
      </w:pPr>
    </w:p>
    <w:p w:rsidR="00F47947" w:rsidRDefault="00F47947" w:rsidP="00A17E35">
      <w:pPr>
        <w:ind w:right="71"/>
        <w:jc w:val="both"/>
        <w:rPr>
          <w:b/>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Záväzky</w:t>
      </w:r>
    </w:p>
    <w:p w:rsidR="00451724" w:rsidRPr="00A02A84" w:rsidRDefault="00451724" w:rsidP="00451724">
      <w:pPr>
        <w:ind w:left="360" w:right="71"/>
        <w:jc w:val="both"/>
        <w:rPr>
          <w:b/>
          <w:bCs/>
          <w:sz w:val="22"/>
          <w:szCs w:val="22"/>
          <w:lang w:eastAsia="en-US"/>
        </w:rPr>
      </w:pPr>
    </w:p>
    <w:p w:rsidR="00451724" w:rsidRPr="00A02A84" w:rsidRDefault="00451724" w:rsidP="000E0A20">
      <w:pPr>
        <w:ind w:right="71"/>
        <w:jc w:val="both"/>
        <w:rPr>
          <w:bCs/>
          <w:sz w:val="22"/>
          <w:szCs w:val="22"/>
          <w:lang w:eastAsia="en-US"/>
        </w:rPr>
      </w:pPr>
      <w:r w:rsidRPr="00A02A84">
        <w:rPr>
          <w:bCs/>
          <w:sz w:val="22"/>
          <w:szCs w:val="22"/>
          <w:lang w:eastAsia="en-US"/>
        </w:rPr>
        <w:t>Záväzky pri ich vzniku sa oceňujú menovitou hodnotou. Ak sa pri inventarizácii zistí, že suma záväzkov je iná ako ich výška v účtovníctve, uvedú sa záväzky v účtovníctve a v účtovnej závierke v tomto zistenom ocenení.</w:t>
      </w:r>
    </w:p>
    <w:p w:rsidR="00112BE4" w:rsidRPr="00A02A84" w:rsidRDefault="00112BE4" w:rsidP="00451724">
      <w:pPr>
        <w:ind w:left="360" w:right="71"/>
        <w:jc w:val="both"/>
        <w:rPr>
          <w:bCs/>
          <w:sz w:val="22"/>
          <w:szCs w:val="22"/>
          <w:lang w:eastAsia="en-US"/>
        </w:rPr>
      </w:pPr>
    </w:p>
    <w:p w:rsidR="00451724" w:rsidRPr="00A02A84" w:rsidRDefault="00451724" w:rsidP="00A17E35">
      <w:pPr>
        <w:ind w:right="71"/>
        <w:jc w:val="both"/>
        <w:rPr>
          <w:b/>
          <w:bCs/>
          <w:sz w:val="22"/>
          <w:szCs w:val="22"/>
          <w:lang w:eastAsia="en-US"/>
        </w:rPr>
      </w:pPr>
      <w:r w:rsidRPr="00A02A84">
        <w:rPr>
          <w:b/>
          <w:bCs/>
          <w:sz w:val="22"/>
          <w:szCs w:val="22"/>
          <w:lang w:eastAsia="en-US"/>
        </w:rPr>
        <w:t>Odložené dane</w:t>
      </w:r>
    </w:p>
    <w:p w:rsidR="00451724" w:rsidRPr="00A02A84" w:rsidRDefault="00451724" w:rsidP="00451724">
      <w:pPr>
        <w:ind w:left="360" w:right="71"/>
        <w:jc w:val="both"/>
        <w:rPr>
          <w:b/>
          <w:bCs/>
          <w:sz w:val="22"/>
          <w:szCs w:val="22"/>
          <w:lang w:eastAsia="en-US"/>
        </w:rPr>
      </w:pPr>
    </w:p>
    <w:p w:rsidR="00451724" w:rsidRPr="00A02A84" w:rsidRDefault="00451724" w:rsidP="000E0A20">
      <w:pPr>
        <w:ind w:right="71"/>
        <w:jc w:val="both"/>
        <w:rPr>
          <w:bCs/>
          <w:sz w:val="22"/>
          <w:szCs w:val="22"/>
          <w:lang w:eastAsia="en-US"/>
        </w:rPr>
      </w:pPr>
      <w:r w:rsidRPr="00A02A84">
        <w:rPr>
          <w:bCs/>
          <w:sz w:val="22"/>
          <w:szCs w:val="22"/>
          <w:lang w:eastAsia="en-US"/>
        </w:rPr>
        <w:t>Odložené dane sa vzťahujú na:</w:t>
      </w:r>
    </w:p>
    <w:p w:rsidR="00451724" w:rsidRPr="00A02A84" w:rsidRDefault="00451724" w:rsidP="005A6969">
      <w:pPr>
        <w:numPr>
          <w:ilvl w:val="0"/>
          <w:numId w:val="2"/>
        </w:numPr>
        <w:ind w:left="360" w:right="71" w:firstLine="0"/>
        <w:jc w:val="both"/>
        <w:rPr>
          <w:bCs/>
          <w:sz w:val="22"/>
          <w:szCs w:val="22"/>
          <w:lang w:eastAsia="en-US"/>
        </w:rPr>
      </w:pPr>
      <w:r w:rsidRPr="00A02A84">
        <w:rPr>
          <w:bCs/>
          <w:sz w:val="22"/>
          <w:szCs w:val="22"/>
          <w:lang w:eastAsia="en-US"/>
        </w:rPr>
        <w:t>dočasné rozdiely medzi účtovnou hodnotou  majetku a účtovnou hodnotou záväzkov vykázanou v súvahe a ich daňovou základňou,</w:t>
      </w:r>
    </w:p>
    <w:p w:rsidR="00451724" w:rsidRPr="00A02A84" w:rsidRDefault="00451724" w:rsidP="005A6969">
      <w:pPr>
        <w:numPr>
          <w:ilvl w:val="0"/>
          <w:numId w:val="2"/>
        </w:numPr>
        <w:ind w:left="360" w:right="71" w:firstLine="0"/>
        <w:jc w:val="both"/>
        <w:rPr>
          <w:bCs/>
          <w:sz w:val="22"/>
          <w:szCs w:val="22"/>
          <w:lang w:eastAsia="en-US"/>
        </w:rPr>
      </w:pPr>
      <w:r w:rsidRPr="00A02A84">
        <w:rPr>
          <w:bCs/>
          <w:sz w:val="22"/>
          <w:szCs w:val="22"/>
          <w:lang w:eastAsia="en-US"/>
        </w:rPr>
        <w:t>možnosť umorovať daňovú stratu v budúcnosti, ktorou sa rozumie možnosť odpočítať daňovú stratu  od základu dane v budúcnosti,</w:t>
      </w:r>
    </w:p>
    <w:p w:rsidR="00451724" w:rsidRPr="00A02A84" w:rsidRDefault="00451724" w:rsidP="005A6969">
      <w:pPr>
        <w:numPr>
          <w:ilvl w:val="0"/>
          <w:numId w:val="2"/>
        </w:numPr>
        <w:ind w:left="360" w:right="71" w:firstLine="0"/>
        <w:jc w:val="both"/>
        <w:rPr>
          <w:bCs/>
          <w:sz w:val="22"/>
          <w:szCs w:val="22"/>
          <w:lang w:eastAsia="en-US"/>
        </w:rPr>
      </w:pPr>
      <w:r w:rsidRPr="00A02A84">
        <w:rPr>
          <w:bCs/>
          <w:sz w:val="22"/>
          <w:szCs w:val="22"/>
          <w:lang w:eastAsia="en-US"/>
        </w:rPr>
        <w:t>možnosť previesť nevyužité daňové odpočty  a iné daňové nároky do budúcich období.</w:t>
      </w:r>
    </w:p>
    <w:p w:rsidR="00451724" w:rsidRPr="00A02A84" w:rsidRDefault="00451724" w:rsidP="000E0A20">
      <w:pPr>
        <w:ind w:right="71"/>
        <w:jc w:val="both"/>
        <w:rPr>
          <w:bCs/>
          <w:sz w:val="22"/>
          <w:szCs w:val="22"/>
          <w:lang w:eastAsia="en-US"/>
        </w:rPr>
      </w:pPr>
      <w:r w:rsidRPr="00A02A84">
        <w:rPr>
          <w:bCs/>
          <w:sz w:val="22"/>
          <w:szCs w:val="22"/>
          <w:lang w:eastAsia="en-US"/>
        </w:rPr>
        <w:t>Odložená daň z príjmov sa účtuje použitím záväzkovej metódy.</w:t>
      </w:r>
    </w:p>
    <w:p w:rsidR="00451724" w:rsidRPr="00A02A84" w:rsidRDefault="00451724" w:rsidP="000E0A20">
      <w:pPr>
        <w:ind w:right="71"/>
        <w:jc w:val="both"/>
        <w:rPr>
          <w:bCs/>
          <w:sz w:val="22"/>
          <w:szCs w:val="22"/>
          <w:lang w:eastAsia="en-US"/>
        </w:rPr>
      </w:pPr>
      <w:r w:rsidRPr="00A02A84">
        <w:rPr>
          <w:bCs/>
          <w:sz w:val="22"/>
          <w:szCs w:val="22"/>
          <w:lang w:eastAsia="en-US"/>
        </w:rPr>
        <w:t>Odložená daň z pr</w:t>
      </w:r>
      <w:r w:rsidR="004E07FD" w:rsidRPr="00A02A84">
        <w:rPr>
          <w:bCs/>
          <w:sz w:val="22"/>
          <w:szCs w:val="22"/>
          <w:lang w:eastAsia="en-US"/>
        </w:rPr>
        <w:t>íjmov sa stanovuje pomocou daňo</w:t>
      </w:r>
      <w:r w:rsidRPr="00A02A84">
        <w:rPr>
          <w:bCs/>
          <w:sz w:val="22"/>
          <w:szCs w:val="22"/>
          <w:lang w:eastAsia="en-US"/>
        </w:rPr>
        <w:t>vej sadzby, ktor</w:t>
      </w:r>
      <w:r w:rsidR="004E07FD" w:rsidRPr="00A02A84">
        <w:rPr>
          <w:bCs/>
          <w:sz w:val="22"/>
          <w:szCs w:val="22"/>
          <w:lang w:eastAsia="en-US"/>
        </w:rPr>
        <w:t>á</w:t>
      </w:r>
      <w:r w:rsidRPr="00A02A84">
        <w:rPr>
          <w:bCs/>
          <w:sz w:val="22"/>
          <w:szCs w:val="22"/>
          <w:lang w:eastAsia="en-US"/>
        </w:rPr>
        <w:t xml:space="preserve"> bol</w:t>
      </w:r>
      <w:r w:rsidR="004E07FD" w:rsidRPr="00A02A84">
        <w:rPr>
          <w:bCs/>
          <w:sz w:val="22"/>
          <w:szCs w:val="22"/>
          <w:lang w:eastAsia="en-US"/>
        </w:rPr>
        <w:t>a</w:t>
      </w:r>
      <w:r w:rsidRPr="00A02A84">
        <w:rPr>
          <w:bCs/>
          <w:sz w:val="22"/>
          <w:szCs w:val="22"/>
          <w:lang w:eastAsia="en-US"/>
        </w:rPr>
        <w:t xml:space="preserve"> zná</w:t>
      </w:r>
      <w:r w:rsidR="004E07FD" w:rsidRPr="00A02A84">
        <w:rPr>
          <w:bCs/>
          <w:sz w:val="22"/>
          <w:szCs w:val="22"/>
          <w:lang w:eastAsia="en-US"/>
        </w:rPr>
        <w:t>ma</w:t>
      </w:r>
      <w:r w:rsidRPr="00A02A84">
        <w:rPr>
          <w:bCs/>
          <w:sz w:val="22"/>
          <w:szCs w:val="22"/>
          <w:lang w:eastAsia="en-US"/>
        </w:rPr>
        <w:t xml:space="preserve"> ku dňu, ku ktorému sa zostavuje účtovná závierka a očakáva sa </w:t>
      </w:r>
      <w:r w:rsidR="004E07FD" w:rsidRPr="00A02A84">
        <w:rPr>
          <w:bCs/>
          <w:sz w:val="22"/>
          <w:szCs w:val="22"/>
          <w:lang w:eastAsia="en-US"/>
        </w:rPr>
        <w:t>jej</w:t>
      </w:r>
      <w:r w:rsidRPr="00A02A84">
        <w:rPr>
          <w:bCs/>
          <w:sz w:val="22"/>
          <w:szCs w:val="22"/>
          <w:lang w:eastAsia="en-US"/>
        </w:rPr>
        <w:t xml:space="preserve"> platnosť v čase realizácie príslušnej odloženej daňovej pohľadávky alebo vyrovnania odloženého daňového záväzku.</w:t>
      </w:r>
    </w:p>
    <w:p w:rsidR="00451724" w:rsidRPr="00A02A84" w:rsidRDefault="00451724" w:rsidP="000E0A20">
      <w:pPr>
        <w:ind w:right="71"/>
        <w:jc w:val="both"/>
        <w:rPr>
          <w:bCs/>
          <w:sz w:val="22"/>
          <w:szCs w:val="22"/>
          <w:lang w:eastAsia="en-US"/>
        </w:rPr>
      </w:pPr>
      <w:r w:rsidRPr="00A02A84">
        <w:rPr>
          <w:bCs/>
          <w:sz w:val="22"/>
          <w:szCs w:val="22"/>
          <w:lang w:eastAsia="en-US"/>
        </w:rPr>
        <w:t>Odložené daňové pohľadávky sa účtujú, ak je pravdepodobné, že v budúcnosti bude generovaný zdaniteľný zisk, voči ktorému sa budú môcť dočasné rozdiely zrealizovať.</w:t>
      </w:r>
    </w:p>
    <w:p w:rsidR="00451724" w:rsidRPr="00A02A84" w:rsidRDefault="00451724" w:rsidP="00451724">
      <w:pPr>
        <w:ind w:left="360" w:right="71"/>
        <w:jc w:val="both"/>
        <w:rPr>
          <w:bCs/>
          <w:sz w:val="22"/>
          <w:szCs w:val="22"/>
          <w:lang w:eastAsia="en-US"/>
        </w:rPr>
      </w:pPr>
    </w:p>
    <w:p w:rsidR="00451724" w:rsidRPr="00A02A84" w:rsidRDefault="00451724" w:rsidP="000E0A20">
      <w:pPr>
        <w:ind w:right="71"/>
        <w:jc w:val="both"/>
        <w:rPr>
          <w:b/>
          <w:bCs/>
          <w:sz w:val="22"/>
          <w:szCs w:val="22"/>
          <w:lang w:eastAsia="en-US"/>
        </w:rPr>
      </w:pPr>
      <w:r w:rsidRPr="00A02A84">
        <w:rPr>
          <w:b/>
          <w:bCs/>
          <w:sz w:val="22"/>
          <w:szCs w:val="22"/>
          <w:lang w:eastAsia="en-US"/>
        </w:rPr>
        <w:t>Výdavky budúcich období a výnosy budúcich období</w:t>
      </w:r>
    </w:p>
    <w:p w:rsidR="00451724" w:rsidRPr="00A02A84" w:rsidRDefault="00451724" w:rsidP="00451724">
      <w:pPr>
        <w:ind w:left="360" w:right="71"/>
        <w:jc w:val="both"/>
        <w:rPr>
          <w:b/>
          <w:bCs/>
          <w:sz w:val="22"/>
          <w:szCs w:val="22"/>
          <w:lang w:eastAsia="en-US"/>
        </w:rPr>
      </w:pPr>
    </w:p>
    <w:p w:rsidR="00451724" w:rsidRPr="00A02A84" w:rsidRDefault="00451724" w:rsidP="000E0A20">
      <w:pPr>
        <w:ind w:right="71"/>
        <w:jc w:val="both"/>
        <w:rPr>
          <w:bCs/>
          <w:sz w:val="22"/>
          <w:szCs w:val="22"/>
          <w:lang w:eastAsia="en-US"/>
        </w:rPr>
      </w:pPr>
      <w:r w:rsidRPr="00A02A84">
        <w:rPr>
          <w:bCs/>
          <w:sz w:val="22"/>
          <w:szCs w:val="22"/>
          <w:lang w:eastAsia="en-US"/>
        </w:rPr>
        <w:t>Výdavky budúcich období a výnosy budúcich období sa vykazujú vo výške, ktorá je potrebná na dodržanie zásady vecnej a časovej súvislosti v účtovným obdobím.</w:t>
      </w:r>
    </w:p>
    <w:p w:rsidR="00451724" w:rsidRPr="00A02A84" w:rsidRDefault="00451724" w:rsidP="00451724">
      <w:pPr>
        <w:ind w:left="360" w:right="71"/>
        <w:jc w:val="both"/>
        <w:rPr>
          <w:bCs/>
          <w:sz w:val="22"/>
          <w:szCs w:val="22"/>
          <w:lang w:eastAsia="en-US"/>
        </w:rPr>
      </w:pPr>
    </w:p>
    <w:p w:rsidR="00691379" w:rsidRPr="00A02A84" w:rsidRDefault="00691379" w:rsidP="00691379">
      <w:pPr>
        <w:ind w:right="71"/>
        <w:jc w:val="both"/>
        <w:rPr>
          <w:b/>
          <w:bCs/>
          <w:sz w:val="22"/>
          <w:szCs w:val="22"/>
          <w:lang w:eastAsia="en-US"/>
        </w:rPr>
      </w:pPr>
      <w:r w:rsidRPr="00A02A84">
        <w:rPr>
          <w:b/>
          <w:bCs/>
          <w:sz w:val="22"/>
          <w:szCs w:val="22"/>
          <w:lang w:eastAsia="en-US"/>
        </w:rPr>
        <w:t>Dotácie</w:t>
      </w:r>
      <w:r w:rsidR="00A02A84">
        <w:rPr>
          <w:b/>
          <w:bCs/>
          <w:sz w:val="22"/>
          <w:szCs w:val="22"/>
          <w:lang w:eastAsia="en-US"/>
        </w:rPr>
        <w:t xml:space="preserve"> poskytnuté na obstaranie majetku a prevádzkové dotácie</w:t>
      </w:r>
    </w:p>
    <w:p w:rsidR="00691379" w:rsidRPr="00A02A84" w:rsidRDefault="00691379" w:rsidP="00691379">
      <w:pPr>
        <w:ind w:left="360" w:right="71"/>
        <w:jc w:val="both"/>
        <w:rPr>
          <w:b/>
          <w:bCs/>
          <w:sz w:val="22"/>
          <w:szCs w:val="22"/>
          <w:lang w:eastAsia="en-US"/>
        </w:rPr>
      </w:pPr>
    </w:p>
    <w:p w:rsidR="00691379" w:rsidRPr="00A02A84" w:rsidRDefault="00691379" w:rsidP="00691379">
      <w:pPr>
        <w:ind w:right="71"/>
        <w:jc w:val="both"/>
        <w:rPr>
          <w:bCs/>
          <w:sz w:val="22"/>
          <w:szCs w:val="22"/>
          <w:lang w:eastAsia="en-US"/>
        </w:rPr>
      </w:pPr>
      <w:r w:rsidRPr="00A02A84">
        <w:rPr>
          <w:bCs/>
          <w:sz w:val="22"/>
          <w:szCs w:val="22"/>
          <w:lang w:eastAsia="en-US"/>
        </w:rPr>
        <w:t>Uznesením vlády č. 95/2015 bola spoločnosti schválená dotácia na dobudovanie infraštruktúry v investičnom parku Šalková v objeme 250.000 €. Dotácia bola poukázaná na účet v Slovenskej sporiteľni a.s. č. 5053167544/0900 dňa 30.3.2015.</w:t>
      </w:r>
    </w:p>
    <w:p w:rsidR="00E76C51" w:rsidRPr="00E31115" w:rsidRDefault="00167C96" w:rsidP="00691379">
      <w:pPr>
        <w:ind w:right="71"/>
        <w:jc w:val="both"/>
        <w:rPr>
          <w:bCs/>
          <w:sz w:val="22"/>
          <w:szCs w:val="22"/>
          <w:lang w:eastAsia="en-US"/>
        </w:rPr>
      </w:pPr>
      <w:r w:rsidRPr="00E31115">
        <w:rPr>
          <w:bCs/>
          <w:sz w:val="22"/>
          <w:szCs w:val="22"/>
          <w:lang w:eastAsia="en-US"/>
        </w:rPr>
        <w:t xml:space="preserve">Zmluvou Úradu vlády SR č. 1477/2013 v znení Dodatku č. 1/2014 bola poskytnutá dotácia na dostavbu severnej tribúny zimného štadióna v sume 1 mil. € spoločnosti BPM s.r.o., ktorá sa zlúčila k 1.1. 2016 so spoločnosťou MBB a.s. </w:t>
      </w:r>
    </w:p>
    <w:p w:rsidR="00C4005B" w:rsidRPr="00E31115" w:rsidRDefault="008F76DE" w:rsidP="00691379">
      <w:pPr>
        <w:ind w:right="71"/>
        <w:jc w:val="both"/>
        <w:rPr>
          <w:bCs/>
          <w:sz w:val="22"/>
          <w:szCs w:val="22"/>
          <w:lang w:eastAsia="en-US"/>
        </w:rPr>
      </w:pPr>
      <w:r w:rsidRPr="00E31115">
        <w:rPr>
          <w:bCs/>
          <w:sz w:val="22"/>
          <w:szCs w:val="22"/>
          <w:lang w:eastAsia="en-US"/>
        </w:rPr>
        <w:t xml:space="preserve">V zmysle </w:t>
      </w:r>
      <w:r w:rsidR="008846F7" w:rsidRPr="00E31115">
        <w:rPr>
          <w:bCs/>
          <w:sz w:val="22"/>
          <w:szCs w:val="22"/>
          <w:lang w:eastAsia="en-US"/>
        </w:rPr>
        <w:t xml:space="preserve">zmluvy </w:t>
      </w:r>
      <w:r w:rsidR="00E31115" w:rsidRPr="00E31115">
        <w:rPr>
          <w:bCs/>
          <w:sz w:val="22"/>
          <w:szCs w:val="22"/>
          <w:lang w:eastAsia="en-US"/>
        </w:rPr>
        <w:t>č. 39/2020</w:t>
      </w:r>
      <w:r w:rsidR="00C4005B" w:rsidRPr="00E31115">
        <w:rPr>
          <w:bCs/>
          <w:sz w:val="22"/>
          <w:szCs w:val="22"/>
          <w:lang w:eastAsia="en-US"/>
        </w:rPr>
        <w:t>/OPM-SP bola spoločnosti</w:t>
      </w:r>
      <w:r w:rsidR="00E31115" w:rsidRPr="00E31115">
        <w:rPr>
          <w:bCs/>
          <w:sz w:val="22"/>
          <w:szCs w:val="22"/>
          <w:lang w:eastAsia="en-US"/>
        </w:rPr>
        <w:t xml:space="preserve"> poskytnutá v priebehu roka 2020</w:t>
      </w:r>
      <w:r w:rsidR="00C4005B" w:rsidRPr="00E31115">
        <w:rPr>
          <w:bCs/>
          <w:sz w:val="22"/>
          <w:szCs w:val="22"/>
          <w:lang w:eastAsia="en-US"/>
        </w:rPr>
        <w:t xml:space="preserve"> dotácia na podporu využitia krytej plavárne vo výške 6</w:t>
      </w:r>
      <w:r w:rsidR="00E31115" w:rsidRPr="00E31115">
        <w:rPr>
          <w:bCs/>
          <w:sz w:val="22"/>
          <w:szCs w:val="22"/>
          <w:lang w:eastAsia="en-US"/>
        </w:rPr>
        <w:t>2</w:t>
      </w:r>
      <w:r w:rsidR="00FB3B45" w:rsidRPr="00E31115">
        <w:rPr>
          <w:bCs/>
          <w:sz w:val="22"/>
          <w:szCs w:val="22"/>
          <w:lang w:eastAsia="en-US"/>
        </w:rPr>
        <w:t>0</w:t>
      </w:r>
      <w:r w:rsidR="00C4005B" w:rsidRPr="00E31115">
        <w:rPr>
          <w:bCs/>
          <w:sz w:val="22"/>
          <w:szCs w:val="22"/>
          <w:lang w:eastAsia="en-US"/>
        </w:rPr>
        <w:t>.000 €.</w:t>
      </w:r>
    </w:p>
    <w:p w:rsidR="008F76DE" w:rsidRPr="00377F96" w:rsidRDefault="008F76DE" w:rsidP="008F76DE">
      <w:pPr>
        <w:ind w:right="71"/>
        <w:jc w:val="both"/>
        <w:rPr>
          <w:bCs/>
          <w:sz w:val="22"/>
          <w:szCs w:val="22"/>
          <w:lang w:eastAsia="en-US"/>
        </w:rPr>
      </w:pPr>
      <w:r w:rsidRPr="00377F96">
        <w:rPr>
          <w:bCs/>
          <w:sz w:val="22"/>
          <w:szCs w:val="22"/>
          <w:lang w:eastAsia="en-US"/>
        </w:rPr>
        <w:t xml:space="preserve">Uznesením vlády č. </w:t>
      </w:r>
      <w:r w:rsidR="00DE62CC" w:rsidRPr="00377F96">
        <w:rPr>
          <w:bCs/>
          <w:sz w:val="22"/>
          <w:szCs w:val="22"/>
          <w:lang w:eastAsia="en-US"/>
        </w:rPr>
        <w:t>108/2018</w:t>
      </w:r>
      <w:r w:rsidRPr="00377F96">
        <w:rPr>
          <w:bCs/>
          <w:sz w:val="22"/>
          <w:szCs w:val="22"/>
          <w:lang w:eastAsia="en-US"/>
        </w:rPr>
        <w:t xml:space="preserve"> bola spoločnosti schválená dotácia na </w:t>
      </w:r>
      <w:r w:rsidR="00DE62CC" w:rsidRPr="00377F96">
        <w:rPr>
          <w:bCs/>
          <w:sz w:val="22"/>
          <w:szCs w:val="22"/>
          <w:lang w:eastAsia="en-US"/>
        </w:rPr>
        <w:t xml:space="preserve">revitalizáciu a obnovu Zimného štadióna v Banskej Bystrici </w:t>
      </w:r>
      <w:r w:rsidRPr="00377F96">
        <w:rPr>
          <w:bCs/>
          <w:sz w:val="22"/>
          <w:szCs w:val="22"/>
          <w:lang w:eastAsia="en-US"/>
        </w:rPr>
        <w:t>v objeme 1.570.000 €. Dotácia bola poukázaná na účet v Slovenskej sporiteľni a.s. č. 50</w:t>
      </w:r>
      <w:r w:rsidR="006A3A67" w:rsidRPr="00377F96">
        <w:rPr>
          <w:bCs/>
          <w:sz w:val="22"/>
          <w:szCs w:val="22"/>
          <w:lang w:eastAsia="en-US"/>
        </w:rPr>
        <w:t>75239270</w:t>
      </w:r>
      <w:r w:rsidRPr="00377F96">
        <w:rPr>
          <w:bCs/>
          <w:sz w:val="22"/>
          <w:szCs w:val="22"/>
          <w:lang w:eastAsia="en-US"/>
        </w:rPr>
        <w:t xml:space="preserve">/0900 dňa </w:t>
      </w:r>
      <w:r w:rsidR="006A3A67" w:rsidRPr="00377F96">
        <w:rPr>
          <w:bCs/>
          <w:sz w:val="22"/>
          <w:szCs w:val="22"/>
          <w:lang w:eastAsia="en-US"/>
        </w:rPr>
        <w:t>29.10.2018.</w:t>
      </w:r>
    </w:p>
    <w:p w:rsidR="007565B3" w:rsidRDefault="007565B3" w:rsidP="007565B3">
      <w:pPr>
        <w:ind w:right="71"/>
        <w:jc w:val="both"/>
        <w:rPr>
          <w:bCs/>
          <w:sz w:val="22"/>
          <w:szCs w:val="22"/>
          <w:lang w:eastAsia="en-US"/>
        </w:rPr>
      </w:pPr>
      <w:r w:rsidRPr="00853162">
        <w:rPr>
          <w:bCs/>
          <w:sz w:val="22"/>
          <w:szCs w:val="22"/>
          <w:lang w:eastAsia="en-US"/>
        </w:rPr>
        <w:t xml:space="preserve">Uznesením vlády č. </w:t>
      </w:r>
      <w:r w:rsidR="00F95243" w:rsidRPr="00853162">
        <w:rPr>
          <w:bCs/>
          <w:sz w:val="22"/>
          <w:szCs w:val="22"/>
          <w:lang w:eastAsia="en-US"/>
        </w:rPr>
        <w:t>400/2019</w:t>
      </w:r>
      <w:r w:rsidRPr="00853162">
        <w:rPr>
          <w:bCs/>
          <w:sz w:val="22"/>
          <w:szCs w:val="22"/>
          <w:lang w:eastAsia="en-US"/>
        </w:rPr>
        <w:t xml:space="preserve"> bola spoločnosti schválená dotácia na </w:t>
      </w:r>
      <w:r w:rsidR="00F95243" w:rsidRPr="00853162">
        <w:rPr>
          <w:bCs/>
          <w:sz w:val="22"/>
          <w:szCs w:val="22"/>
          <w:lang w:eastAsia="en-US"/>
        </w:rPr>
        <w:t>revitalizáciu, rekonštrukciu a vybavenie existujúcej športovej infraštruktúry a jej príslušenstva</w:t>
      </w:r>
      <w:r w:rsidRPr="00853162">
        <w:rPr>
          <w:bCs/>
          <w:sz w:val="22"/>
          <w:szCs w:val="22"/>
          <w:lang w:eastAsia="en-US"/>
        </w:rPr>
        <w:t xml:space="preserve"> </w:t>
      </w:r>
      <w:r w:rsidR="00B713CF" w:rsidRPr="00853162">
        <w:rPr>
          <w:bCs/>
          <w:sz w:val="22"/>
          <w:szCs w:val="22"/>
          <w:lang w:eastAsia="en-US"/>
        </w:rPr>
        <w:t xml:space="preserve">za účelom konania „EYOF“ </w:t>
      </w:r>
      <w:r w:rsidRPr="00853162">
        <w:rPr>
          <w:bCs/>
          <w:sz w:val="22"/>
          <w:szCs w:val="22"/>
          <w:lang w:eastAsia="en-US"/>
        </w:rPr>
        <w:t xml:space="preserve">v objeme </w:t>
      </w:r>
      <w:r w:rsidR="00E060C3" w:rsidRPr="00853162">
        <w:rPr>
          <w:bCs/>
          <w:sz w:val="22"/>
          <w:szCs w:val="22"/>
          <w:lang w:eastAsia="en-US"/>
        </w:rPr>
        <w:t>4.300.000</w:t>
      </w:r>
      <w:r w:rsidR="005A240C" w:rsidRPr="00853162">
        <w:rPr>
          <w:bCs/>
          <w:sz w:val="22"/>
          <w:szCs w:val="22"/>
          <w:lang w:eastAsia="en-US"/>
        </w:rPr>
        <w:t xml:space="preserve"> </w:t>
      </w:r>
      <w:r w:rsidRPr="00853162">
        <w:rPr>
          <w:bCs/>
          <w:sz w:val="22"/>
          <w:szCs w:val="22"/>
          <w:lang w:eastAsia="en-US"/>
        </w:rPr>
        <w:t xml:space="preserve">€. </w:t>
      </w:r>
      <w:r w:rsidR="005B60EF" w:rsidRPr="00853162">
        <w:rPr>
          <w:bCs/>
          <w:sz w:val="22"/>
          <w:szCs w:val="22"/>
          <w:lang w:eastAsia="en-US"/>
        </w:rPr>
        <w:t xml:space="preserve">Časť dotácie </w:t>
      </w:r>
      <w:r w:rsidR="00E060C3" w:rsidRPr="00853162">
        <w:rPr>
          <w:bCs/>
          <w:sz w:val="22"/>
          <w:szCs w:val="22"/>
          <w:lang w:eastAsia="en-US"/>
        </w:rPr>
        <w:t xml:space="preserve">na vypracovanie projektovej dokumentácie na revitalizáciu, rekonštrukciu a vybavenie existujúcej športovej infraštruktúry a jej príslušenstva poskytovaná ako </w:t>
      </w:r>
      <w:r w:rsidR="00E060C3" w:rsidRPr="00853162">
        <w:rPr>
          <w:b/>
          <w:bCs/>
          <w:sz w:val="22"/>
          <w:szCs w:val="22"/>
          <w:lang w:eastAsia="en-US"/>
        </w:rPr>
        <w:t>ad hoc pomoc de minimis</w:t>
      </w:r>
      <w:r w:rsidR="00E060C3" w:rsidRPr="00853162">
        <w:rPr>
          <w:bCs/>
          <w:sz w:val="22"/>
          <w:szCs w:val="22"/>
          <w:lang w:eastAsia="en-US"/>
        </w:rPr>
        <w:t xml:space="preserve"> </w:t>
      </w:r>
      <w:r w:rsidR="005B60EF" w:rsidRPr="00853162">
        <w:rPr>
          <w:bCs/>
          <w:sz w:val="22"/>
          <w:szCs w:val="22"/>
          <w:lang w:eastAsia="en-US"/>
        </w:rPr>
        <w:t xml:space="preserve">v sume </w:t>
      </w:r>
      <w:r w:rsidR="00E060C3" w:rsidRPr="00853162">
        <w:rPr>
          <w:bCs/>
          <w:sz w:val="22"/>
          <w:szCs w:val="22"/>
          <w:lang w:eastAsia="en-US"/>
        </w:rPr>
        <w:t>150.000 € bola poukázaná na účet v Slovenskej sporiteľni a.s. č. 5075239270/0900 dňa 9.10.2019. Časť dotácie</w:t>
      </w:r>
      <w:r w:rsidR="00B713CF" w:rsidRPr="00853162">
        <w:rPr>
          <w:bCs/>
          <w:sz w:val="22"/>
          <w:szCs w:val="22"/>
          <w:lang w:eastAsia="en-US"/>
        </w:rPr>
        <w:t xml:space="preserve"> </w:t>
      </w:r>
      <w:r w:rsidR="00E060C3" w:rsidRPr="00853162">
        <w:rPr>
          <w:bCs/>
          <w:sz w:val="22"/>
          <w:szCs w:val="22"/>
          <w:lang w:eastAsia="en-US"/>
        </w:rPr>
        <w:t xml:space="preserve">vo výške </w:t>
      </w:r>
      <w:r w:rsidR="005B60EF" w:rsidRPr="00853162">
        <w:rPr>
          <w:bCs/>
          <w:sz w:val="22"/>
          <w:szCs w:val="22"/>
          <w:lang w:eastAsia="en-US"/>
        </w:rPr>
        <w:t>800.0</w:t>
      </w:r>
      <w:r w:rsidR="007E07A8" w:rsidRPr="00853162">
        <w:rPr>
          <w:bCs/>
          <w:sz w:val="22"/>
          <w:szCs w:val="22"/>
          <w:lang w:eastAsia="en-US"/>
        </w:rPr>
        <w:t>0</w:t>
      </w:r>
      <w:r w:rsidR="005B60EF" w:rsidRPr="00853162">
        <w:rPr>
          <w:bCs/>
          <w:sz w:val="22"/>
          <w:szCs w:val="22"/>
          <w:lang w:eastAsia="en-US"/>
        </w:rPr>
        <w:t>0 €</w:t>
      </w:r>
      <w:r w:rsidR="005C49E0" w:rsidRPr="00853162">
        <w:rPr>
          <w:bCs/>
          <w:sz w:val="22"/>
          <w:szCs w:val="22"/>
          <w:lang w:eastAsia="en-US"/>
        </w:rPr>
        <w:t xml:space="preserve"> určená na revitalizáciu, rekonštrukciu a vybavenie existujúcej športovej infraštruktúry a jej </w:t>
      </w:r>
      <w:r w:rsidR="00997E68" w:rsidRPr="00853162">
        <w:rPr>
          <w:bCs/>
          <w:sz w:val="22"/>
          <w:szCs w:val="22"/>
          <w:lang w:eastAsia="en-US"/>
        </w:rPr>
        <w:t>príslušenstva na k</w:t>
      </w:r>
      <w:r w:rsidR="005C49E0" w:rsidRPr="00853162">
        <w:rPr>
          <w:bCs/>
          <w:sz w:val="22"/>
          <w:szCs w:val="22"/>
          <w:lang w:eastAsia="en-US"/>
        </w:rPr>
        <w:t xml:space="preserve">rytej plavárni </w:t>
      </w:r>
      <w:r w:rsidRPr="00853162">
        <w:rPr>
          <w:bCs/>
          <w:sz w:val="22"/>
          <w:szCs w:val="22"/>
          <w:lang w:eastAsia="en-US"/>
        </w:rPr>
        <w:t xml:space="preserve">bola poukázaná na účet v Slovenskej sporiteľni a.s. č. 5075239270/0900 dňa </w:t>
      </w:r>
      <w:r w:rsidR="005B60EF" w:rsidRPr="00853162">
        <w:rPr>
          <w:bCs/>
          <w:sz w:val="22"/>
          <w:szCs w:val="22"/>
          <w:lang w:eastAsia="en-US"/>
        </w:rPr>
        <w:t>10.2.2020</w:t>
      </w:r>
      <w:r w:rsidRPr="00853162">
        <w:rPr>
          <w:bCs/>
          <w:sz w:val="22"/>
          <w:szCs w:val="22"/>
          <w:lang w:eastAsia="en-US"/>
        </w:rPr>
        <w:t>.</w:t>
      </w:r>
      <w:r w:rsidR="00377F96" w:rsidRPr="00853162">
        <w:rPr>
          <w:bCs/>
          <w:sz w:val="22"/>
          <w:szCs w:val="22"/>
          <w:lang w:eastAsia="en-US"/>
        </w:rPr>
        <w:t xml:space="preserve"> Zostávajúca časť dotácie </w:t>
      </w:r>
      <w:r w:rsidR="005C49E0" w:rsidRPr="00853162">
        <w:rPr>
          <w:bCs/>
          <w:sz w:val="22"/>
          <w:szCs w:val="22"/>
          <w:lang w:eastAsia="en-US"/>
        </w:rPr>
        <w:t xml:space="preserve">určená pre stredisko Zimný štadión </w:t>
      </w:r>
      <w:r w:rsidR="00377F96" w:rsidRPr="00853162">
        <w:rPr>
          <w:bCs/>
          <w:sz w:val="22"/>
          <w:szCs w:val="22"/>
          <w:lang w:eastAsia="en-US"/>
        </w:rPr>
        <w:t>vo výške</w:t>
      </w:r>
      <w:r w:rsidR="00377F96" w:rsidRPr="00377F96">
        <w:rPr>
          <w:bCs/>
          <w:sz w:val="22"/>
          <w:szCs w:val="22"/>
          <w:lang w:eastAsia="en-US"/>
        </w:rPr>
        <w:t xml:space="preserve"> 3.350.000 € bola poukázaná na účet v Slovenskej sporiteľni a.s. č. 5075239270/0900 dňa </w:t>
      </w:r>
      <w:r w:rsidR="00377F96">
        <w:rPr>
          <w:bCs/>
          <w:sz w:val="22"/>
          <w:szCs w:val="22"/>
          <w:lang w:eastAsia="en-US"/>
        </w:rPr>
        <w:t>24.11</w:t>
      </w:r>
      <w:r w:rsidR="00377F96" w:rsidRPr="00377F96">
        <w:rPr>
          <w:bCs/>
          <w:sz w:val="22"/>
          <w:szCs w:val="22"/>
          <w:lang w:eastAsia="en-US"/>
        </w:rPr>
        <w:t>.2020.</w:t>
      </w:r>
    </w:p>
    <w:p w:rsidR="007565B3" w:rsidRPr="00A02A84" w:rsidRDefault="007565B3" w:rsidP="008F76DE">
      <w:pPr>
        <w:ind w:right="71"/>
        <w:jc w:val="both"/>
        <w:rPr>
          <w:bCs/>
          <w:sz w:val="22"/>
          <w:szCs w:val="22"/>
          <w:lang w:eastAsia="en-US"/>
        </w:rPr>
      </w:pPr>
    </w:p>
    <w:p w:rsidR="00167C96" w:rsidRPr="00A02A84" w:rsidRDefault="00167C96" w:rsidP="00691379">
      <w:pPr>
        <w:ind w:right="71"/>
        <w:jc w:val="both"/>
        <w:rPr>
          <w:bCs/>
          <w:sz w:val="22"/>
          <w:szCs w:val="22"/>
          <w:lang w:eastAsia="en-US"/>
        </w:rPr>
      </w:pPr>
      <w:r w:rsidRPr="00A02A84">
        <w:rPr>
          <w:bCs/>
          <w:sz w:val="22"/>
          <w:szCs w:val="22"/>
          <w:lang w:eastAsia="en-US"/>
        </w:rPr>
        <w:t>Dotácie na obstaranie dlhodobého hmotného majetku sa účtujú ako výnosy budúcich období a do výnosov sa rozpúšťajú počas doby použiteľnosti majetku, kedy sa účtujú do nákladov odpisy z majetku, na obstaranie ktorého boli dotácie poskytnuté.</w:t>
      </w:r>
    </w:p>
    <w:p w:rsidR="000B3819" w:rsidRPr="00A02A84" w:rsidRDefault="000B3819" w:rsidP="00691379">
      <w:pPr>
        <w:ind w:right="71"/>
        <w:jc w:val="both"/>
        <w:rPr>
          <w:bCs/>
          <w:sz w:val="22"/>
          <w:szCs w:val="22"/>
          <w:lang w:eastAsia="en-US"/>
        </w:rPr>
      </w:pPr>
      <w:r w:rsidRPr="00A02A84">
        <w:rPr>
          <w:bCs/>
          <w:sz w:val="22"/>
          <w:szCs w:val="22"/>
          <w:lang w:eastAsia="en-US"/>
        </w:rPr>
        <w:t>O nároku na dotácie sa účtuje, ak je takmer isté, že na základe splnených podmienok na poskytnutie dotácie sa obchodnej spoločnosti dotácia poskytne.</w:t>
      </w:r>
    </w:p>
    <w:p w:rsidR="000B3819" w:rsidRPr="00A02A84" w:rsidRDefault="000B3819" w:rsidP="00691379">
      <w:pPr>
        <w:ind w:right="71"/>
        <w:jc w:val="both"/>
        <w:rPr>
          <w:bCs/>
          <w:sz w:val="22"/>
          <w:szCs w:val="22"/>
          <w:lang w:eastAsia="en-US"/>
        </w:rPr>
      </w:pPr>
      <w:r w:rsidRPr="00A02A84">
        <w:rPr>
          <w:bCs/>
          <w:sz w:val="22"/>
          <w:szCs w:val="22"/>
          <w:lang w:eastAsia="en-US"/>
        </w:rPr>
        <w:t>Dotácie na hospodársku činnosť sa účtujú v súlade s vynaloženými nákladmi na príslušný účel.</w:t>
      </w:r>
    </w:p>
    <w:p w:rsidR="000B3819" w:rsidRPr="00A02A84" w:rsidRDefault="000B3819" w:rsidP="00691379">
      <w:pPr>
        <w:ind w:right="71"/>
        <w:jc w:val="both"/>
        <w:rPr>
          <w:bCs/>
          <w:sz w:val="22"/>
          <w:szCs w:val="22"/>
          <w:lang w:eastAsia="en-US"/>
        </w:rPr>
      </w:pPr>
      <w:r w:rsidRPr="00A02A84">
        <w:rPr>
          <w:bCs/>
          <w:sz w:val="22"/>
          <w:szCs w:val="22"/>
          <w:lang w:eastAsia="en-US"/>
        </w:rPr>
        <w:t>Dotácie k cene sa účtujú do výnosov v mesiaci, kedy boli dotované tržby dosiahnuté.</w:t>
      </w:r>
    </w:p>
    <w:p w:rsidR="00D33F20" w:rsidRPr="00A02A84" w:rsidRDefault="00D33F20" w:rsidP="00451724">
      <w:pPr>
        <w:ind w:left="360" w:right="71"/>
        <w:jc w:val="both"/>
        <w:rPr>
          <w:bCs/>
          <w:sz w:val="22"/>
          <w:szCs w:val="22"/>
          <w:lang w:eastAsia="en-US"/>
        </w:rPr>
      </w:pPr>
    </w:p>
    <w:p w:rsidR="00CD63EC" w:rsidRDefault="00CD63EC" w:rsidP="004E620B">
      <w:pPr>
        <w:ind w:right="71"/>
        <w:jc w:val="both"/>
        <w:rPr>
          <w:b/>
          <w:bCs/>
          <w:sz w:val="22"/>
          <w:szCs w:val="22"/>
          <w:lang w:eastAsia="en-US"/>
        </w:rPr>
      </w:pPr>
    </w:p>
    <w:p w:rsidR="00451724" w:rsidRPr="00667779" w:rsidRDefault="00E0363A" w:rsidP="004E620B">
      <w:pPr>
        <w:ind w:right="71"/>
        <w:jc w:val="both"/>
        <w:rPr>
          <w:b/>
          <w:bCs/>
          <w:sz w:val="22"/>
          <w:szCs w:val="22"/>
          <w:lang w:eastAsia="en-US"/>
        </w:rPr>
      </w:pPr>
      <w:r w:rsidRPr="00667779">
        <w:rPr>
          <w:b/>
          <w:bCs/>
          <w:sz w:val="22"/>
          <w:szCs w:val="22"/>
          <w:lang w:eastAsia="en-US"/>
        </w:rPr>
        <w:t>Prepočet údajov v cudzích menách na menu EURO</w:t>
      </w:r>
    </w:p>
    <w:p w:rsidR="000E0A20" w:rsidRPr="00667779" w:rsidRDefault="000E0A20" w:rsidP="000E0A20">
      <w:pPr>
        <w:tabs>
          <w:tab w:val="left" w:pos="360"/>
        </w:tabs>
        <w:ind w:right="71"/>
        <w:jc w:val="both"/>
        <w:rPr>
          <w:b/>
          <w:bCs/>
          <w:sz w:val="22"/>
          <w:szCs w:val="22"/>
          <w:lang w:eastAsia="en-US"/>
        </w:rPr>
      </w:pPr>
    </w:p>
    <w:p w:rsidR="00E0363A" w:rsidRPr="00667779" w:rsidRDefault="00E0363A" w:rsidP="00E0363A">
      <w:pPr>
        <w:jc w:val="both"/>
        <w:rPr>
          <w:bCs/>
          <w:sz w:val="22"/>
          <w:szCs w:val="22"/>
          <w:lang w:eastAsia="en-US"/>
        </w:rPr>
      </w:pPr>
      <w:r w:rsidRPr="00667779">
        <w:rPr>
          <w:bCs/>
          <w:sz w:val="22"/>
          <w:szCs w:val="22"/>
          <w:lang w:eastAsia="en-US"/>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E0363A" w:rsidRPr="00667779" w:rsidRDefault="00E0363A" w:rsidP="00E0363A">
      <w:pPr>
        <w:jc w:val="both"/>
        <w:rPr>
          <w:rFonts w:ascii="Verdana" w:hAnsi="Verdana" w:cs="Arial"/>
          <w:sz w:val="16"/>
          <w:szCs w:val="16"/>
        </w:rPr>
      </w:pPr>
    </w:p>
    <w:p w:rsidR="00E0363A" w:rsidRPr="00667779" w:rsidRDefault="00E0363A" w:rsidP="00E0363A">
      <w:pPr>
        <w:jc w:val="both"/>
        <w:rPr>
          <w:bCs/>
          <w:sz w:val="22"/>
          <w:szCs w:val="22"/>
          <w:lang w:eastAsia="en-US"/>
        </w:rPr>
      </w:pPr>
      <w:r w:rsidRPr="00667779">
        <w:rPr>
          <w:bCs/>
          <w:sz w:val="22"/>
          <w:szCs w:val="22"/>
          <w:lang w:eastAsia="en-US"/>
        </w:rPr>
        <w:t>Účtovná jednotka ku dňu, ku ktorému sa zostavuje účtovná závierka, prepočíta na menu euro majetok a záväzky vyjadrené v cudzej mene s výnimkou prijatých a poskytnutých preddavkov kurzom vyhláseným Európskou centrálnou bankou.</w:t>
      </w:r>
    </w:p>
    <w:p w:rsidR="00CC4D8F" w:rsidRDefault="00CC4D8F" w:rsidP="00451724">
      <w:pPr>
        <w:tabs>
          <w:tab w:val="left" w:pos="360"/>
        </w:tabs>
        <w:ind w:left="360" w:right="71"/>
        <w:jc w:val="both"/>
        <w:rPr>
          <w:bCs/>
          <w:sz w:val="22"/>
          <w:szCs w:val="22"/>
          <w:lang w:eastAsia="en-US"/>
        </w:rPr>
      </w:pPr>
    </w:p>
    <w:p w:rsidR="00451724" w:rsidRPr="00A02A84" w:rsidRDefault="00451724" w:rsidP="00451724">
      <w:pPr>
        <w:tabs>
          <w:tab w:val="left" w:pos="360"/>
        </w:tabs>
        <w:ind w:left="360" w:right="71"/>
        <w:jc w:val="both"/>
        <w:rPr>
          <w:bCs/>
          <w:sz w:val="22"/>
          <w:szCs w:val="22"/>
          <w:lang w:eastAsia="en-US"/>
        </w:rPr>
      </w:pPr>
    </w:p>
    <w:p w:rsidR="00E0363A" w:rsidRPr="00667779" w:rsidRDefault="00E0363A" w:rsidP="00E0363A">
      <w:pPr>
        <w:tabs>
          <w:tab w:val="left" w:pos="709"/>
        </w:tabs>
        <w:ind w:right="71"/>
        <w:jc w:val="both"/>
        <w:rPr>
          <w:b/>
          <w:bCs/>
          <w:sz w:val="22"/>
          <w:szCs w:val="22"/>
          <w:lang w:eastAsia="en-US"/>
        </w:rPr>
      </w:pPr>
      <w:r w:rsidRPr="00667779">
        <w:rPr>
          <w:b/>
          <w:bCs/>
          <w:sz w:val="22"/>
          <w:szCs w:val="22"/>
          <w:lang w:eastAsia="en-US"/>
        </w:rPr>
        <w:t xml:space="preserve">Zmeny účtovných zásad a účtovných metód, zmeny spôsobov oceňovania, odpisovania, vykazovania a postupov </w:t>
      </w:r>
    </w:p>
    <w:p w:rsidR="00BD1F97" w:rsidRPr="00667779" w:rsidRDefault="00BD1F97" w:rsidP="00E0363A">
      <w:pPr>
        <w:rPr>
          <w:bCs/>
          <w:sz w:val="22"/>
          <w:szCs w:val="22"/>
          <w:lang w:eastAsia="en-US"/>
        </w:rPr>
      </w:pPr>
    </w:p>
    <w:p w:rsidR="00CB6AFD" w:rsidRPr="002927BF" w:rsidRDefault="00661FEF" w:rsidP="00BD1F97">
      <w:pPr>
        <w:jc w:val="both"/>
        <w:rPr>
          <w:bCs/>
          <w:sz w:val="22"/>
          <w:szCs w:val="22"/>
          <w:lang w:eastAsia="en-US"/>
        </w:rPr>
      </w:pPr>
      <w:r>
        <w:rPr>
          <w:bCs/>
          <w:sz w:val="22"/>
          <w:szCs w:val="22"/>
          <w:lang w:eastAsia="en-US"/>
        </w:rPr>
        <w:t>Spoločnosť v roku 20</w:t>
      </w:r>
      <w:r w:rsidR="00084BC3">
        <w:rPr>
          <w:bCs/>
          <w:sz w:val="22"/>
          <w:szCs w:val="22"/>
          <w:lang w:eastAsia="en-US"/>
        </w:rPr>
        <w:t>2</w:t>
      </w:r>
      <w:r w:rsidR="00853162">
        <w:rPr>
          <w:bCs/>
          <w:sz w:val="22"/>
          <w:szCs w:val="22"/>
          <w:lang w:eastAsia="en-US"/>
        </w:rPr>
        <w:t>1</w:t>
      </w:r>
      <w:r w:rsidR="00205530" w:rsidRPr="002927BF">
        <w:rPr>
          <w:bCs/>
          <w:sz w:val="22"/>
          <w:szCs w:val="22"/>
          <w:lang w:eastAsia="en-US"/>
        </w:rPr>
        <w:t xml:space="preserve"> nemenila účtovné zásady a metódy.</w:t>
      </w:r>
    </w:p>
    <w:p w:rsidR="00E0363A" w:rsidRDefault="00E0363A" w:rsidP="004E620B">
      <w:pPr>
        <w:tabs>
          <w:tab w:val="left" w:pos="0"/>
        </w:tabs>
        <w:ind w:right="71"/>
        <w:jc w:val="both"/>
        <w:rPr>
          <w:b/>
          <w:bCs/>
          <w:sz w:val="22"/>
          <w:szCs w:val="22"/>
          <w:lang w:eastAsia="en-US"/>
        </w:rPr>
      </w:pPr>
    </w:p>
    <w:p w:rsidR="00451724" w:rsidRPr="00A02A84" w:rsidRDefault="00451724" w:rsidP="004E620B">
      <w:pPr>
        <w:tabs>
          <w:tab w:val="left" w:pos="0"/>
        </w:tabs>
        <w:ind w:right="71"/>
        <w:jc w:val="both"/>
        <w:rPr>
          <w:b/>
          <w:bCs/>
          <w:sz w:val="22"/>
          <w:szCs w:val="22"/>
          <w:lang w:eastAsia="en-US"/>
        </w:rPr>
      </w:pPr>
      <w:r w:rsidRPr="00A02A84">
        <w:rPr>
          <w:b/>
          <w:bCs/>
          <w:sz w:val="22"/>
          <w:szCs w:val="22"/>
          <w:lang w:eastAsia="en-US"/>
        </w:rPr>
        <w:t>Výnosy</w:t>
      </w:r>
    </w:p>
    <w:p w:rsidR="000E0A20" w:rsidRPr="00A02A84" w:rsidRDefault="000E0A20" w:rsidP="000E0A20">
      <w:pPr>
        <w:tabs>
          <w:tab w:val="left" w:pos="360"/>
        </w:tabs>
        <w:ind w:right="71"/>
        <w:jc w:val="both"/>
        <w:rPr>
          <w:b/>
          <w:bCs/>
          <w:sz w:val="22"/>
          <w:szCs w:val="22"/>
          <w:lang w:eastAsia="en-US"/>
        </w:rPr>
      </w:pPr>
    </w:p>
    <w:p w:rsidR="00451724" w:rsidRDefault="00451724" w:rsidP="000E0A20">
      <w:pPr>
        <w:tabs>
          <w:tab w:val="left" w:pos="360"/>
        </w:tabs>
        <w:ind w:right="71"/>
        <w:jc w:val="both"/>
        <w:rPr>
          <w:bCs/>
          <w:sz w:val="22"/>
          <w:szCs w:val="22"/>
          <w:lang w:eastAsia="en-US"/>
        </w:rPr>
      </w:pPr>
      <w:r w:rsidRPr="00A02A84">
        <w:rPr>
          <w:bCs/>
          <w:sz w:val="22"/>
          <w:szCs w:val="22"/>
          <w:lang w:eastAsia="en-US"/>
        </w:rPr>
        <w:t>Tržb</w:t>
      </w:r>
      <w:r w:rsidR="00B067CC" w:rsidRPr="00A02A84">
        <w:rPr>
          <w:bCs/>
          <w:sz w:val="22"/>
          <w:szCs w:val="22"/>
          <w:lang w:eastAsia="en-US"/>
        </w:rPr>
        <w:t>y</w:t>
      </w:r>
      <w:r w:rsidRPr="00A02A84">
        <w:rPr>
          <w:bCs/>
          <w:sz w:val="22"/>
          <w:szCs w:val="22"/>
          <w:lang w:eastAsia="en-US"/>
        </w:rPr>
        <w:t xml:space="preserve"> za </w:t>
      </w:r>
      <w:r w:rsidR="00B067CC" w:rsidRPr="00A02A84">
        <w:rPr>
          <w:bCs/>
          <w:sz w:val="22"/>
          <w:szCs w:val="22"/>
          <w:lang w:eastAsia="en-US"/>
        </w:rPr>
        <w:t>služby a predaj dlhodobého hmotného majetku neobsahujú</w:t>
      </w:r>
      <w:r w:rsidRPr="00A02A84">
        <w:rPr>
          <w:bCs/>
          <w:sz w:val="22"/>
          <w:szCs w:val="22"/>
          <w:lang w:eastAsia="en-US"/>
        </w:rPr>
        <w:t xml:space="preserve"> daň z pridanej hodnoty. Sú tiež znížené o zľavy a</w:t>
      </w:r>
      <w:r w:rsidR="00FB1F06" w:rsidRPr="00A02A84">
        <w:rPr>
          <w:bCs/>
          <w:sz w:val="22"/>
          <w:szCs w:val="22"/>
          <w:lang w:eastAsia="en-US"/>
        </w:rPr>
        <w:t> </w:t>
      </w:r>
      <w:r w:rsidRPr="00A02A84">
        <w:rPr>
          <w:bCs/>
          <w:sz w:val="22"/>
          <w:szCs w:val="22"/>
          <w:lang w:eastAsia="en-US"/>
        </w:rPr>
        <w:t>zrážky</w:t>
      </w:r>
      <w:r w:rsidR="00FB1F06" w:rsidRPr="00A02A84">
        <w:rPr>
          <w:bCs/>
          <w:sz w:val="22"/>
          <w:szCs w:val="22"/>
          <w:lang w:eastAsia="en-US"/>
        </w:rPr>
        <w:t xml:space="preserve"> </w:t>
      </w:r>
      <w:r w:rsidRPr="00A02A84">
        <w:rPr>
          <w:bCs/>
          <w:sz w:val="22"/>
          <w:szCs w:val="22"/>
          <w:lang w:eastAsia="en-US"/>
        </w:rPr>
        <w:t xml:space="preserve">bez ohľadu na to, či zákazník mal </w:t>
      </w:r>
      <w:r w:rsidR="008A427F" w:rsidRPr="00A02A84">
        <w:rPr>
          <w:bCs/>
          <w:sz w:val="22"/>
          <w:szCs w:val="22"/>
          <w:lang w:eastAsia="en-US"/>
        </w:rPr>
        <w:t xml:space="preserve">na ne </w:t>
      </w:r>
      <w:r w:rsidRPr="00A02A84">
        <w:rPr>
          <w:bCs/>
          <w:sz w:val="22"/>
          <w:szCs w:val="22"/>
          <w:lang w:eastAsia="en-US"/>
        </w:rPr>
        <w:t>vopred nárok, alebo či ide o dodatočne uznanú zľavu.</w:t>
      </w:r>
    </w:p>
    <w:p w:rsidR="005C20F2" w:rsidRDefault="005C20F2" w:rsidP="000E0A20">
      <w:pPr>
        <w:tabs>
          <w:tab w:val="left" w:pos="360"/>
        </w:tabs>
        <w:ind w:right="71"/>
        <w:jc w:val="both"/>
        <w:rPr>
          <w:b/>
          <w:bCs/>
          <w:sz w:val="22"/>
          <w:szCs w:val="22"/>
          <w:lang w:eastAsia="en-US"/>
        </w:rPr>
      </w:pPr>
    </w:p>
    <w:p w:rsidR="00A02A84" w:rsidRPr="000918A0" w:rsidRDefault="006F6027" w:rsidP="000E0A20">
      <w:pPr>
        <w:tabs>
          <w:tab w:val="left" w:pos="360"/>
        </w:tabs>
        <w:ind w:right="71"/>
        <w:jc w:val="both"/>
        <w:rPr>
          <w:b/>
          <w:bCs/>
          <w:sz w:val="22"/>
          <w:szCs w:val="22"/>
          <w:lang w:eastAsia="en-US"/>
        </w:rPr>
      </w:pPr>
      <w:r w:rsidRPr="000918A0">
        <w:rPr>
          <w:b/>
          <w:bCs/>
          <w:sz w:val="22"/>
          <w:szCs w:val="22"/>
          <w:lang w:eastAsia="en-US"/>
        </w:rPr>
        <w:t>Oprava významných chýb minulých účtovných období</w:t>
      </w:r>
    </w:p>
    <w:p w:rsidR="00A02A84" w:rsidRDefault="00A02A84" w:rsidP="000E0A20">
      <w:pPr>
        <w:tabs>
          <w:tab w:val="left" w:pos="360"/>
        </w:tabs>
        <w:ind w:right="71"/>
        <w:jc w:val="both"/>
        <w:rPr>
          <w:bCs/>
          <w:sz w:val="22"/>
          <w:szCs w:val="22"/>
          <w:lang w:eastAsia="en-US"/>
        </w:rPr>
      </w:pPr>
    </w:p>
    <w:p w:rsidR="00AC1C35" w:rsidRPr="002927BF" w:rsidRDefault="00E86BF7" w:rsidP="00DC0C8D">
      <w:pPr>
        <w:jc w:val="both"/>
        <w:rPr>
          <w:sz w:val="22"/>
          <w:szCs w:val="22"/>
        </w:rPr>
      </w:pPr>
      <w:r>
        <w:rPr>
          <w:bCs/>
          <w:sz w:val="22"/>
          <w:szCs w:val="22"/>
          <w:lang w:eastAsia="en-US"/>
        </w:rPr>
        <w:t>Spoločnosť v roku 20</w:t>
      </w:r>
      <w:r w:rsidR="00DA33DB">
        <w:rPr>
          <w:bCs/>
          <w:sz w:val="22"/>
          <w:szCs w:val="22"/>
          <w:lang w:eastAsia="en-US"/>
        </w:rPr>
        <w:t>2</w:t>
      </w:r>
      <w:r w:rsidR="00853162">
        <w:rPr>
          <w:bCs/>
          <w:sz w:val="22"/>
          <w:szCs w:val="22"/>
          <w:lang w:eastAsia="en-US"/>
        </w:rPr>
        <w:t>1</w:t>
      </w:r>
      <w:r w:rsidR="00205530" w:rsidRPr="002927BF">
        <w:rPr>
          <w:bCs/>
          <w:sz w:val="22"/>
          <w:szCs w:val="22"/>
          <w:lang w:eastAsia="en-US"/>
        </w:rPr>
        <w:t xml:space="preserve"> neúčtovala o oprave významných chýb minulých účtovných období.</w:t>
      </w:r>
    </w:p>
    <w:p w:rsidR="002F07A7" w:rsidRPr="000918A0" w:rsidRDefault="002F07A7" w:rsidP="000918A0">
      <w:pPr>
        <w:ind w:right="71"/>
        <w:jc w:val="both"/>
        <w:rPr>
          <w:b/>
          <w:bCs/>
          <w:sz w:val="22"/>
          <w:szCs w:val="22"/>
          <w:lang w:eastAsia="en-US"/>
        </w:rPr>
      </w:pPr>
    </w:p>
    <w:p w:rsidR="009346B9" w:rsidRPr="000918A0" w:rsidRDefault="001B4EBC" w:rsidP="000918A0">
      <w:pPr>
        <w:ind w:right="71"/>
        <w:jc w:val="center"/>
        <w:rPr>
          <w:b/>
          <w:bCs/>
          <w:sz w:val="22"/>
          <w:szCs w:val="22"/>
          <w:lang w:eastAsia="en-US"/>
        </w:rPr>
      </w:pPr>
      <w:r>
        <w:rPr>
          <w:b/>
          <w:bCs/>
          <w:sz w:val="22"/>
          <w:szCs w:val="22"/>
          <w:lang w:eastAsia="en-US"/>
        </w:rPr>
        <w:t>Článok III</w:t>
      </w:r>
    </w:p>
    <w:p w:rsidR="009346B9" w:rsidRDefault="006C37C7" w:rsidP="000918A0">
      <w:pPr>
        <w:ind w:right="71"/>
        <w:jc w:val="center"/>
        <w:rPr>
          <w:b/>
          <w:bCs/>
          <w:sz w:val="22"/>
          <w:szCs w:val="22"/>
          <w:lang w:eastAsia="en-US"/>
        </w:rPr>
      </w:pPr>
      <w:r w:rsidRPr="001B4EBC">
        <w:rPr>
          <w:b/>
          <w:bCs/>
          <w:sz w:val="22"/>
          <w:szCs w:val="22"/>
          <w:lang w:eastAsia="en-US"/>
        </w:rPr>
        <w:t>Informácie, ktoré vysvetľujú a dopĺňajú súvahu a výkaz ziskov</w:t>
      </w:r>
    </w:p>
    <w:p w:rsidR="00602E82" w:rsidRDefault="00602E82" w:rsidP="000918A0">
      <w:pPr>
        <w:ind w:right="71"/>
        <w:jc w:val="center"/>
        <w:rPr>
          <w:b/>
          <w:bCs/>
          <w:sz w:val="22"/>
          <w:szCs w:val="22"/>
          <w:lang w:eastAsia="en-US"/>
        </w:rPr>
      </w:pPr>
    </w:p>
    <w:p w:rsidR="009346B9" w:rsidRPr="00602E82" w:rsidRDefault="00602E82" w:rsidP="000918A0">
      <w:pPr>
        <w:ind w:right="71"/>
        <w:jc w:val="both"/>
        <w:rPr>
          <w:bCs/>
          <w:sz w:val="22"/>
          <w:szCs w:val="22"/>
          <w:lang w:eastAsia="en-US"/>
        </w:rPr>
      </w:pPr>
      <w:r w:rsidRPr="00602E82">
        <w:rPr>
          <w:bCs/>
          <w:sz w:val="22"/>
          <w:szCs w:val="22"/>
          <w:lang w:eastAsia="en-US"/>
        </w:rPr>
        <w:t xml:space="preserve">Celková suma záväzkov s dobou </w:t>
      </w:r>
      <w:r>
        <w:rPr>
          <w:bCs/>
          <w:sz w:val="22"/>
          <w:szCs w:val="22"/>
          <w:lang w:eastAsia="en-US"/>
        </w:rPr>
        <w:t>splatnosti dlhšou ako 1 rok:</w:t>
      </w:r>
    </w:p>
    <w:p w:rsidR="00602E82" w:rsidRPr="000918A0" w:rsidRDefault="00602E82" w:rsidP="000918A0">
      <w:pPr>
        <w:ind w:right="71"/>
        <w:jc w:val="both"/>
        <w:rPr>
          <w:b/>
          <w:bCs/>
          <w:sz w:val="22"/>
          <w:szCs w:val="22"/>
          <w:lang w:eastAsia="en-US"/>
        </w:rPr>
      </w:pPr>
    </w:p>
    <w:tbl>
      <w:tblPr>
        <w:tblW w:w="0" w:type="auto"/>
        <w:jc w:val="center"/>
        <w:tblLayout w:type="fixed"/>
        <w:tblCellMar>
          <w:left w:w="70" w:type="dxa"/>
          <w:right w:w="70" w:type="dxa"/>
        </w:tblCellMar>
        <w:tblLook w:val="0000" w:firstRow="0" w:lastRow="0" w:firstColumn="0" w:lastColumn="0" w:noHBand="0" w:noVBand="0"/>
      </w:tblPr>
      <w:tblGrid>
        <w:gridCol w:w="3495"/>
        <w:gridCol w:w="2459"/>
        <w:gridCol w:w="2945"/>
      </w:tblGrid>
      <w:tr w:rsidR="00691379" w:rsidRPr="00A02A84" w:rsidTr="00B976A4">
        <w:trPr>
          <w:trHeight w:val="497"/>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691379" w:rsidRPr="000918A0" w:rsidRDefault="006F6027" w:rsidP="00B976A4">
            <w:pPr>
              <w:pStyle w:val="Vchodzie"/>
              <w:autoSpaceDE/>
              <w:jc w:val="center"/>
              <w:rPr>
                <w:b/>
                <w:color w:val="000000"/>
                <w:sz w:val="22"/>
                <w:szCs w:val="22"/>
              </w:rPr>
            </w:pPr>
            <w:r w:rsidRPr="000918A0">
              <w:rPr>
                <w:b/>
                <w:color w:val="000000"/>
                <w:sz w:val="22"/>
                <w:szCs w:val="22"/>
              </w:rPr>
              <w:t>Záväzky</w:t>
            </w:r>
          </w:p>
        </w:tc>
        <w:tc>
          <w:tcPr>
            <w:tcW w:w="2459" w:type="dxa"/>
            <w:tcBorders>
              <w:top w:val="single" w:sz="2" w:space="0" w:color="000000"/>
              <w:left w:val="single" w:sz="2" w:space="0" w:color="000000"/>
              <w:bottom w:val="single" w:sz="2" w:space="0" w:color="000000"/>
              <w:right w:val="single" w:sz="2" w:space="0" w:color="000000"/>
            </w:tcBorders>
            <w:vAlign w:val="center"/>
          </w:tcPr>
          <w:p w:rsidR="00691379" w:rsidRPr="000918A0" w:rsidRDefault="006F6027" w:rsidP="00B976A4">
            <w:pPr>
              <w:pStyle w:val="Vchodzie"/>
              <w:autoSpaceDE/>
              <w:jc w:val="center"/>
              <w:rPr>
                <w:b/>
                <w:color w:val="000000"/>
                <w:sz w:val="22"/>
                <w:szCs w:val="22"/>
              </w:rPr>
            </w:pPr>
            <w:r w:rsidRPr="000918A0">
              <w:rPr>
                <w:b/>
                <w:color w:val="000000"/>
                <w:sz w:val="22"/>
                <w:szCs w:val="22"/>
              </w:rPr>
              <w:t>Hodnota v bežnom účtovnom období</w:t>
            </w:r>
          </w:p>
        </w:tc>
        <w:tc>
          <w:tcPr>
            <w:tcW w:w="2945" w:type="dxa"/>
            <w:tcBorders>
              <w:top w:val="single" w:sz="2" w:space="0" w:color="000000"/>
              <w:left w:val="single" w:sz="2" w:space="0" w:color="000000"/>
              <w:bottom w:val="single" w:sz="2" w:space="0" w:color="000000"/>
              <w:right w:val="single" w:sz="2" w:space="0" w:color="000000"/>
            </w:tcBorders>
            <w:vAlign w:val="center"/>
          </w:tcPr>
          <w:p w:rsidR="00691379" w:rsidRPr="000918A0" w:rsidRDefault="006F6027" w:rsidP="00B976A4">
            <w:pPr>
              <w:pStyle w:val="Vchodzie"/>
              <w:autoSpaceDE/>
              <w:jc w:val="center"/>
              <w:rPr>
                <w:b/>
                <w:color w:val="000000"/>
                <w:sz w:val="22"/>
                <w:szCs w:val="22"/>
              </w:rPr>
            </w:pPr>
            <w:r w:rsidRPr="000918A0">
              <w:rPr>
                <w:b/>
                <w:color w:val="000000"/>
                <w:sz w:val="22"/>
                <w:szCs w:val="22"/>
              </w:rPr>
              <w:t>Hodnota v predchádzajúcom účtovnom období</w:t>
            </w:r>
          </w:p>
        </w:tc>
      </w:tr>
      <w:tr w:rsidR="00853162" w:rsidRPr="00A02A84"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color w:val="000000"/>
                <w:sz w:val="22"/>
                <w:szCs w:val="22"/>
                <w:lang w:eastAsia="en-US" w:bidi="ar-SA"/>
              </w:rPr>
            </w:pPr>
            <w:r w:rsidRPr="000918A0">
              <w:rPr>
                <w:color w:val="000000"/>
                <w:sz w:val="22"/>
                <w:szCs w:val="22"/>
                <w:lang w:eastAsia="en-US" w:bidi="ar-SA"/>
              </w:rPr>
              <w:t>Sociálny fond</w:t>
            </w:r>
          </w:p>
        </w:tc>
        <w:tc>
          <w:tcPr>
            <w:tcW w:w="2459"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853162">
            <w:pPr>
              <w:pStyle w:val="Vchodzie"/>
              <w:autoSpaceDE/>
              <w:jc w:val="right"/>
              <w:rPr>
                <w:sz w:val="22"/>
                <w:szCs w:val="22"/>
                <w:lang w:eastAsia="en-US"/>
              </w:rPr>
            </w:pPr>
            <w:r>
              <w:rPr>
                <w:sz w:val="22"/>
                <w:szCs w:val="22"/>
                <w:lang w:eastAsia="en-US"/>
              </w:rPr>
              <w:t>15.478</w:t>
            </w:r>
          </w:p>
        </w:tc>
        <w:tc>
          <w:tcPr>
            <w:tcW w:w="294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D837FF">
            <w:pPr>
              <w:pStyle w:val="Vchodzie"/>
              <w:autoSpaceDE/>
              <w:jc w:val="right"/>
              <w:rPr>
                <w:sz w:val="22"/>
                <w:szCs w:val="22"/>
                <w:lang w:eastAsia="en-US"/>
              </w:rPr>
            </w:pPr>
            <w:r>
              <w:rPr>
                <w:sz w:val="22"/>
                <w:szCs w:val="22"/>
                <w:lang w:eastAsia="en-US"/>
              </w:rPr>
              <w:t>15.925</w:t>
            </w:r>
          </w:p>
        </w:tc>
      </w:tr>
      <w:tr w:rsidR="00853162" w:rsidRPr="00A02A84"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color w:val="000000"/>
                <w:sz w:val="22"/>
                <w:szCs w:val="22"/>
                <w:lang w:eastAsia="en-US" w:bidi="ar-SA"/>
              </w:rPr>
            </w:pPr>
            <w:r w:rsidRPr="000918A0">
              <w:rPr>
                <w:color w:val="000000"/>
                <w:sz w:val="22"/>
                <w:szCs w:val="22"/>
                <w:lang w:eastAsia="en-US" w:bidi="ar-SA"/>
              </w:rPr>
              <w:t>Úver ŠFRB – dlhodobá časť</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0918A0" w:rsidRDefault="00853162" w:rsidP="000918A0">
            <w:pPr>
              <w:jc w:val="right"/>
              <w:rPr>
                <w:sz w:val="22"/>
                <w:szCs w:val="22"/>
              </w:rPr>
            </w:pPr>
            <w:r>
              <w:rPr>
                <w:sz w:val="22"/>
                <w:szCs w:val="22"/>
              </w:rPr>
              <w:t>0</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0918A0" w:rsidRDefault="00853162" w:rsidP="00D837FF">
            <w:pPr>
              <w:jc w:val="right"/>
              <w:rPr>
                <w:sz w:val="22"/>
                <w:szCs w:val="22"/>
              </w:rPr>
            </w:pPr>
            <w:r>
              <w:rPr>
                <w:sz w:val="22"/>
                <w:szCs w:val="22"/>
              </w:rPr>
              <w:t>0</w:t>
            </w:r>
          </w:p>
        </w:tc>
      </w:tr>
      <w:tr w:rsidR="00853162" w:rsidRPr="00A02A84"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color w:val="000000"/>
                <w:sz w:val="22"/>
                <w:szCs w:val="22"/>
              </w:rPr>
            </w:pPr>
            <w:r w:rsidRPr="000918A0">
              <w:rPr>
                <w:color w:val="000000"/>
                <w:sz w:val="22"/>
                <w:szCs w:val="22"/>
                <w:lang w:eastAsia="en-US" w:bidi="ar-SA"/>
              </w:rPr>
              <w:t>Odložený daňový záväzok</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E91DF7" w:rsidRDefault="00853162" w:rsidP="000918A0">
            <w:pPr>
              <w:jc w:val="right"/>
              <w:rPr>
                <w:sz w:val="22"/>
                <w:szCs w:val="22"/>
              </w:rPr>
            </w:pPr>
            <w:r>
              <w:rPr>
                <w:sz w:val="22"/>
                <w:szCs w:val="22"/>
              </w:rPr>
              <w:t>628</w:t>
            </w:r>
            <w:r w:rsidR="00091BA9">
              <w:rPr>
                <w:sz w:val="22"/>
                <w:szCs w:val="22"/>
              </w:rPr>
              <w:t>.</w:t>
            </w:r>
            <w:r>
              <w:rPr>
                <w:sz w:val="22"/>
                <w:szCs w:val="22"/>
              </w:rPr>
              <w:t>438</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E91DF7" w:rsidRDefault="00853162" w:rsidP="00D837FF">
            <w:pPr>
              <w:jc w:val="right"/>
              <w:rPr>
                <w:sz w:val="22"/>
                <w:szCs w:val="22"/>
              </w:rPr>
            </w:pPr>
            <w:r>
              <w:rPr>
                <w:sz w:val="22"/>
                <w:szCs w:val="22"/>
              </w:rPr>
              <w:t>679.805</w:t>
            </w:r>
          </w:p>
        </w:tc>
      </w:tr>
      <w:tr w:rsidR="00853162" w:rsidRPr="00084BC3"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7A77D0" w:rsidRDefault="00853162" w:rsidP="00B20DCF">
            <w:pPr>
              <w:pStyle w:val="Vchodzie"/>
              <w:autoSpaceDE/>
              <w:spacing w:line="276" w:lineRule="auto"/>
              <w:rPr>
                <w:color w:val="000000"/>
                <w:sz w:val="22"/>
                <w:szCs w:val="22"/>
                <w:lang w:eastAsia="en-US" w:bidi="ar-SA"/>
              </w:rPr>
            </w:pPr>
            <w:r w:rsidRPr="007A77D0">
              <w:rPr>
                <w:color w:val="000000"/>
                <w:sz w:val="22"/>
                <w:szCs w:val="22"/>
                <w:lang w:eastAsia="en-US" w:bidi="ar-SA"/>
              </w:rPr>
              <w:t>Záväzky z obchodného styku</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7A77D0" w:rsidRDefault="00853162" w:rsidP="000918A0">
            <w:pPr>
              <w:jc w:val="right"/>
              <w:rPr>
                <w:sz w:val="22"/>
                <w:szCs w:val="22"/>
              </w:rPr>
            </w:pPr>
            <w:r>
              <w:rPr>
                <w:sz w:val="22"/>
                <w:szCs w:val="22"/>
              </w:rPr>
              <w:t>9</w:t>
            </w:r>
            <w:r w:rsidR="00091BA9">
              <w:rPr>
                <w:sz w:val="22"/>
                <w:szCs w:val="22"/>
              </w:rPr>
              <w:t>.</w:t>
            </w:r>
            <w:r>
              <w:rPr>
                <w:sz w:val="22"/>
                <w:szCs w:val="22"/>
              </w:rPr>
              <w:t>509</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7A77D0" w:rsidRDefault="00853162" w:rsidP="00D837FF">
            <w:pPr>
              <w:jc w:val="right"/>
              <w:rPr>
                <w:sz w:val="22"/>
                <w:szCs w:val="22"/>
              </w:rPr>
            </w:pPr>
            <w:r>
              <w:rPr>
                <w:sz w:val="22"/>
                <w:szCs w:val="22"/>
              </w:rPr>
              <w:t>19.883</w:t>
            </w:r>
          </w:p>
        </w:tc>
      </w:tr>
      <w:tr w:rsidR="00853162" w:rsidRPr="00A02A84"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b/>
                <w:color w:val="000000"/>
                <w:sz w:val="22"/>
                <w:szCs w:val="22"/>
              </w:rPr>
            </w:pPr>
            <w:r w:rsidRPr="000918A0">
              <w:rPr>
                <w:b/>
                <w:color w:val="000000"/>
                <w:sz w:val="22"/>
                <w:szCs w:val="22"/>
                <w:lang w:eastAsia="en-US" w:bidi="ar-SA"/>
              </w:rPr>
              <w:t>Dlhodobé záväzky - súčet</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4B356A" w:rsidRDefault="00091BA9" w:rsidP="000918A0">
            <w:pPr>
              <w:jc w:val="right"/>
              <w:rPr>
                <w:b/>
                <w:sz w:val="22"/>
                <w:szCs w:val="22"/>
                <w:highlight w:val="yellow"/>
              </w:rPr>
            </w:pPr>
            <w:r w:rsidRPr="00091BA9">
              <w:rPr>
                <w:b/>
                <w:sz w:val="22"/>
                <w:szCs w:val="22"/>
              </w:rPr>
              <w:t>653.427</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4B356A" w:rsidRDefault="00853162" w:rsidP="00D837FF">
            <w:pPr>
              <w:jc w:val="right"/>
              <w:rPr>
                <w:b/>
                <w:sz w:val="22"/>
                <w:szCs w:val="22"/>
                <w:highlight w:val="yellow"/>
              </w:rPr>
            </w:pPr>
            <w:r w:rsidRPr="00C67B1C">
              <w:rPr>
                <w:b/>
                <w:sz w:val="22"/>
                <w:szCs w:val="22"/>
              </w:rPr>
              <w:t>715.613</w:t>
            </w:r>
          </w:p>
        </w:tc>
      </w:tr>
      <w:tr w:rsidR="00853162" w:rsidRPr="00A02A84" w:rsidTr="00B976A4">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color w:val="000000"/>
                <w:sz w:val="22"/>
                <w:szCs w:val="22"/>
                <w:lang w:eastAsia="en-US" w:bidi="ar-SA"/>
              </w:rPr>
            </w:pPr>
            <w:r w:rsidRPr="000918A0">
              <w:rPr>
                <w:color w:val="000000"/>
                <w:sz w:val="22"/>
                <w:szCs w:val="22"/>
                <w:lang w:eastAsia="en-US" w:bidi="ar-SA"/>
              </w:rPr>
              <w:t>Bankové úvery – dlhodobá časť</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0918A0" w:rsidRDefault="00091BA9" w:rsidP="000918A0">
            <w:pPr>
              <w:jc w:val="right"/>
              <w:rPr>
                <w:sz w:val="22"/>
                <w:szCs w:val="22"/>
              </w:rPr>
            </w:pPr>
            <w:r>
              <w:rPr>
                <w:sz w:val="22"/>
                <w:szCs w:val="22"/>
              </w:rPr>
              <w:t>2.539.751</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0918A0" w:rsidRDefault="00853162" w:rsidP="00D837FF">
            <w:pPr>
              <w:jc w:val="right"/>
              <w:rPr>
                <w:sz w:val="22"/>
                <w:szCs w:val="22"/>
              </w:rPr>
            </w:pPr>
            <w:r>
              <w:rPr>
                <w:sz w:val="22"/>
                <w:szCs w:val="22"/>
              </w:rPr>
              <w:t>1.397.317</w:t>
            </w:r>
          </w:p>
        </w:tc>
      </w:tr>
      <w:tr w:rsidR="00853162" w:rsidRPr="00A02A84" w:rsidTr="00E91DF7">
        <w:trPr>
          <w:trHeight w:val="213"/>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853162" w:rsidRPr="000918A0" w:rsidRDefault="00853162" w:rsidP="00B20DCF">
            <w:pPr>
              <w:pStyle w:val="Vchodzie"/>
              <w:autoSpaceDE/>
              <w:spacing w:line="276" w:lineRule="auto"/>
              <w:rPr>
                <w:b/>
                <w:color w:val="000000"/>
                <w:sz w:val="22"/>
                <w:szCs w:val="22"/>
              </w:rPr>
            </w:pPr>
            <w:r w:rsidRPr="000918A0">
              <w:rPr>
                <w:b/>
                <w:color w:val="000000"/>
                <w:sz w:val="22"/>
                <w:szCs w:val="22"/>
                <w:lang w:eastAsia="en-US" w:bidi="ar-SA"/>
              </w:rPr>
              <w:t>C e l k o m</w:t>
            </w:r>
          </w:p>
        </w:tc>
        <w:tc>
          <w:tcPr>
            <w:tcW w:w="2459" w:type="dxa"/>
            <w:tcBorders>
              <w:top w:val="single" w:sz="2" w:space="0" w:color="000000"/>
              <w:left w:val="single" w:sz="2" w:space="0" w:color="000000"/>
              <w:bottom w:val="single" w:sz="2" w:space="0" w:color="000000"/>
              <w:right w:val="single" w:sz="2" w:space="0" w:color="000000"/>
            </w:tcBorders>
            <w:vAlign w:val="bottom"/>
          </w:tcPr>
          <w:p w:rsidR="00853162" w:rsidRPr="00C67B1C" w:rsidRDefault="00091BA9" w:rsidP="007A77D0">
            <w:pPr>
              <w:jc w:val="right"/>
              <w:rPr>
                <w:b/>
                <w:sz w:val="22"/>
                <w:szCs w:val="22"/>
              </w:rPr>
            </w:pPr>
            <w:r>
              <w:rPr>
                <w:b/>
                <w:sz w:val="22"/>
                <w:szCs w:val="22"/>
              </w:rPr>
              <w:t>3.193.178</w:t>
            </w:r>
          </w:p>
        </w:tc>
        <w:tc>
          <w:tcPr>
            <w:tcW w:w="2945" w:type="dxa"/>
            <w:tcBorders>
              <w:top w:val="single" w:sz="2" w:space="0" w:color="000000"/>
              <w:left w:val="single" w:sz="2" w:space="0" w:color="000000"/>
              <w:bottom w:val="single" w:sz="2" w:space="0" w:color="000000"/>
              <w:right w:val="single" w:sz="2" w:space="0" w:color="000000"/>
            </w:tcBorders>
            <w:vAlign w:val="bottom"/>
          </w:tcPr>
          <w:p w:rsidR="00853162" w:rsidRPr="00C67B1C" w:rsidRDefault="00853162" w:rsidP="00D837FF">
            <w:pPr>
              <w:jc w:val="right"/>
              <w:rPr>
                <w:b/>
                <w:sz w:val="22"/>
                <w:szCs w:val="22"/>
              </w:rPr>
            </w:pPr>
            <w:r w:rsidRPr="00C67B1C">
              <w:rPr>
                <w:b/>
                <w:sz w:val="22"/>
                <w:szCs w:val="22"/>
              </w:rPr>
              <w:t>2.112.930</w:t>
            </w:r>
          </w:p>
        </w:tc>
      </w:tr>
    </w:tbl>
    <w:p w:rsidR="009F5D6A" w:rsidRDefault="009F5D6A" w:rsidP="009F5D6A">
      <w:pPr>
        <w:ind w:right="71"/>
        <w:jc w:val="both"/>
        <w:rPr>
          <w:bCs/>
          <w:sz w:val="22"/>
          <w:szCs w:val="22"/>
          <w:lang w:eastAsia="en-US"/>
        </w:rPr>
      </w:pPr>
      <w:r>
        <w:rPr>
          <w:bCs/>
          <w:sz w:val="22"/>
          <w:szCs w:val="22"/>
          <w:lang w:eastAsia="en-US"/>
        </w:rPr>
        <w:t xml:space="preserve"> </w:t>
      </w:r>
    </w:p>
    <w:p w:rsidR="009F5D6A" w:rsidRPr="00A02A84" w:rsidRDefault="009F5D6A" w:rsidP="009F5D6A">
      <w:pPr>
        <w:ind w:right="71"/>
        <w:jc w:val="both"/>
        <w:rPr>
          <w:bCs/>
          <w:sz w:val="22"/>
          <w:szCs w:val="22"/>
          <w:lang w:eastAsia="en-US"/>
        </w:rPr>
      </w:pPr>
      <w:r>
        <w:rPr>
          <w:bCs/>
          <w:sz w:val="22"/>
          <w:szCs w:val="22"/>
          <w:lang w:eastAsia="en-US"/>
        </w:rPr>
        <w:t>S</w:t>
      </w:r>
      <w:r w:rsidRPr="00A02A84">
        <w:rPr>
          <w:bCs/>
          <w:sz w:val="22"/>
          <w:szCs w:val="22"/>
          <w:lang w:eastAsia="en-US"/>
        </w:rPr>
        <w:t>uma záväzkov so zostatkovou dobou splatnosti dlhšou ako päť rokov</w:t>
      </w:r>
      <w:r>
        <w:rPr>
          <w:bCs/>
          <w:sz w:val="22"/>
          <w:szCs w:val="22"/>
          <w:lang w:eastAsia="en-US"/>
        </w:rPr>
        <w:t xml:space="preserve"> </w:t>
      </w:r>
      <w:r w:rsidRPr="00714607">
        <w:rPr>
          <w:bCs/>
          <w:sz w:val="22"/>
          <w:szCs w:val="22"/>
          <w:lang w:eastAsia="en-US"/>
        </w:rPr>
        <w:t xml:space="preserve">je </w:t>
      </w:r>
      <w:r w:rsidR="00714607">
        <w:rPr>
          <w:bCs/>
          <w:sz w:val="22"/>
          <w:szCs w:val="22"/>
          <w:lang w:eastAsia="en-US"/>
        </w:rPr>
        <w:t xml:space="preserve">243.911,70 </w:t>
      </w:r>
      <w:r w:rsidRPr="00714607">
        <w:rPr>
          <w:bCs/>
          <w:sz w:val="22"/>
          <w:szCs w:val="22"/>
          <w:lang w:eastAsia="en-US"/>
        </w:rPr>
        <w:t>€.</w:t>
      </w:r>
    </w:p>
    <w:p w:rsidR="008F0710" w:rsidRPr="00A02A84" w:rsidRDefault="008F0710" w:rsidP="006C37C7">
      <w:pPr>
        <w:pStyle w:val="Vchodzie"/>
        <w:keepNext/>
        <w:autoSpaceDE/>
        <w:spacing w:line="200" w:lineRule="atLeast"/>
        <w:rPr>
          <w:b/>
          <w:sz w:val="22"/>
          <w:szCs w:val="22"/>
          <w:lang w:eastAsia="en-US" w:bidi="ar-SA"/>
        </w:rPr>
      </w:pPr>
    </w:p>
    <w:p w:rsidR="006C37C7" w:rsidRPr="00A02A84" w:rsidRDefault="006C37C7" w:rsidP="006C37C7">
      <w:pPr>
        <w:pStyle w:val="Vchodzie"/>
        <w:keepNext/>
        <w:autoSpaceDE/>
        <w:spacing w:line="200" w:lineRule="atLeast"/>
        <w:rPr>
          <w:b/>
          <w:sz w:val="22"/>
          <w:szCs w:val="22"/>
          <w:lang w:eastAsia="en-US" w:bidi="ar-SA"/>
        </w:rPr>
      </w:pPr>
      <w:r w:rsidRPr="00A02A84">
        <w:rPr>
          <w:b/>
          <w:sz w:val="22"/>
          <w:szCs w:val="22"/>
          <w:lang w:eastAsia="en-US" w:bidi="ar-SA"/>
        </w:rPr>
        <w:t>Informácie o zabezpečených záväzkoch</w:t>
      </w:r>
    </w:p>
    <w:p w:rsidR="0090304E" w:rsidRPr="00A02A84" w:rsidRDefault="0090304E" w:rsidP="006C37C7">
      <w:pPr>
        <w:pStyle w:val="Vchodzie"/>
        <w:keepNext/>
        <w:autoSpaceDE/>
        <w:spacing w:line="200" w:lineRule="atLeast"/>
        <w:rPr>
          <w:b/>
          <w:sz w:val="22"/>
          <w:szCs w:val="22"/>
          <w:lang w:eastAsia="en-US" w:bidi="ar-SA"/>
        </w:rPr>
      </w:pPr>
    </w:p>
    <w:tbl>
      <w:tblPr>
        <w:tblW w:w="9160" w:type="dxa"/>
        <w:tblInd w:w="55" w:type="dxa"/>
        <w:tblCellMar>
          <w:left w:w="70" w:type="dxa"/>
          <w:right w:w="70" w:type="dxa"/>
        </w:tblCellMar>
        <w:tblLook w:val="0000" w:firstRow="0" w:lastRow="0" w:firstColumn="0" w:lastColumn="0" w:noHBand="0" w:noVBand="0"/>
      </w:tblPr>
      <w:tblGrid>
        <w:gridCol w:w="6760"/>
        <w:gridCol w:w="2400"/>
      </w:tblGrid>
      <w:tr w:rsidR="00691379" w:rsidRPr="00A02A84" w:rsidTr="00B976A4">
        <w:trPr>
          <w:trHeight w:val="555"/>
        </w:trPr>
        <w:tc>
          <w:tcPr>
            <w:tcW w:w="6760" w:type="dxa"/>
            <w:tcBorders>
              <w:top w:val="single" w:sz="8" w:space="0" w:color="auto"/>
              <w:left w:val="single" w:sz="8" w:space="0" w:color="auto"/>
              <w:bottom w:val="single" w:sz="8" w:space="0" w:color="auto"/>
              <w:right w:val="single" w:sz="8" w:space="0" w:color="auto"/>
            </w:tcBorders>
            <w:shd w:val="clear" w:color="auto" w:fill="auto"/>
            <w:vAlign w:val="bottom"/>
          </w:tcPr>
          <w:p w:rsidR="00691379" w:rsidRPr="000918A0" w:rsidRDefault="006F6027" w:rsidP="00B976A4">
            <w:pPr>
              <w:jc w:val="center"/>
              <w:rPr>
                <w:b/>
                <w:bCs/>
                <w:sz w:val="22"/>
                <w:szCs w:val="22"/>
              </w:rPr>
            </w:pPr>
            <w:r w:rsidRPr="000918A0">
              <w:rPr>
                <w:b/>
                <w:bCs/>
                <w:sz w:val="22"/>
                <w:szCs w:val="22"/>
              </w:rPr>
              <w:t>Názov položky</w:t>
            </w:r>
          </w:p>
        </w:tc>
        <w:tc>
          <w:tcPr>
            <w:tcW w:w="2400" w:type="dxa"/>
            <w:tcBorders>
              <w:top w:val="single" w:sz="8" w:space="0" w:color="auto"/>
              <w:left w:val="nil"/>
              <w:bottom w:val="single" w:sz="8" w:space="0" w:color="auto"/>
              <w:right w:val="single" w:sz="8" w:space="0" w:color="auto"/>
            </w:tcBorders>
            <w:shd w:val="clear" w:color="auto" w:fill="auto"/>
            <w:vAlign w:val="bottom"/>
          </w:tcPr>
          <w:p w:rsidR="00691379" w:rsidRPr="000918A0" w:rsidRDefault="006F6027" w:rsidP="00B976A4">
            <w:pPr>
              <w:jc w:val="center"/>
              <w:rPr>
                <w:b/>
                <w:bCs/>
                <w:sz w:val="22"/>
                <w:szCs w:val="22"/>
              </w:rPr>
            </w:pPr>
            <w:r w:rsidRPr="000918A0">
              <w:rPr>
                <w:b/>
                <w:bCs/>
                <w:sz w:val="22"/>
                <w:szCs w:val="22"/>
              </w:rPr>
              <w:t>Hodnota za bežné účtovné obdobie</w:t>
            </w:r>
          </w:p>
        </w:tc>
      </w:tr>
      <w:tr w:rsidR="00691379" w:rsidRPr="00A02A84" w:rsidTr="00B976A4">
        <w:trPr>
          <w:trHeight w:val="424"/>
        </w:trPr>
        <w:tc>
          <w:tcPr>
            <w:tcW w:w="6760" w:type="dxa"/>
            <w:tcBorders>
              <w:top w:val="nil"/>
              <w:left w:val="single" w:sz="8" w:space="0" w:color="auto"/>
              <w:bottom w:val="single" w:sz="8" w:space="0" w:color="auto"/>
              <w:right w:val="single" w:sz="8" w:space="0" w:color="auto"/>
            </w:tcBorders>
            <w:shd w:val="clear" w:color="auto" w:fill="auto"/>
            <w:vAlign w:val="bottom"/>
          </w:tcPr>
          <w:p w:rsidR="00691379" w:rsidRPr="000918A0" w:rsidRDefault="006F6027" w:rsidP="00B976A4">
            <w:pPr>
              <w:rPr>
                <w:sz w:val="22"/>
                <w:szCs w:val="22"/>
              </w:rPr>
            </w:pPr>
            <w:r w:rsidRPr="000918A0">
              <w:rPr>
                <w:sz w:val="22"/>
                <w:szCs w:val="22"/>
              </w:rPr>
              <w:t>Dlhodobý hmotný majetok, na ktorý je zriadené záložné právo - úver ŠFRB</w:t>
            </w:r>
          </w:p>
        </w:tc>
        <w:tc>
          <w:tcPr>
            <w:tcW w:w="2400" w:type="dxa"/>
            <w:tcBorders>
              <w:top w:val="nil"/>
              <w:left w:val="nil"/>
              <w:bottom w:val="single" w:sz="8" w:space="0" w:color="auto"/>
              <w:right w:val="single" w:sz="8" w:space="0" w:color="auto"/>
            </w:tcBorders>
            <w:shd w:val="clear" w:color="auto" w:fill="auto"/>
            <w:noWrap/>
            <w:vAlign w:val="bottom"/>
          </w:tcPr>
          <w:p w:rsidR="009346B9" w:rsidRPr="000918A0" w:rsidRDefault="008C70FB" w:rsidP="000918A0">
            <w:pPr>
              <w:jc w:val="right"/>
              <w:rPr>
                <w:sz w:val="22"/>
                <w:szCs w:val="22"/>
              </w:rPr>
            </w:pPr>
            <w:r>
              <w:rPr>
                <w:sz w:val="22"/>
                <w:szCs w:val="22"/>
              </w:rPr>
              <w:t>0.00</w:t>
            </w:r>
          </w:p>
        </w:tc>
      </w:tr>
      <w:tr w:rsidR="00691379" w:rsidRPr="00A02A84" w:rsidTr="00B976A4">
        <w:trPr>
          <w:trHeight w:val="350"/>
        </w:trPr>
        <w:tc>
          <w:tcPr>
            <w:tcW w:w="6760" w:type="dxa"/>
            <w:tcBorders>
              <w:top w:val="nil"/>
              <w:left w:val="single" w:sz="8" w:space="0" w:color="auto"/>
              <w:bottom w:val="single" w:sz="8" w:space="0" w:color="auto"/>
              <w:right w:val="single" w:sz="8" w:space="0" w:color="auto"/>
            </w:tcBorders>
            <w:shd w:val="clear" w:color="auto" w:fill="auto"/>
            <w:vAlign w:val="bottom"/>
          </w:tcPr>
          <w:p w:rsidR="00691379" w:rsidRPr="000918A0" w:rsidRDefault="006F6027" w:rsidP="006F4EF6">
            <w:pPr>
              <w:tabs>
                <w:tab w:val="left" w:pos="1560"/>
                <w:tab w:val="center" w:pos="4536"/>
              </w:tabs>
              <w:rPr>
                <w:sz w:val="22"/>
                <w:szCs w:val="22"/>
              </w:rPr>
            </w:pPr>
            <w:r w:rsidRPr="000918A0">
              <w:rPr>
                <w:sz w:val="22"/>
                <w:szCs w:val="22"/>
              </w:rPr>
              <w:t>Dlhodobý hmotný majetok, na ktorý je zriadené záložné právo - úver SLSP</w:t>
            </w:r>
          </w:p>
        </w:tc>
        <w:tc>
          <w:tcPr>
            <w:tcW w:w="2400" w:type="dxa"/>
            <w:tcBorders>
              <w:top w:val="nil"/>
              <w:left w:val="nil"/>
              <w:bottom w:val="single" w:sz="8" w:space="0" w:color="auto"/>
              <w:right w:val="single" w:sz="8" w:space="0" w:color="auto"/>
            </w:tcBorders>
            <w:shd w:val="clear" w:color="auto" w:fill="auto"/>
            <w:noWrap/>
            <w:vAlign w:val="bottom"/>
          </w:tcPr>
          <w:p w:rsidR="009346B9" w:rsidRPr="000918A0" w:rsidRDefault="00962079" w:rsidP="00274A8B">
            <w:pPr>
              <w:jc w:val="right"/>
              <w:rPr>
                <w:sz w:val="22"/>
                <w:szCs w:val="22"/>
              </w:rPr>
            </w:pPr>
            <w:r>
              <w:rPr>
                <w:sz w:val="22"/>
                <w:szCs w:val="22"/>
              </w:rPr>
              <w:t>19.658.886</w:t>
            </w:r>
          </w:p>
        </w:tc>
      </w:tr>
      <w:tr w:rsidR="0069388A" w:rsidRPr="00A02A84" w:rsidTr="00B976A4">
        <w:trPr>
          <w:trHeight w:val="452"/>
        </w:trPr>
        <w:tc>
          <w:tcPr>
            <w:tcW w:w="6760" w:type="dxa"/>
            <w:tcBorders>
              <w:top w:val="nil"/>
              <w:left w:val="single" w:sz="8" w:space="0" w:color="auto"/>
              <w:bottom w:val="single" w:sz="8" w:space="0" w:color="auto"/>
              <w:right w:val="single" w:sz="8" w:space="0" w:color="auto"/>
            </w:tcBorders>
            <w:shd w:val="clear" w:color="auto" w:fill="auto"/>
            <w:vAlign w:val="bottom"/>
          </w:tcPr>
          <w:p w:rsidR="0069388A" w:rsidRPr="000918A0" w:rsidRDefault="006F6027" w:rsidP="0069388A">
            <w:pPr>
              <w:rPr>
                <w:b/>
                <w:sz w:val="22"/>
                <w:szCs w:val="22"/>
              </w:rPr>
            </w:pPr>
            <w:r w:rsidRPr="000918A0">
              <w:rPr>
                <w:b/>
                <w:sz w:val="22"/>
                <w:szCs w:val="22"/>
              </w:rPr>
              <w:t>C e l k o m</w:t>
            </w:r>
          </w:p>
        </w:tc>
        <w:tc>
          <w:tcPr>
            <w:tcW w:w="2400" w:type="dxa"/>
            <w:tcBorders>
              <w:top w:val="nil"/>
              <w:left w:val="nil"/>
              <w:bottom w:val="single" w:sz="8" w:space="0" w:color="auto"/>
              <w:right w:val="single" w:sz="8" w:space="0" w:color="auto"/>
            </w:tcBorders>
            <w:shd w:val="clear" w:color="auto" w:fill="auto"/>
            <w:noWrap/>
            <w:vAlign w:val="bottom"/>
          </w:tcPr>
          <w:p w:rsidR="009346B9" w:rsidRPr="000918A0" w:rsidRDefault="008C70FB" w:rsidP="008C70FB">
            <w:pPr>
              <w:jc w:val="right"/>
              <w:rPr>
                <w:b/>
                <w:sz w:val="22"/>
                <w:szCs w:val="22"/>
              </w:rPr>
            </w:pPr>
            <w:r>
              <w:rPr>
                <w:b/>
                <w:sz w:val="22"/>
                <w:szCs w:val="22"/>
              </w:rPr>
              <w:t>1</w:t>
            </w:r>
            <w:r w:rsidR="00962079">
              <w:rPr>
                <w:b/>
                <w:sz w:val="22"/>
                <w:szCs w:val="22"/>
              </w:rPr>
              <w:t>9.6</w:t>
            </w:r>
            <w:r>
              <w:rPr>
                <w:b/>
                <w:sz w:val="22"/>
                <w:szCs w:val="22"/>
              </w:rPr>
              <w:t>58</w:t>
            </w:r>
            <w:r w:rsidR="00962079">
              <w:rPr>
                <w:b/>
                <w:sz w:val="22"/>
                <w:szCs w:val="22"/>
              </w:rPr>
              <w:t>.</w:t>
            </w:r>
            <w:r>
              <w:rPr>
                <w:b/>
                <w:sz w:val="22"/>
                <w:szCs w:val="22"/>
              </w:rPr>
              <w:t>886</w:t>
            </w:r>
          </w:p>
        </w:tc>
      </w:tr>
    </w:tbl>
    <w:p w:rsidR="0090304E" w:rsidRPr="00A02A84" w:rsidRDefault="0090304E" w:rsidP="006C37C7">
      <w:pPr>
        <w:pStyle w:val="Vchodzie"/>
        <w:keepNext/>
        <w:autoSpaceDE/>
        <w:spacing w:line="200" w:lineRule="atLeast"/>
        <w:rPr>
          <w:b/>
          <w:sz w:val="22"/>
          <w:szCs w:val="22"/>
          <w:lang w:eastAsia="en-US" w:bidi="ar-SA"/>
        </w:rPr>
      </w:pPr>
    </w:p>
    <w:p w:rsidR="0090304E" w:rsidRPr="00A02A84" w:rsidRDefault="00D53216" w:rsidP="006C37C7">
      <w:pPr>
        <w:pStyle w:val="Vchodzie"/>
        <w:keepNext/>
        <w:autoSpaceDE/>
        <w:spacing w:line="200" w:lineRule="atLeast"/>
        <w:rPr>
          <w:sz w:val="22"/>
          <w:szCs w:val="22"/>
          <w:lang w:eastAsia="en-US" w:bidi="ar-SA"/>
        </w:rPr>
      </w:pPr>
      <w:r w:rsidRPr="00A02A84">
        <w:rPr>
          <w:sz w:val="22"/>
          <w:szCs w:val="22"/>
          <w:lang w:eastAsia="en-US" w:bidi="ar-SA"/>
        </w:rPr>
        <w:t>Za uvedené úvery ručí spoločnosť  nasledovne:</w:t>
      </w:r>
    </w:p>
    <w:tbl>
      <w:tblPr>
        <w:tblW w:w="9157" w:type="dxa"/>
        <w:tblInd w:w="55" w:type="dxa"/>
        <w:tblCellMar>
          <w:left w:w="70" w:type="dxa"/>
          <w:right w:w="70" w:type="dxa"/>
        </w:tblCellMar>
        <w:tblLook w:val="04A0" w:firstRow="1" w:lastRow="0" w:firstColumn="1" w:lastColumn="0" w:noHBand="0" w:noVBand="1"/>
      </w:tblPr>
      <w:tblGrid>
        <w:gridCol w:w="9157"/>
      </w:tblGrid>
      <w:tr w:rsidR="00134B6C" w:rsidRPr="00A02A84">
        <w:trPr>
          <w:trHeight w:val="300"/>
        </w:trPr>
        <w:tc>
          <w:tcPr>
            <w:tcW w:w="9157" w:type="dxa"/>
            <w:tcBorders>
              <w:top w:val="nil"/>
              <w:left w:val="nil"/>
              <w:bottom w:val="nil"/>
              <w:right w:val="nil"/>
            </w:tcBorders>
            <w:shd w:val="clear" w:color="auto" w:fill="auto"/>
            <w:noWrap/>
            <w:vAlign w:val="bottom"/>
          </w:tcPr>
          <w:p w:rsidR="00951678" w:rsidRPr="00A02A84" w:rsidRDefault="00951678" w:rsidP="001B4EBC">
            <w:pPr>
              <w:rPr>
                <w:b/>
                <w:sz w:val="22"/>
                <w:szCs w:val="22"/>
              </w:rPr>
            </w:pPr>
          </w:p>
          <w:p w:rsidR="00134B6C" w:rsidRPr="00A02A84" w:rsidRDefault="00880AC4" w:rsidP="001B4EBC">
            <w:pPr>
              <w:jc w:val="both"/>
              <w:rPr>
                <w:sz w:val="22"/>
                <w:szCs w:val="22"/>
              </w:rPr>
            </w:pPr>
            <w:r w:rsidRPr="00A02A84">
              <w:rPr>
                <w:b/>
                <w:sz w:val="22"/>
                <w:szCs w:val="22"/>
              </w:rPr>
              <w:t>Š</w:t>
            </w:r>
            <w:r w:rsidR="00903CE8" w:rsidRPr="00A02A84">
              <w:rPr>
                <w:b/>
                <w:sz w:val="22"/>
                <w:szCs w:val="22"/>
              </w:rPr>
              <w:t xml:space="preserve">FRB </w:t>
            </w:r>
            <w:r w:rsidR="00903CE8" w:rsidRPr="00A02A84">
              <w:rPr>
                <w:sz w:val="22"/>
                <w:szCs w:val="22"/>
              </w:rPr>
              <w:t>–</w:t>
            </w:r>
            <w:r w:rsidR="001639AD" w:rsidRPr="00A02A84">
              <w:rPr>
                <w:sz w:val="22"/>
                <w:szCs w:val="22"/>
              </w:rPr>
              <w:t xml:space="preserve"> úver je zabezpečený  Zmluvami o zriadení záložného práva na všetky  bytové domy: Medená ulica, Rudohorská ulica a Kráľovohoľská ulica</w:t>
            </w:r>
            <w:r w:rsidR="004317B4" w:rsidRPr="00A02A84">
              <w:rPr>
                <w:sz w:val="22"/>
                <w:szCs w:val="22"/>
              </w:rPr>
              <w:t>.</w:t>
            </w:r>
            <w:r w:rsidR="009E6C77">
              <w:rPr>
                <w:sz w:val="22"/>
                <w:szCs w:val="22"/>
              </w:rPr>
              <w:t xml:space="preserve"> </w:t>
            </w:r>
            <w:r w:rsidR="004317B4" w:rsidRPr="00A02A84">
              <w:rPr>
                <w:sz w:val="22"/>
                <w:szCs w:val="22"/>
              </w:rPr>
              <w:t>Predmetom záložného práva sú nehnuteľnosti  vo vlastníctve Záložcu, nachádzajúce sa v katastrálnom území Sásová a Radvaň, obec Banská Bystrica</w:t>
            </w:r>
          </w:p>
          <w:p w:rsidR="00880AC4" w:rsidRPr="00A02A84" w:rsidRDefault="00880AC4" w:rsidP="001B4EBC">
            <w:pPr>
              <w:rPr>
                <w:sz w:val="22"/>
                <w:szCs w:val="22"/>
              </w:rPr>
            </w:pPr>
          </w:p>
          <w:p w:rsidR="00903CE8" w:rsidRPr="00A02A84" w:rsidRDefault="00903CE8" w:rsidP="001B4EBC">
            <w:pPr>
              <w:jc w:val="both"/>
              <w:rPr>
                <w:sz w:val="22"/>
                <w:szCs w:val="22"/>
              </w:rPr>
            </w:pPr>
            <w:r w:rsidRPr="00A02A84">
              <w:rPr>
                <w:b/>
                <w:sz w:val="22"/>
                <w:szCs w:val="22"/>
              </w:rPr>
              <w:t>Úver Slovenská sporiteľňa, a.s.</w:t>
            </w:r>
            <w:r w:rsidRPr="00A02A84">
              <w:rPr>
                <w:sz w:val="22"/>
                <w:szCs w:val="22"/>
              </w:rPr>
              <w:t xml:space="preserve"> -  úver je zabezpečený  Zmluvou o zriadení záložného práva k nehnuteľnostiam  a</w:t>
            </w:r>
            <w:r w:rsidR="003C42D4" w:rsidRPr="00A02A84">
              <w:rPr>
                <w:sz w:val="22"/>
                <w:szCs w:val="22"/>
              </w:rPr>
              <w:t xml:space="preserve"> </w:t>
            </w:r>
            <w:r w:rsidRPr="00A02A84">
              <w:rPr>
                <w:sz w:val="22"/>
                <w:szCs w:val="22"/>
              </w:rPr>
              <w:t> Mandátno</w:t>
            </w:r>
            <w:r w:rsidR="00E926BF">
              <w:rPr>
                <w:sz w:val="22"/>
                <w:szCs w:val="22"/>
              </w:rPr>
              <w:t>u zmluvou č. 28/AUOC/2014 – ZZ/2 a Záložnou zmluvou k nehnuteľnostiam č.69/CC/17-ZZ3</w:t>
            </w:r>
            <w:r w:rsidRPr="00A02A84">
              <w:rPr>
                <w:sz w:val="22"/>
                <w:szCs w:val="22"/>
              </w:rPr>
              <w:t>. Predmetom záložného práva sú</w:t>
            </w:r>
            <w:r w:rsidR="007C127E" w:rsidRPr="00A02A84">
              <w:rPr>
                <w:sz w:val="22"/>
                <w:szCs w:val="22"/>
              </w:rPr>
              <w:t xml:space="preserve"> </w:t>
            </w:r>
            <w:r w:rsidRPr="00A02A84">
              <w:rPr>
                <w:sz w:val="22"/>
                <w:szCs w:val="22"/>
              </w:rPr>
              <w:t xml:space="preserve">nehnuteľnosti </w:t>
            </w:r>
            <w:r w:rsidR="003C42D4" w:rsidRPr="00A02A84">
              <w:rPr>
                <w:sz w:val="22"/>
                <w:szCs w:val="22"/>
              </w:rPr>
              <w:t xml:space="preserve"> vo vlastníctve Záložcu, nachádzajúce sa v katastrálnom území Šalková, obec Banská Bystrica, zapísané na liste vlastníctva č. 1430, vedenom Okresným úradom Banská Bystrica</w:t>
            </w:r>
            <w:r w:rsidR="008D12B7">
              <w:rPr>
                <w:sz w:val="22"/>
                <w:szCs w:val="22"/>
              </w:rPr>
              <w:t xml:space="preserve">, nehnuteľnosti nachádzajúce sa v katastrálnom území Banská Bystrica, zapísané v liste vlastníctva č.5661 (pozemok, časť budovy Radnice),  </w:t>
            </w:r>
            <w:r w:rsidR="00E926BF">
              <w:rPr>
                <w:sz w:val="22"/>
                <w:szCs w:val="22"/>
              </w:rPr>
              <w:t>nehnuteľnosti nachádzajúce sa v katastrálnom území Banská Bystrica, zapísané na liste vlastníctva č.</w:t>
            </w:r>
            <w:r w:rsidR="008D12B7">
              <w:rPr>
                <w:sz w:val="22"/>
                <w:szCs w:val="22"/>
              </w:rPr>
              <w:t xml:space="preserve"> 4642 (Budova Krytej plavárn</w:t>
            </w:r>
            <w:r w:rsidR="007D34FA">
              <w:rPr>
                <w:sz w:val="22"/>
                <w:szCs w:val="22"/>
              </w:rPr>
              <w:t>e a Zimného štadióna a pozemky k nim patriace)</w:t>
            </w:r>
            <w:r w:rsidR="008D12B7">
              <w:rPr>
                <w:sz w:val="22"/>
                <w:szCs w:val="22"/>
              </w:rPr>
              <w:t xml:space="preserve"> a nehnuteľnosti nachádzajúce sa v katastrálnom území Sásová, zapísané v liste vlastníctva č.1670</w:t>
            </w:r>
            <w:r w:rsidR="007D34FA">
              <w:rPr>
                <w:sz w:val="22"/>
                <w:szCs w:val="22"/>
              </w:rPr>
              <w:t>.</w:t>
            </w:r>
          </w:p>
          <w:p w:rsidR="009E6C77" w:rsidRPr="00A02A84" w:rsidRDefault="009E6C77" w:rsidP="00CA384A">
            <w:pPr>
              <w:jc w:val="both"/>
              <w:rPr>
                <w:sz w:val="22"/>
                <w:szCs w:val="22"/>
              </w:rPr>
            </w:pPr>
          </w:p>
        </w:tc>
      </w:tr>
    </w:tbl>
    <w:p w:rsidR="00CA384A" w:rsidRDefault="00CA384A" w:rsidP="001B4EBC">
      <w:pPr>
        <w:ind w:right="71"/>
        <w:jc w:val="center"/>
        <w:rPr>
          <w:b/>
          <w:bCs/>
          <w:sz w:val="22"/>
          <w:szCs w:val="22"/>
          <w:lang w:eastAsia="en-US"/>
        </w:rPr>
      </w:pPr>
    </w:p>
    <w:p w:rsidR="001B4EBC" w:rsidRPr="001B4EBC" w:rsidRDefault="001B4EBC" w:rsidP="001B4EBC">
      <w:pPr>
        <w:ind w:right="71"/>
        <w:jc w:val="center"/>
        <w:rPr>
          <w:b/>
          <w:bCs/>
          <w:sz w:val="22"/>
          <w:szCs w:val="22"/>
          <w:lang w:eastAsia="en-US"/>
        </w:rPr>
      </w:pPr>
      <w:r>
        <w:rPr>
          <w:b/>
          <w:bCs/>
          <w:sz w:val="22"/>
          <w:szCs w:val="22"/>
          <w:lang w:eastAsia="en-US"/>
        </w:rPr>
        <w:t>Článok IV</w:t>
      </w:r>
    </w:p>
    <w:p w:rsidR="001B4EBC" w:rsidRPr="001B4EBC" w:rsidRDefault="001B4EBC" w:rsidP="001B4EBC">
      <w:pPr>
        <w:ind w:right="71"/>
        <w:jc w:val="center"/>
        <w:rPr>
          <w:b/>
          <w:bCs/>
          <w:sz w:val="22"/>
          <w:szCs w:val="22"/>
          <w:lang w:eastAsia="en-US"/>
        </w:rPr>
      </w:pPr>
      <w:r>
        <w:rPr>
          <w:b/>
          <w:bCs/>
          <w:sz w:val="22"/>
          <w:szCs w:val="22"/>
          <w:lang w:eastAsia="en-US"/>
        </w:rPr>
        <w:t>Informácie o iných aktívach a iných pasívach</w:t>
      </w:r>
    </w:p>
    <w:p w:rsidR="001B4EBC" w:rsidRPr="00A02A84" w:rsidRDefault="001B4EBC" w:rsidP="0069388A">
      <w:pPr>
        <w:pStyle w:val="Vchodzie"/>
        <w:autoSpaceDE/>
        <w:spacing w:line="200" w:lineRule="atLeast"/>
        <w:rPr>
          <w:b/>
          <w:bCs/>
          <w:sz w:val="22"/>
          <w:szCs w:val="22"/>
          <w:lang w:eastAsia="en-US"/>
        </w:rPr>
      </w:pPr>
    </w:p>
    <w:p w:rsidR="007B2B28" w:rsidRPr="00A02A84" w:rsidRDefault="007B2B28" w:rsidP="00893D32">
      <w:pPr>
        <w:keepNext/>
        <w:outlineLvl w:val="0"/>
        <w:rPr>
          <w:b/>
          <w:bCs/>
          <w:sz w:val="22"/>
          <w:szCs w:val="22"/>
          <w:lang w:eastAsia="en-US"/>
        </w:rPr>
      </w:pPr>
      <w:r w:rsidRPr="00A02A84">
        <w:rPr>
          <w:b/>
          <w:bCs/>
          <w:sz w:val="22"/>
          <w:szCs w:val="22"/>
          <w:lang w:eastAsia="en-US"/>
        </w:rPr>
        <w:t>Informácie o údajoch sledovaných na podsúvahových účtoch</w:t>
      </w:r>
    </w:p>
    <w:p w:rsidR="00893D32" w:rsidRPr="00A02A84" w:rsidRDefault="00893D32" w:rsidP="008F4849">
      <w:pPr>
        <w:ind w:left="360" w:right="71" w:hanging="360"/>
        <w:jc w:val="both"/>
        <w:rPr>
          <w:b/>
          <w:bCs/>
          <w:sz w:val="22"/>
          <w:szCs w:val="22"/>
          <w:lang w:eastAsia="en-US"/>
        </w:rPr>
      </w:pPr>
    </w:p>
    <w:p w:rsidR="00986564" w:rsidRPr="00A02A84" w:rsidRDefault="000E0A20" w:rsidP="00304CD0">
      <w:pPr>
        <w:ind w:right="71"/>
        <w:jc w:val="both"/>
        <w:rPr>
          <w:bCs/>
          <w:kern w:val="28"/>
          <w:sz w:val="22"/>
          <w:szCs w:val="22"/>
          <w:lang w:eastAsia="en-US"/>
        </w:rPr>
      </w:pPr>
      <w:r w:rsidRPr="00A02A84">
        <w:rPr>
          <w:bCs/>
          <w:kern w:val="28"/>
          <w:sz w:val="22"/>
          <w:szCs w:val="22"/>
          <w:lang w:eastAsia="en-US"/>
        </w:rPr>
        <w:t>Spoločnosť v účtovnom období 20</w:t>
      </w:r>
      <w:r w:rsidR="00D362DD">
        <w:rPr>
          <w:bCs/>
          <w:kern w:val="28"/>
          <w:sz w:val="22"/>
          <w:szCs w:val="22"/>
          <w:lang w:eastAsia="en-US"/>
        </w:rPr>
        <w:t>2</w:t>
      </w:r>
      <w:r w:rsidR="008C70FB">
        <w:rPr>
          <w:bCs/>
          <w:kern w:val="28"/>
          <w:sz w:val="22"/>
          <w:szCs w:val="22"/>
          <w:lang w:eastAsia="en-US"/>
        </w:rPr>
        <w:t>1</w:t>
      </w:r>
      <w:bookmarkStart w:id="0" w:name="_GoBack"/>
      <w:bookmarkEnd w:id="0"/>
      <w:r w:rsidR="00F553EB" w:rsidRPr="00A02A84">
        <w:rPr>
          <w:bCs/>
          <w:kern w:val="28"/>
          <w:sz w:val="22"/>
          <w:szCs w:val="22"/>
          <w:lang w:eastAsia="en-US"/>
        </w:rPr>
        <w:t xml:space="preserve"> eviduje </w:t>
      </w:r>
      <w:r w:rsidRPr="00A02A84">
        <w:rPr>
          <w:bCs/>
          <w:kern w:val="28"/>
          <w:sz w:val="22"/>
          <w:szCs w:val="22"/>
          <w:lang w:eastAsia="en-US"/>
        </w:rPr>
        <w:t xml:space="preserve"> na podsúvahových účtoch </w:t>
      </w:r>
      <w:r w:rsidR="00F553EB" w:rsidRPr="00A02A84">
        <w:rPr>
          <w:bCs/>
          <w:kern w:val="28"/>
          <w:sz w:val="22"/>
          <w:szCs w:val="22"/>
          <w:lang w:eastAsia="en-US"/>
        </w:rPr>
        <w:t>náklady na služby spojené s nájmom, predpis záloh za služby spojené s nájmom byt</w:t>
      </w:r>
      <w:r w:rsidR="00A50A09" w:rsidRPr="00A02A84">
        <w:rPr>
          <w:bCs/>
          <w:kern w:val="28"/>
          <w:sz w:val="22"/>
          <w:szCs w:val="22"/>
          <w:lang w:eastAsia="en-US"/>
        </w:rPr>
        <w:t>ov</w:t>
      </w:r>
      <w:r w:rsidR="00F553EB" w:rsidRPr="00A02A84">
        <w:rPr>
          <w:bCs/>
          <w:kern w:val="28"/>
          <w:sz w:val="22"/>
          <w:szCs w:val="22"/>
          <w:lang w:eastAsia="en-US"/>
        </w:rPr>
        <w:t xml:space="preserve"> </w:t>
      </w:r>
      <w:r w:rsidR="00A50A09" w:rsidRPr="00A02A84">
        <w:rPr>
          <w:bCs/>
          <w:kern w:val="28"/>
          <w:sz w:val="22"/>
          <w:szCs w:val="22"/>
          <w:lang w:eastAsia="en-US"/>
        </w:rPr>
        <w:t xml:space="preserve">a NP, </w:t>
      </w:r>
      <w:r w:rsidR="00F553EB" w:rsidRPr="00A02A84">
        <w:rPr>
          <w:bCs/>
          <w:kern w:val="28"/>
          <w:sz w:val="22"/>
          <w:szCs w:val="22"/>
          <w:lang w:eastAsia="en-US"/>
        </w:rPr>
        <w:t>úhrady od vlastníkov</w:t>
      </w:r>
      <w:r w:rsidR="00A50A09" w:rsidRPr="00A02A84">
        <w:rPr>
          <w:bCs/>
          <w:kern w:val="28"/>
          <w:sz w:val="22"/>
          <w:szCs w:val="22"/>
          <w:lang w:eastAsia="en-US"/>
        </w:rPr>
        <w:t xml:space="preserve"> z</w:t>
      </w:r>
      <w:r w:rsidR="00F553EB" w:rsidRPr="00A02A84">
        <w:rPr>
          <w:bCs/>
          <w:kern w:val="28"/>
          <w:sz w:val="22"/>
          <w:szCs w:val="22"/>
          <w:lang w:eastAsia="en-US"/>
        </w:rPr>
        <w:t xml:space="preserve">a tieto služby, dodávateľské faktúry za </w:t>
      </w:r>
      <w:r w:rsidR="00A50A09" w:rsidRPr="00A02A84">
        <w:rPr>
          <w:bCs/>
          <w:kern w:val="28"/>
          <w:sz w:val="22"/>
          <w:szCs w:val="22"/>
          <w:lang w:eastAsia="en-US"/>
        </w:rPr>
        <w:t>dodané práce a služby</w:t>
      </w:r>
      <w:r w:rsidR="00304CD0" w:rsidRPr="00A02A84">
        <w:rPr>
          <w:bCs/>
          <w:kern w:val="28"/>
          <w:sz w:val="22"/>
          <w:szCs w:val="22"/>
          <w:lang w:eastAsia="en-US"/>
        </w:rPr>
        <w:t>,</w:t>
      </w:r>
      <w:r w:rsidR="00A50A09" w:rsidRPr="00A02A84">
        <w:rPr>
          <w:bCs/>
          <w:kern w:val="28"/>
          <w:sz w:val="22"/>
          <w:szCs w:val="22"/>
          <w:lang w:eastAsia="en-US"/>
        </w:rPr>
        <w:t xml:space="preserve"> tým vlastníkom,</w:t>
      </w:r>
      <w:r w:rsidR="00304CD0" w:rsidRPr="00A02A84">
        <w:rPr>
          <w:bCs/>
          <w:kern w:val="28"/>
          <w:sz w:val="22"/>
          <w:szCs w:val="22"/>
          <w:lang w:eastAsia="en-US"/>
        </w:rPr>
        <w:t xml:space="preserve"> k</w:t>
      </w:r>
      <w:r w:rsidR="00F553EB" w:rsidRPr="00A02A84">
        <w:rPr>
          <w:bCs/>
          <w:kern w:val="28"/>
          <w:sz w:val="22"/>
          <w:szCs w:val="22"/>
          <w:lang w:eastAsia="en-US"/>
        </w:rPr>
        <w:t xml:space="preserve">torým  zabezpečuje správu </w:t>
      </w:r>
      <w:r w:rsidR="00304CD0" w:rsidRPr="00A02A84">
        <w:rPr>
          <w:bCs/>
          <w:kern w:val="28"/>
          <w:sz w:val="22"/>
          <w:szCs w:val="22"/>
          <w:lang w:eastAsia="en-US"/>
        </w:rPr>
        <w:t>formou priamej správy.</w:t>
      </w:r>
      <w:r w:rsidR="007C26BD" w:rsidRPr="00A02A84">
        <w:rPr>
          <w:bCs/>
          <w:kern w:val="28"/>
          <w:sz w:val="22"/>
          <w:szCs w:val="22"/>
          <w:lang w:eastAsia="en-US"/>
        </w:rPr>
        <w:t xml:space="preserve"> Evidenčne </w:t>
      </w:r>
      <w:r w:rsidR="00B575AA">
        <w:rPr>
          <w:bCs/>
          <w:kern w:val="28"/>
          <w:sz w:val="22"/>
          <w:szCs w:val="22"/>
          <w:lang w:eastAsia="en-US"/>
        </w:rPr>
        <w:t xml:space="preserve">spoločnosť vedie </w:t>
      </w:r>
      <w:r w:rsidR="007C26BD" w:rsidRPr="00A02A84">
        <w:rPr>
          <w:bCs/>
          <w:kern w:val="28"/>
          <w:sz w:val="22"/>
          <w:szCs w:val="22"/>
          <w:lang w:eastAsia="en-US"/>
        </w:rPr>
        <w:t>majetok, ktorý nezodpovedá kritériám na zaradenie do odpisových skupín.</w:t>
      </w:r>
    </w:p>
    <w:p w:rsidR="0064626E" w:rsidRDefault="002B424F" w:rsidP="008A4371">
      <w:pPr>
        <w:ind w:right="71"/>
        <w:jc w:val="both"/>
        <w:rPr>
          <w:b/>
          <w:sz w:val="22"/>
          <w:szCs w:val="22"/>
        </w:rPr>
      </w:pPr>
      <w:r>
        <w:rPr>
          <w:bCs/>
          <w:sz w:val="22"/>
          <w:szCs w:val="22"/>
          <w:lang w:eastAsia="en-US"/>
        </w:rPr>
        <w:t xml:space="preserve">Na podsúvahových účtoch spoločnosť eviduje </w:t>
      </w:r>
      <w:r w:rsidR="009D052F">
        <w:rPr>
          <w:bCs/>
          <w:sz w:val="22"/>
          <w:szCs w:val="22"/>
          <w:lang w:eastAsia="en-US"/>
        </w:rPr>
        <w:t>nárok uplatnený na súde</w:t>
      </w:r>
      <w:r>
        <w:rPr>
          <w:bCs/>
          <w:sz w:val="22"/>
          <w:szCs w:val="22"/>
          <w:lang w:eastAsia="en-US"/>
        </w:rPr>
        <w:t xml:space="preserve"> voči spoločnosti P</w:t>
      </w:r>
      <w:r w:rsidR="0074673E">
        <w:rPr>
          <w:bCs/>
          <w:sz w:val="22"/>
          <w:szCs w:val="22"/>
          <w:lang w:eastAsia="en-US"/>
        </w:rPr>
        <w:t>erul s.r.o. za  bezdôvodné obohatenie (spoločnosť Perul s.r.o. predala spoločnosti MBB a.s. pozemky, ktoré neskôr bolo potre</w:t>
      </w:r>
      <w:r w:rsidR="008A4371">
        <w:rPr>
          <w:bCs/>
          <w:sz w:val="22"/>
          <w:szCs w:val="22"/>
          <w:lang w:eastAsia="en-US"/>
        </w:rPr>
        <w:t>bné vrátiť pôvodným vlastníkom).</w:t>
      </w:r>
      <w:r w:rsidR="0074673E">
        <w:rPr>
          <w:bCs/>
          <w:sz w:val="22"/>
          <w:szCs w:val="22"/>
          <w:lang w:eastAsia="en-US"/>
        </w:rPr>
        <w:t xml:space="preserve"> </w:t>
      </w:r>
    </w:p>
    <w:p w:rsidR="0064626E" w:rsidRDefault="0064626E" w:rsidP="000918A0">
      <w:pPr>
        <w:pStyle w:val="Vchodzie"/>
        <w:autoSpaceDE/>
        <w:spacing w:line="200" w:lineRule="atLeast"/>
        <w:jc w:val="both"/>
        <w:rPr>
          <w:b/>
          <w:sz w:val="22"/>
          <w:szCs w:val="22"/>
        </w:rPr>
      </w:pPr>
    </w:p>
    <w:p w:rsidR="0064626E" w:rsidRDefault="0064626E" w:rsidP="000918A0">
      <w:pPr>
        <w:pStyle w:val="Vchodzie"/>
        <w:autoSpaceDE/>
        <w:spacing w:line="200" w:lineRule="atLeast"/>
        <w:jc w:val="both"/>
        <w:rPr>
          <w:b/>
          <w:sz w:val="22"/>
          <w:szCs w:val="22"/>
        </w:rPr>
      </w:pPr>
    </w:p>
    <w:p w:rsidR="0064626E" w:rsidRDefault="0064626E" w:rsidP="000918A0">
      <w:pPr>
        <w:pStyle w:val="Vchodzie"/>
        <w:autoSpaceDE/>
        <w:spacing w:line="200" w:lineRule="atLeast"/>
        <w:jc w:val="both"/>
        <w:rPr>
          <w:b/>
          <w:sz w:val="22"/>
          <w:szCs w:val="22"/>
        </w:rPr>
      </w:pPr>
    </w:p>
    <w:p w:rsidR="0064626E" w:rsidRDefault="0064626E"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8A4371" w:rsidRDefault="008A4371" w:rsidP="007B2B28">
      <w:pPr>
        <w:ind w:right="71"/>
        <w:jc w:val="both"/>
        <w:rPr>
          <w:bCs/>
          <w:strike/>
          <w:sz w:val="22"/>
          <w:szCs w:val="22"/>
          <w:lang w:eastAsia="en-US"/>
        </w:rPr>
      </w:pPr>
    </w:p>
    <w:p w:rsidR="006218ED" w:rsidRDefault="006218ED" w:rsidP="000918A0">
      <w:pPr>
        <w:ind w:right="71"/>
        <w:jc w:val="center"/>
        <w:rPr>
          <w:bCs/>
          <w:strike/>
          <w:sz w:val="22"/>
          <w:szCs w:val="22"/>
          <w:lang w:eastAsia="en-US"/>
        </w:rPr>
      </w:pPr>
    </w:p>
    <w:p w:rsidR="00373244" w:rsidRPr="0064626E" w:rsidRDefault="00373244" w:rsidP="000918A0">
      <w:pPr>
        <w:ind w:right="71"/>
        <w:jc w:val="center"/>
        <w:rPr>
          <w:bCs/>
          <w:sz w:val="22"/>
          <w:szCs w:val="22"/>
          <w:lang w:eastAsia="en-US"/>
        </w:rPr>
      </w:pPr>
    </w:p>
    <w:p w:rsidR="006218ED" w:rsidRPr="0064626E" w:rsidRDefault="006218ED" w:rsidP="000918A0">
      <w:pPr>
        <w:ind w:right="71"/>
        <w:jc w:val="center"/>
        <w:rPr>
          <w:bCs/>
          <w:sz w:val="22"/>
          <w:szCs w:val="22"/>
          <w:lang w:eastAsia="en-US"/>
        </w:rPr>
      </w:pPr>
    </w:p>
    <w:p w:rsidR="009346B9" w:rsidRPr="000918A0" w:rsidRDefault="006F6027" w:rsidP="000918A0">
      <w:pPr>
        <w:ind w:right="71"/>
        <w:jc w:val="center"/>
        <w:rPr>
          <w:b/>
          <w:bCs/>
          <w:sz w:val="22"/>
          <w:szCs w:val="22"/>
          <w:lang w:eastAsia="en-US"/>
        </w:rPr>
      </w:pPr>
      <w:r w:rsidRPr="000918A0">
        <w:rPr>
          <w:b/>
          <w:bCs/>
          <w:sz w:val="22"/>
          <w:szCs w:val="22"/>
          <w:lang w:eastAsia="en-US"/>
        </w:rPr>
        <w:t>Článok V</w:t>
      </w:r>
    </w:p>
    <w:p w:rsidR="009346B9" w:rsidRDefault="00691379" w:rsidP="000918A0">
      <w:pPr>
        <w:ind w:right="71"/>
        <w:jc w:val="center"/>
        <w:rPr>
          <w:b/>
          <w:bCs/>
          <w:sz w:val="22"/>
          <w:szCs w:val="22"/>
          <w:lang w:eastAsia="en-US"/>
        </w:rPr>
      </w:pPr>
      <w:r w:rsidRPr="00321B51">
        <w:rPr>
          <w:b/>
          <w:bCs/>
          <w:sz w:val="22"/>
          <w:szCs w:val="22"/>
          <w:lang w:eastAsia="en-US"/>
        </w:rPr>
        <w:t>Informácie o skutočnostiach, ktoré nastali po dni ku ktorému sa zostavuje účtovná závierka do dňa zostavenia účtovnej závierky</w:t>
      </w:r>
    </w:p>
    <w:p w:rsidR="0005736F" w:rsidRPr="00A02A84" w:rsidRDefault="0005736F" w:rsidP="008F4849">
      <w:pPr>
        <w:ind w:left="360" w:right="71" w:hanging="360"/>
        <w:jc w:val="both"/>
        <w:rPr>
          <w:b/>
          <w:bCs/>
          <w:sz w:val="22"/>
          <w:szCs w:val="22"/>
          <w:lang w:eastAsia="en-US"/>
        </w:rPr>
      </w:pPr>
    </w:p>
    <w:p w:rsidR="00E6738A" w:rsidRPr="000918A0" w:rsidRDefault="00E6738A" w:rsidP="00E6738A">
      <w:pPr>
        <w:ind w:right="-468"/>
        <w:rPr>
          <w:sz w:val="22"/>
          <w:szCs w:val="22"/>
        </w:rPr>
      </w:pPr>
      <w:r w:rsidRPr="000918A0">
        <w:rPr>
          <w:sz w:val="22"/>
          <w:szCs w:val="22"/>
        </w:rPr>
        <w:t>Po 31. decembri 20</w:t>
      </w:r>
      <w:r w:rsidR="00084BC3">
        <w:rPr>
          <w:sz w:val="22"/>
          <w:szCs w:val="22"/>
        </w:rPr>
        <w:t>2</w:t>
      </w:r>
      <w:r w:rsidR="00091BA9">
        <w:rPr>
          <w:sz w:val="22"/>
          <w:szCs w:val="22"/>
        </w:rPr>
        <w:t>1</w:t>
      </w:r>
      <w:r w:rsidRPr="000918A0">
        <w:rPr>
          <w:sz w:val="22"/>
          <w:szCs w:val="22"/>
        </w:rPr>
        <w:t xml:space="preserve"> až do zostavenia účtovnej závierky nenastali také udalosti, ktoré by významným spôsobom ovplyvnili aktíva a pasíva spoločnosti.</w:t>
      </w:r>
    </w:p>
    <w:p w:rsidR="00E6738A" w:rsidRPr="00A02A84" w:rsidRDefault="00E6738A" w:rsidP="00E6738A">
      <w:pPr>
        <w:widowControl w:val="0"/>
        <w:spacing w:after="60"/>
        <w:jc w:val="both"/>
        <w:outlineLvl w:val="0"/>
        <w:rPr>
          <w:b/>
          <w:bCs/>
          <w:kern w:val="28"/>
          <w:sz w:val="22"/>
          <w:szCs w:val="22"/>
          <w:lang w:eastAsia="en-US"/>
        </w:rPr>
      </w:pPr>
    </w:p>
    <w:p w:rsidR="005B05AD" w:rsidRPr="00962079" w:rsidRDefault="005B05AD" w:rsidP="005B05AD">
      <w:pPr>
        <w:pStyle w:val="Nadpis2"/>
        <w:jc w:val="both"/>
        <w:rPr>
          <w:rFonts w:ascii="Times New Roman" w:hAnsi="Times New Roman"/>
          <w:i w:val="0"/>
          <w:sz w:val="22"/>
          <w:szCs w:val="22"/>
        </w:rPr>
      </w:pPr>
      <w:r w:rsidRPr="00962079">
        <w:rPr>
          <w:rFonts w:ascii="Times New Roman" w:hAnsi="Times New Roman"/>
          <w:bCs/>
          <w:i w:val="0"/>
          <w:sz w:val="22"/>
          <w:szCs w:val="22"/>
          <w:lang w:eastAsia="en-US"/>
        </w:rPr>
        <w:t xml:space="preserve">Na konci roku 2019 sa prvýkrát objavili správy z Číny týkajúce sa COVID-19 (Coronavirus). V prvých mesiacoch roku 2020 sa vírus rozšíril do celého sveta a negatívne ovplyvnil mnoho krajín. Spoločnosť na základe </w:t>
      </w:r>
      <w:r w:rsidRPr="00962079">
        <w:rPr>
          <w:rFonts w:ascii="Times New Roman" w:hAnsi="Times New Roman"/>
          <w:i w:val="0"/>
          <w:sz w:val="22"/>
          <w:szCs w:val="22"/>
        </w:rPr>
        <w:t xml:space="preserve">Opatrenia Úradu verejného zdravotníctva Slovenskej republiky bola nútená uzatvoriť prevádzku športových zariadení (Krytá plaváreň, Zimný štadión), čo viedlo k zníženiu tržieb. Spoločnosť musela pristúpiť k prehodnoteniu nájomného (zníženie) za prenájom nebytových priestorov. </w:t>
      </w:r>
    </w:p>
    <w:p w:rsidR="00710900" w:rsidRDefault="00710900" w:rsidP="009E6E97">
      <w:pPr>
        <w:pStyle w:val="Default"/>
        <w:adjustRightInd/>
        <w:jc w:val="both"/>
        <w:rPr>
          <w:rFonts w:ascii="Times New Roman" w:hAnsi="Times New Roman" w:cs="Times New Roman"/>
          <w:bCs/>
          <w:iCs/>
          <w:color w:val="auto"/>
          <w:sz w:val="22"/>
          <w:szCs w:val="22"/>
          <w:lang w:eastAsia="en-US"/>
        </w:rPr>
      </w:pPr>
      <w:r w:rsidRPr="00962079">
        <w:rPr>
          <w:rFonts w:ascii="Times New Roman" w:hAnsi="Times New Roman" w:cs="Times New Roman"/>
          <w:bCs/>
          <w:iCs/>
          <w:color w:val="auto"/>
          <w:sz w:val="22"/>
          <w:szCs w:val="22"/>
          <w:lang w:eastAsia="en-US"/>
        </w:rPr>
        <w:t xml:space="preserve">Zvážili sme všetky potenciálne dopady COVID19 na naše podnikateľské aktivity a dospeli sme k záveru, že nemajú významný vplyv na našu schopnosť pokračovať nepretržite v činnosti a fungovať ako zdravý subjekt nasledujúcich 12 mesiacov. </w:t>
      </w:r>
    </w:p>
    <w:p w:rsidR="008C70FB" w:rsidRDefault="008C70FB" w:rsidP="009E6E97">
      <w:pPr>
        <w:pStyle w:val="Default"/>
        <w:adjustRightInd/>
        <w:jc w:val="both"/>
        <w:rPr>
          <w:rFonts w:ascii="Times New Roman" w:hAnsi="Times New Roman" w:cs="Times New Roman"/>
          <w:bCs/>
          <w:iCs/>
          <w:color w:val="auto"/>
          <w:sz w:val="22"/>
          <w:szCs w:val="22"/>
          <w:lang w:eastAsia="en-US"/>
        </w:rPr>
      </w:pPr>
    </w:p>
    <w:p w:rsidR="008C70FB" w:rsidRPr="008C70FB" w:rsidRDefault="008C70FB" w:rsidP="009E6E97">
      <w:pPr>
        <w:pStyle w:val="Default"/>
        <w:adjustRightInd/>
        <w:jc w:val="both"/>
        <w:rPr>
          <w:rFonts w:ascii="Times New Roman" w:hAnsi="Times New Roman" w:cs="Times New Roman"/>
          <w:bCs/>
          <w:iCs/>
          <w:color w:val="auto"/>
          <w:sz w:val="22"/>
          <w:szCs w:val="22"/>
          <w:lang w:eastAsia="en-US"/>
        </w:rPr>
      </w:pPr>
      <w:r w:rsidRPr="008C70FB">
        <w:rPr>
          <w:rFonts w:ascii="Times New Roman" w:hAnsi="Times New Roman" w:cs="Times New Roman"/>
          <w:color w:val="auto"/>
          <w:sz w:val="22"/>
          <w:szCs w:val="22"/>
          <w:shd w:val="clear" w:color="auto" w:fill="FFFFFF"/>
        </w:rPr>
        <w:t>Prehodnotili sme všetky informácie súvisiace s</w:t>
      </w:r>
      <w:r w:rsidRPr="008C70FB">
        <w:rPr>
          <w:rFonts w:ascii="Times New Roman" w:hAnsi="Times New Roman" w:cs="Times New Roman"/>
          <w:color w:val="auto"/>
          <w:sz w:val="22"/>
          <w:szCs w:val="22"/>
          <w:shd w:val="clear" w:color="auto" w:fill="FFFFFF"/>
        </w:rPr>
        <w:t> vojnou na Ukrajine</w:t>
      </w:r>
      <w:r w:rsidRPr="008C70FB">
        <w:rPr>
          <w:rFonts w:ascii="Times New Roman" w:hAnsi="Times New Roman" w:cs="Times New Roman"/>
          <w:color w:val="auto"/>
          <w:sz w:val="22"/>
          <w:szCs w:val="22"/>
          <w:shd w:val="clear" w:color="auto" w:fill="FFFFFF"/>
        </w:rPr>
        <w:t>, ktoré sme mali k dispozícii ku dnešnému dňu. Nakoľko sa situácia stále vyvíja, vedenie našej spoločnosti nedokáže poskytnúť kvantitatívne odhady potenciálneho vplyvu súčasnej situácie na našu účtovnú jednotku. Sme naďalej presvedčení, že z dlhodobej perspektívy je Spoločnosť schopná nepretržite pokračovať v činnosti počas roku 202</w:t>
      </w:r>
      <w:r w:rsidRPr="008C70FB">
        <w:rPr>
          <w:rFonts w:ascii="Times New Roman" w:hAnsi="Times New Roman" w:cs="Times New Roman"/>
          <w:color w:val="auto"/>
          <w:sz w:val="22"/>
          <w:szCs w:val="22"/>
          <w:shd w:val="clear" w:color="auto" w:fill="FFFFFF"/>
        </w:rPr>
        <w:t>2</w:t>
      </w:r>
      <w:r w:rsidRPr="008C70FB">
        <w:rPr>
          <w:rFonts w:ascii="Times New Roman" w:hAnsi="Times New Roman" w:cs="Times New Roman"/>
          <w:color w:val="auto"/>
          <w:sz w:val="22"/>
          <w:szCs w:val="22"/>
          <w:shd w:val="clear" w:color="auto" w:fill="FFFFFF"/>
        </w:rPr>
        <w:t>. Akýkoľvek negatívny vplyv resp. straty v dôsledku aktuálnej situácie zahrnie účtovná jednotka do účtovníctva a účtovnej závierky v roku 202</w:t>
      </w:r>
      <w:r w:rsidRPr="008C70FB">
        <w:rPr>
          <w:rFonts w:ascii="Times New Roman" w:hAnsi="Times New Roman" w:cs="Times New Roman"/>
          <w:color w:val="auto"/>
          <w:sz w:val="22"/>
          <w:szCs w:val="22"/>
          <w:shd w:val="clear" w:color="auto" w:fill="FFFFFF"/>
        </w:rPr>
        <w:t>2</w:t>
      </w:r>
      <w:r w:rsidRPr="008C70FB">
        <w:rPr>
          <w:rFonts w:ascii="Times New Roman" w:hAnsi="Times New Roman" w:cs="Times New Roman"/>
          <w:color w:val="auto"/>
          <w:sz w:val="22"/>
          <w:szCs w:val="22"/>
          <w:shd w:val="clear" w:color="auto" w:fill="FFFFFF"/>
        </w:rPr>
        <w:t>.</w:t>
      </w:r>
    </w:p>
    <w:p w:rsidR="00DC3026" w:rsidRPr="00962079" w:rsidRDefault="00DC3026" w:rsidP="008F4849">
      <w:pPr>
        <w:widowControl w:val="0"/>
        <w:spacing w:after="60"/>
        <w:outlineLvl w:val="0"/>
        <w:rPr>
          <w:b/>
          <w:bCs/>
          <w:kern w:val="28"/>
          <w:sz w:val="22"/>
          <w:szCs w:val="22"/>
          <w:lang w:eastAsia="en-US"/>
        </w:rPr>
      </w:pPr>
    </w:p>
    <w:sectPr w:rsidR="00DC3026" w:rsidRPr="00962079" w:rsidSect="0019329A">
      <w:headerReference w:type="default" r:id="rId9"/>
      <w:footerReference w:type="even" r:id="rId10"/>
      <w:footerReference w:type="default" r:id="rId11"/>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4A0" w:rsidRDefault="009A44A0">
      <w:r>
        <w:separator/>
      </w:r>
    </w:p>
  </w:endnote>
  <w:endnote w:type="continuationSeparator" w:id="0">
    <w:p w:rsidR="009A44A0" w:rsidRDefault="009A44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7A7" w:rsidRDefault="0025360E">
    <w:pPr>
      <w:pStyle w:val="Pta"/>
      <w:framePr w:wrap="around" w:vAnchor="text" w:hAnchor="margin" w:xAlign="right" w:y="1"/>
      <w:rPr>
        <w:rStyle w:val="slostrany"/>
      </w:rPr>
    </w:pPr>
    <w:r>
      <w:rPr>
        <w:rStyle w:val="slostrany"/>
      </w:rPr>
      <w:fldChar w:fldCharType="begin"/>
    </w:r>
    <w:r w:rsidR="002F07A7">
      <w:rPr>
        <w:rStyle w:val="slostrany"/>
      </w:rPr>
      <w:instrText xml:space="preserve">PAGE  </w:instrText>
    </w:r>
    <w:r>
      <w:rPr>
        <w:rStyle w:val="slostrany"/>
      </w:rPr>
      <w:fldChar w:fldCharType="separate"/>
    </w:r>
    <w:r w:rsidR="002F07A7">
      <w:rPr>
        <w:rStyle w:val="slostrany"/>
        <w:noProof/>
      </w:rPr>
      <w:t>7</w:t>
    </w:r>
    <w:r>
      <w:rPr>
        <w:rStyle w:val="slostrany"/>
      </w:rPr>
      <w:fldChar w:fldCharType="end"/>
    </w:r>
  </w:p>
  <w:p w:rsidR="002F07A7" w:rsidRDefault="002F07A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7A7" w:rsidRDefault="0025360E">
    <w:pPr>
      <w:pStyle w:val="Pta"/>
      <w:framePr w:wrap="around" w:vAnchor="text" w:hAnchor="margin" w:xAlign="right" w:y="1"/>
      <w:rPr>
        <w:rStyle w:val="slostrany"/>
      </w:rPr>
    </w:pPr>
    <w:r>
      <w:rPr>
        <w:rStyle w:val="slostrany"/>
      </w:rPr>
      <w:fldChar w:fldCharType="begin"/>
    </w:r>
    <w:r w:rsidR="002F07A7">
      <w:rPr>
        <w:rStyle w:val="slostrany"/>
      </w:rPr>
      <w:instrText xml:space="preserve">PAGE  </w:instrText>
    </w:r>
    <w:r>
      <w:rPr>
        <w:rStyle w:val="slostrany"/>
      </w:rPr>
      <w:fldChar w:fldCharType="separate"/>
    </w:r>
    <w:r w:rsidR="008C70FB">
      <w:rPr>
        <w:rStyle w:val="slostrany"/>
        <w:noProof/>
      </w:rPr>
      <w:t>2</w:t>
    </w:r>
    <w:r>
      <w:rPr>
        <w:rStyle w:val="slostrany"/>
      </w:rPr>
      <w:fldChar w:fldCharType="end"/>
    </w:r>
  </w:p>
  <w:p w:rsidR="002F07A7" w:rsidRDefault="002F07A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4A0" w:rsidRDefault="009A44A0">
      <w:r>
        <w:separator/>
      </w:r>
    </w:p>
  </w:footnote>
  <w:footnote w:type="continuationSeparator" w:id="0">
    <w:p w:rsidR="009A44A0" w:rsidRDefault="009A44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7A7" w:rsidRDefault="002F07A7" w:rsidP="00BA6B71">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rPr>
      <w:t>Po</w:t>
    </w:r>
    <w:r w:rsidRPr="002C3C72">
      <w:rPr>
        <w:rFonts w:ascii="Arial" w:hAnsi="Arial" w:cs="Arial"/>
        <w:spacing w:val="1"/>
        <w:sz w:val="22"/>
        <w:szCs w:val="22"/>
        <w:bdr w:val="single" w:sz="4" w:space="0" w:color="auto" w:frame="1"/>
      </w:rPr>
      <w:t>z</w:t>
    </w:r>
    <w:r w:rsidRPr="002C3C72">
      <w:rPr>
        <w:rFonts w:ascii="Arial" w:hAnsi="Arial" w:cs="Arial"/>
        <w:sz w:val="22"/>
        <w:szCs w:val="22"/>
        <w:bdr w:val="single" w:sz="4" w:space="0" w:color="auto" w:frame="1"/>
      </w:rPr>
      <w:t>n</w:t>
    </w:r>
    <w:r w:rsidRPr="002C3C72">
      <w:rPr>
        <w:rFonts w:ascii="Arial" w:hAnsi="Arial" w:cs="Arial"/>
        <w:spacing w:val="-1"/>
        <w:sz w:val="22"/>
        <w:szCs w:val="22"/>
        <w:bdr w:val="single" w:sz="4" w:space="0" w:color="auto" w:frame="1"/>
      </w:rPr>
      <w:t>á</w:t>
    </w:r>
    <w:r w:rsidRPr="002C3C72">
      <w:rPr>
        <w:rFonts w:ascii="Arial" w:hAnsi="Arial" w:cs="Arial"/>
        <w:sz w:val="22"/>
        <w:szCs w:val="22"/>
        <w:bdr w:val="single" w:sz="4" w:space="0" w:color="auto" w:frame="1"/>
      </w:rPr>
      <w:t>m</w:t>
    </w:r>
    <w:r w:rsidRPr="002C3C72">
      <w:rPr>
        <w:rFonts w:ascii="Arial" w:hAnsi="Arial" w:cs="Arial"/>
        <w:spacing w:val="2"/>
        <w:sz w:val="22"/>
        <w:szCs w:val="22"/>
        <w:bdr w:val="single" w:sz="4" w:space="0" w:color="auto" w:frame="1"/>
      </w:rPr>
      <w:t>k</w:t>
    </w:r>
    <w:r w:rsidRPr="002C3C72">
      <w:rPr>
        <w:rFonts w:ascii="Arial" w:hAnsi="Arial" w:cs="Arial"/>
        <w:sz w:val="22"/>
        <w:szCs w:val="22"/>
        <w:bdr w:val="single" w:sz="4" w:space="0" w:color="auto" w:frame="1"/>
      </w:rPr>
      <w:t>y</w:t>
    </w:r>
    <w:r w:rsidRPr="002C3C72">
      <w:rPr>
        <w:rFonts w:ascii="Arial" w:hAnsi="Arial" w:cs="Arial"/>
        <w:spacing w:val="-8"/>
        <w:sz w:val="22"/>
        <w:szCs w:val="22"/>
        <w:bdr w:val="single" w:sz="4" w:space="0" w:color="auto" w:frame="1"/>
      </w:rPr>
      <w:t xml:space="preserve"> </w:t>
    </w:r>
    <w:r w:rsidRPr="002C3C72">
      <w:rPr>
        <w:rFonts w:ascii="Arial" w:hAnsi="Arial" w:cs="Arial"/>
        <w:spacing w:val="1"/>
        <w:sz w:val="22"/>
        <w:szCs w:val="22"/>
        <w:bdr w:val="single" w:sz="4" w:space="0" w:color="auto" w:frame="1"/>
      </w:rPr>
      <w:t>Ú</w:t>
    </w:r>
    <w:r w:rsidRPr="002C3C72">
      <w:rPr>
        <w:rFonts w:ascii="Arial" w:hAnsi="Arial" w:cs="Arial"/>
        <w:sz w:val="22"/>
        <w:szCs w:val="22"/>
        <w:bdr w:val="single" w:sz="4" w:space="0" w:color="auto" w:frame="1"/>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36039225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2020093504</w:t>
    </w:r>
  </w:p>
  <w:p w:rsidR="002F07A7" w:rsidRDefault="002F07A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8Num2"/>
    <w:lvl w:ilvl="0">
      <w:start w:val="1"/>
      <w:numFmt w:val="lowerLetter"/>
      <w:lvlText w:val="%1)"/>
      <w:lvlJc w:val="left"/>
      <w:pPr>
        <w:tabs>
          <w:tab w:val="num" w:pos="333"/>
        </w:tabs>
        <w:ind w:left="1184" w:hanging="284"/>
      </w:pPr>
      <w:rPr>
        <w:rFonts w:ascii="Times New Roman" w:hAnsi="Times New Roman" w:cs="Times New Roman" w:hint="default"/>
        <w:b w:val="0"/>
        <w:bCs/>
        <w:i w:val="0"/>
        <w:sz w:val="24"/>
        <w:szCs w:val="24"/>
        <w:lang w:val="sk-SK"/>
      </w:rPr>
    </w:lvl>
    <w:lvl w:ilvl="1">
      <w:start w:val="1"/>
      <w:numFmt w:val="decimal"/>
      <w:lvlText w:val="%2."/>
      <w:lvlJc w:val="left"/>
      <w:pPr>
        <w:tabs>
          <w:tab w:val="num" w:pos="1440"/>
        </w:tabs>
        <w:ind w:left="1440" w:hanging="360"/>
      </w:pPr>
      <w:rPr>
        <w:rFonts w:hint="default"/>
        <w:bCs/>
        <w:sz w:val="22"/>
        <w:szCs w:val="22"/>
        <w:lang w:val="sk-SK"/>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6D064991"/>
    <w:multiLevelType w:val="hybridMultilevel"/>
    <w:tmpl w:val="5776A864"/>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salová">
    <w15:presenceInfo w15:providerId="None" w15:userId="Kusal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0224A"/>
    <w:rsid w:val="0000563F"/>
    <w:rsid w:val="0000597B"/>
    <w:rsid w:val="00013022"/>
    <w:rsid w:val="00014565"/>
    <w:rsid w:val="00015E4C"/>
    <w:rsid w:val="0001735B"/>
    <w:rsid w:val="00022068"/>
    <w:rsid w:val="00023A3A"/>
    <w:rsid w:val="0002557D"/>
    <w:rsid w:val="00026360"/>
    <w:rsid w:val="00027232"/>
    <w:rsid w:val="00027FF2"/>
    <w:rsid w:val="000304EB"/>
    <w:rsid w:val="000307FA"/>
    <w:rsid w:val="00030972"/>
    <w:rsid w:val="00034726"/>
    <w:rsid w:val="0003555D"/>
    <w:rsid w:val="0003683A"/>
    <w:rsid w:val="0004127F"/>
    <w:rsid w:val="00042017"/>
    <w:rsid w:val="00045EE0"/>
    <w:rsid w:val="00052016"/>
    <w:rsid w:val="00052304"/>
    <w:rsid w:val="00052635"/>
    <w:rsid w:val="0005470C"/>
    <w:rsid w:val="00054D19"/>
    <w:rsid w:val="00054FC6"/>
    <w:rsid w:val="000558F7"/>
    <w:rsid w:val="00056AA8"/>
    <w:rsid w:val="00056E99"/>
    <w:rsid w:val="0005736F"/>
    <w:rsid w:val="00067811"/>
    <w:rsid w:val="00067C83"/>
    <w:rsid w:val="0007004E"/>
    <w:rsid w:val="000715D0"/>
    <w:rsid w:val="0007165B"/>
    <w:rsid w:val="00074BF8"/>
    <w:rsid w:val="000807FB"/>
    <w:rsid w:val="000810AF"/>
    <w:rsid w:val="00082704"/>
    <w:rsid w:val="00083F45"/>
    <w:rsid w:val="00084BC3"/>
    <w:rsid w:val="000918A0"/>
    <w:rsid w:val="00091AB4"/>
    <w:rsid w:val="00091BA9"/>
    <w:rsid w:val="000A79AB"/>
    <w:rsid w:val="000B1DC6"/>
    <w:rsid w:val="000B2B2B"/>
    <w:rsid w:val="000B2C74"/>
    <w:rsid w:val="000B3819"/>
    <w:rsid w:val="000B428E"/>
    <w:rsid w:val="000B429A"/>
    <w:rsid w:val="000B5494"/>
    <w:rsid w:val="000C619A"/>
    <w:rsid w:val="000C726C"/>
    <w:rsid w:val="000D0FA8"/>
    <w:rsid w:val="000D1710"/>
    <w:rsid w:val="000D1A52"/>
    <w:rsid w:val="000D4127"/>
    <w:rsid w:val="000D5595"/>
    <w:rsid w:val="000E0212"/>
    <w:rsid w:val="000E0A20"/>
    <w:rsid w:val="000E12E2"/>
    <w:rsid w:val="000E2F94"/>
    <w:rsid w:val="000E44A8"/>
    <w:rsid w:val="000E4DDE"/>
    <w:rsid w:val="000E4DFE"/>
    <w:rsid w:val="000E5650"/>
    <w:rsid w:val="000E6DC6"/>
    <w:rsid w:val="00101E28"/>
    <w:rsid w:val="00105C6F"/>
    <w:rsid w:val="00105E9F"/>
    <w:rsid w:val="0010738F"/>
    <w:rsid w:val="00110306"/>
    <w:rsid w:val="00112A60"/>
    <w:rsid w:val="00112BE4"/>
    <w:rsid w:val="001245BA"/>
    <w:rsid w:val="001257A2"/>
    <w:rsid w:val="00125EB0"/>
    <w:rsid w:val="001269BD"/>
    <w:rsid w:val="00134B6C"/>
    <w:rsid w:val="001431CF"/>
    <w:rsid w:val="001442FA"/>
    <w:rsid w:val="00145432"/>
    <w:rsid w:val="001471F7"/>
    <w:rsid w:val="001477CB"/>
    <w:rsid w:val="001509F9"/>
    <w:rsid w:val="00150EC6"/>
    <w:rsid w:val="00151EC6"/>
    <w:rsid w:val="001544F6"/>
    <w:rsid w:val="00154B25"/>
    <w:rsid w:val="00154E87"/>
    <w:rsid w:val="00154F3C"/>
    <w:rsid w:val="001559F7"/>
    <w:rsid w:val="0015655B"/>
    <w:rsid w:val="00160AD3"/>
    <w:rsid w:val="00160FA1"/>
    <w:rsid w:val="00163474"/>
    <w:rsid w:val="001639AD"/>
    <w:rsid w:val="00165F7D"/>
    <w:rsid w:val="00166F7E"/>
    <w:rsid w:val="00167C96"/>
    <w:rsid w:val="00170ECE"/>
    <w:rsid w:val="00172A9D"/>
    <w:rsid w:val="00173DF5"/>
    <w:rsid w:val="0017593E"/>
    <w:rsid w:val="00176440"/>
    <w:rsid w:val="00176919"/>
    <w:rsid w:val="001801BD"/>
    <w:rsid w:val="0018333C"/>
    <w:rsid w:val="00183DFC"/>
    <w:rsid w:val="00184447"/>
    <w:rsid w:val="00187CA4"/>
    <w:rsid w:val="00191042"/>
    <w:rsid w:val="001915EC"/>
    <w:rsid w:val="001921B2"/>
    <w:rsid w:val="001926A9"/>
    <w:rsid w:val="0019329A"/>
    <w:rsid w:val="00193902"/>
    <w:rsid w:val="001A2B5D"/>
    <w:rsid w:val="001A6C00"/>
    <w:rsid w:val="001B1743"/>
    <w:rsid w:val="001B2616"/>
    <w:rsid w:val="001B4175"/>
    <w:rsid w:val="001B4EBC"/>
    <w:rsid w:val="001B5695"/>
    <w:rsid w:val="001B575C"/>
    <w:rsid w:val="001B7C66"/>
    <w:rsid w:val="001D01AA"/>
    <w:rsid w:val="001D1116"/>
    <w:rsid w:val="001D241A"/>
    <w:rsid w:val="001D3977"/>
    <w:rsid w:val="001E1A64"/>
    <w:rsid w:val="001E391B"/>
    <w:rsid w:val="001E5310"/>
    <w:rsid w:val="001E5629"/>
    <w:rsid w:val="001E580D"/>
    <w:rsid w:val="001E6B23"/>
    <w:rsid w:val="001F7CB9"/>
    <w:rsid w:val="0020071A"/>
    <w:rsid w:val="00201175"/>
    <w:rsid w:val="00202151"/>
    <w:rsid w:val="002042C6"/>
    <w:rsid w:val="00204662"/>
    <w:rsid w:val="0020487C"/>
    <w:rsid w:val="00205530"/>
    <w:rsid w:val="00205AC1"/>
    <w:rsid w:val="00206CEC"/>
    <w:rsid w:val="00210082"/>
    <w:rsid w:val="0021372A"/>
    <w:rsid w:val="00215FDA"/>
    <w:rsid w:val="0022319C"/>
    <w:rsid w:val="00225417"/>
    <w:rsid w:val="002269F6"/>
    <w:rsid w:val="00234837"/>
    <w:rsid w:val="00235A79"/>
    <w:rsid w:val="00240925"/>
    <w:rsid w:val="00240A7C"/>
    <w:rsid w:val="00243298"/>
    <w:rsid w:val="00243BEE"/>
    <w:rsid w:val="002464D4"/>
    <w:rsid w:val="00246D7E"/>
    <w:rsid w:val="002524B0"/>
    <w:rsid w:val="0025360E"/>
    <w:rsid w:val="00253E07"/>
    <w:rsid w:val="00255397"/>
    <w:rsid w:val="00257FEF"/>
    <w:rsid w:val="0026145B"/>
    <w:rsid w:val="00263E65"/>
    <w:rsid w:val="0026562B"/>
    <w:rsid w:val="00271170"/>
    <w:rsid w:val="00271E3A"/>
    <w:rsid w:val="00272458"/>
    <w:rsid w:val="00274A8B"/>
    <w:rsid w:val="00274FDC"/>
    <w:rsid w:val="002750DF"/>
    <w:rsid w:val="0027558B"/>
    <w:rsid w:val="00277494"/>
    <w:rsid w:val="00281C5A"/>
    <w:rsid w:val="002842B0"/>
    <w:rsid w:val="00287433"/>
    <w:rsid w:val="002874E4"/>
    <w:rsid w:val="00291228"/>
    <w:rsid w:val="002927BF"/>
    <w:rsid w:val="002956BF"/>
    <w:rsid w:val="00295775"/>
    <w:rsid w:val="00295E19"/>
    <w:rsid w:val="002963B5"/>
    <w:rsid w:val="00296C3C"/>
    <w:rsid w:val="00297C63"/>
    <w:rsid w:val="002A26EA"/>
    <w:rsid w:val="002A6E10"/>
    <w:rsid w:val="002A7A64"/>
    <w:rsid w:val="002B12D0"/>
    <w:rsid w:val="002B32D0"/>
    <w:rsid w:val="002B424F"/>
    <w:rsid w:val="002B7C1E"/>
    <w:rsid w:val="002C0C01"/>
    <w:rsid w:val="002C51A0"/>
    <w:rsid w:val="002C675E"/>
    <w:rsid w:val="002C678D"/>
    <w:rsid w:val="002D1F3B"/>
    <w:rsid w:val="002D46EA"/>
    <w:rsid w:val="002D4AAF"/>
    <w:rsid w:val="002D5955"/>
    <w:rsid w:val="002E0836"/>
    <w:rsid w:val="002E1144"/>
    <w:rsid w:val="002E31AB"/>
    <w:rsid w:val="002E37FF"/>
    <w:rsid w:val="002E4D8C"/>
    <w:rsid w:val="002E62E9"/>
    <w:rsid w:val="002E736A"/>
    <w:rsid w:val="002F022E"/>
    <w:rsid w:val="002F07A7"/>
    <w:rsid w:val="002F26DA"/>
    <w:rsid w:val="002F5B65"/>
    <w:rsid w:val="002F6190"/>
    <w:rsid w:val="002F707C"/>
    <w:rsid w:val="002F7335"/>
    <w:rsid w:val="00301814"/>
    <w:rsid w:val="00303202"/>
    <w:rsid w:val="003041B0"/>
    <w:rsid w:val="00304A70"/>
    <w:rsid w:val="00304CD0"/>
    <w:rsid w:val="0031220A"/>
    <w:rsid w:val="00313281"/>
    <w:rsid w:val="00314ED2"/>
    <w:rsid w:val="00320D4E"/>
    <w:rsid w:val="00321B51"/>
    <w:rsid w:val="00325F61"/>
    <w:rsid w:val="00326A43"/>
    <w:rsid w:val="00327056"/>
    <w:rsid w:val="00327511"/>
    <w:rsid w:val="0033042E"/>
    <w:rsid w:val="00330658"/>
    <w:rsid w:val="0033125B"/>
    <w:rsid w:val="003318EB"/>
    <w:rsid w:val="003337EA"/>
    <w:rsid w:val="00334C7A"/>
    <w:rsid w:val="00337F7D"/>
    <w:rsid w:val="003423A2"/>
    <w:rsid w:val="003438B2"/>
    <w:rsid w:val="00344562"/>
    <w:rsid w:val="00345255"/>
    <w:rsid w:val="00346BD5"/>
    <w:rsid w:val="00352DC6"/>
    <w:rsid w:val="00353B61"/>
    <w:rsid w:val="00355735"/>
    <w:rsid w:val="00355F84"/>
    <w:rsid w:val="0035650D"/>
    <w:rsid w:val="0035669E"/>
    <w:rsid w:val="00356931"/>
    <w:rsid w:val="00360785"/>
    <w:rsid w:val="00367702"/>
    <w:rsid w:val="00373244"/>
    <w:rsid w:val="00375FFD"/>
    <w:rsid w:val="00376F69"/>
    <w:rsid w:val="00377F96"/>
    <w:rsid w:val="003802C8"/>
    <w:rsid w:val="0038380D"/>
    <w:rsid w:val="00386CF8"/>
    <w:rsid w:val="0039004D"/>
    <w:rsid w:val="00394405"/>
    <w:rsid w:val="00395B75"/>
    <w:rsid w:val="003A5764"/>
    <w:rsid w:val="003A59AB"/>
    <w:rsid w:val="003A6509"/>
    <w:rsid w:val="003B5429"/>
    <w:rsid w:val="003B7D9D"/>
    <w:rsid w:val="003C02C3"/>
    <w:rsid w:val="003C2458"/>
    <w:rsid w:val="003C2779"/>
    <w:rsid w:val="003C42D4"/>
    <w:rsid w:val="003C5D91"/>
    <w:rsid w:val="003D17BA"/>
    <w:rsid w:val="003E3C37"/>
    <w:rsid w:val="003E4C32"/>
    <w:rsid w:val="003F3B38"/>
    <w:rsid w:val="003F6211"/>
    <w:rsid w:val="00400C40"/>
    <w:rsid w:val="004019A3"/>
    <w:rsid w:val="00402215"/>
    <w:rsid w:val="004040EF"/>
    <w:rsid w:val="0040592F"/>
    <w:rsid w:val="00405CE4"/>
    <w:rsid w:val="00410896"/>
    <w:rsid w:val="00411075"/>
    <w:rsid w:val="004123AB"/>
    <w:rsid w:val="00412CD5"/>
    <w:rsid w:val="00415AB0"/>
    <w:rsid w:val="00417239"/>
    <w:rsid w:val="00424E2A"/>
    <w:rsid w:val="0042535A"/>
    <w:rsid w:val="00425DB9"/>
    <w:rsid w:val="004310E1"/>
    <w:rsid w:val="004317B4"/>
    <w:rsid w:val="00432A42"/>
    <w:rsid w:val="004340AE"/>
    <w:rsid w:val="0043555D"/>
    <w:rsid w:val="00436622"/>
    <w:rsid w:val="00436BF3"/>
    <w:rsid w:val="00442737"/>
    <w:rsid w:val="0044459B"/>
    <w:rsid w:val="00445696"/>
    <w:rsid w:val="00445E6A"/>
    <w:rsid w:val="00447DA9"/>
    <w:rsid w:val="004502F6"/>
    <w:rsid w:val="00450BF6"/>
    <w:rsid w:val="00451724"/>
    <w:rsid w:val="00451751"/>
    <w:rsid w:val="00452DAD"/>
    <w:rsid w:val="00455E4A"/>
    <w:rsid w:val="0045631B"/>
    <w:rsid w:val="00460BA5"/>
    <w:rsid w:val="00460C76"/>
    <w:rsid w:val="00462123"/>
    <w:rsid w:val="0046271F"/>
    <w:rsid w:val="004738A4"/>
    <w:rsid w:val="00474DD3"/>
    <w:rsid w:val="00475454"/>
    <w:rsid w:val="00476134"/>
    <w:rsid w:val="00477D22"/>
    <w:rsid w:val="0048152A"/>
    <w:rsid w:val="00485237"/>
    <w:rsid w:val="004906B8"/>
    <w:rsid w:val="004957B7"/>
    <w:rsid w:val="00496978"/>
    <w:rsid w:val="004A4F6D"/>
    <w:rsid w:val="004A5E98"/>
    <w:rsid w:val="004A6B01"/>
    <w:rsid w:val="004B0C5F"/>
    <w:rsid w:val="004B23DD"/>
    <w:rsid w:val="004B356A"/>
    <w:rsid w:val="004C04DC"/>
    <w:rsid w:val="004C39F2"/>
    <w:rsid w:val="004C556E"/>
    <w:rsid w:val="004C617B"/>
    <w:rsid w:val="004C7371"/>
    <w:rsid w:val="004C7781"/>
    <w:rsid w:val="004C79AA"/>
    <w:rsid w:val="004D0801"/>
    <w:rsid w:val="004D17A9"/>
    <w:rsid w:val="004D185B"/>
    <w:rsid w:val="004D3BBC"/>
    <w:rsid w:val="004D463B"/>
    <w:rsid w:val="004D4F98"/>
    <w:rsid w:val="004D507D"/>
    <w:rsid w:val="004D7047"/>
    <w:rsid w:val="004D73C7"/>
    <w:rsid w:val="004E07FD"/>
    <w:rsid w:val="004E620B"/>
    <w:rsid w:val="004E6332"/>
    <w:rsid w:val="004E7C1D"/>
    <w:rsid w:val="004F2ABB"/>
    <w:rsid w:val="004F32A2"/>
    <w:rsid w:val="004F4832"/>
    <w:rsid w:val="004F4AD0"/>
    <w:rsid w:val="004F56CC"/>
    <w:rsid w:val="004F57DA"/>
    <w:rsid w:val="004F5BFB"/>
    <w:rsid w:val="004F6951"/>
    <w:rsid w:val="00500B87"/>
    <w:rsid w:val="0050117C"/>
    <w:rsid w:val="00501991"/>
    <w:rsid w:val="0050260F"/>
    <w:rsid w:val="00503653"/>
    <w:rsid w:val="00504F03"/>
    <w:rsid w:val="00505375"/>
    <w:rsid w:val="00505E1A"/>
    <w:rsid w:val="005127AC"/>
    <w:rsid w:val="0051781A"/>
    <w:rsid w:val="00517A7E"/>
    <w:rsid w:val="00521E41"/>
    <w:rsid w:val="005228DC"/>
    <w:rsid w:val="005267D6"/>
    <w:rsid w:val="00527D23"/>
    <w:rsid w:val="005338AA"/>
    <w:rsid w:val="00534840"/>
    <w:rsid w:val="005360DA"/>
    <w:rsid w:val="00536740"/>
    <w:rsid w:val="00536C0E"/>
    <w:rsid w:val="00537B34"/>
    <w:rsid w:val="0054075F"/>
    <w:rsid w:val="00542A17"/>
    <w:rsid w:val="00544BF0"/>
    <w:rsid w:val="005504D1"/>
    <w:rsid w:val="0055072B"/>
    <w:rsid w:val="00551847"/>
    <w:rsid w:val="0055336F"/>
    <w:rsid w:val="005544E1"/>
    <w:rsid w:val="00555EAF"/>
    <w:rsid w:val="005569F2"/>
    <w:rsid w:val="00566C46"/>
    <w:rsid w:val="00566F3D"/>
    <w:rsid w:val="0058113B"/>
    <w:rsid w:val="00583143"/>
    <w:rsid w:val="00591DD6"/>
    <w:rsid w:val="00593547"/>
    <w:rsid w:val="0059387E"/>
    <w:rsid w:val="00596E20"/>
    <w:rsid w:val="005A240C"/>
    <w:rsid w:val="005A2621"/>
    <w:rsid w:val="005A394D"/>
    <w:rsid w:val="005A3E59"/>
    <w:rsid w:val="005A6969"/>
    <w:rsid w:val="005B05AD"/>
    <w:rsid w:val="005B129D"/>
    <w:rsid w:val="005B4211"/>
    <w:rsid w:val="005B59F4"/>
    <w:rsid w:val="005B60EF"/>
    <w:rsid w:val="005C20F2"/>
    <w:rsid w:val="005C2676"/>
    <w:rsid w:val="005C49E0"/>
    <w:rsid w:val="005C5563"/>
    <w:rsid w:val="005C57C9"/>
    <w:rsid w:val="005D0D73"/>
    <w:rsid w:val="005D2798"/>
    <w:rsid w:val="005D37EE"/>
    <w:rsid w:val="005D5675"/>
    <w:rsid w:val="005D586F"/>
    <w:rsid w:val="005E412F"/>
    <w:rsid w:val="005E6A87"/>
    <w:rsid w:val="005E7006"/>
    <w:rsid w:val="005F0295"/>
    <w:rsid w:val="005F1720"/>
    <w:rsid w:val="005F316F"/>
    <w:rsid w:val="005F3F23"/>
    <w:rsid w:val="005F4D6C"/>
    <w:rsid w:val="005F65B7"/>
    <w:rsid w:val="006012D0"/>
    <w:rsid w:val="006025C5"/>
    <w:rsid w:val="00602E82"/>
    <w:rsid w:val="006032E1"/>
    <w:rsid w:val="0060340E"/>
    <w:rsid w:val="00606AE5"/>
    <w:rsid w:val="00607A2A"/>
    <w:rsid w:val="00614159"/>
    <w:rsid w:val="006145A7"/>
    <w:rsid w:val="00615092"/>
    <w:rsid w:val="00620534"/>
    <w:rsid w:val="00621131"/>
    <w:rsid w:val="006218ED"/>
    <w:rsid w:val="00624005"/>
    <w:rsid w:val="006241BB"/>
    <w:rsid w:val="00625393"/>
    <w:rsid w:val="00626001"/>
    <w:rsid w:val="006266E5"/>
    <w:rsid w:val="00627E19"/>
    <w:rsid w:val="00631EEE"/>
    <w:rsid w:val="006325DD"/>
    <w:rsid w:val="00636AE7"/>
    <w:rsid w:val="0063724D"/>
    <w:rsid w:val="00637C9A"/>
    <w:rsid w:val="006418BC"/>
    <w:rsid w:val="00642588"/>
    <w:rsid w:val="00642E60"/>
    <w:rsid w:val="00643A30"/>
    <w:rsid w:val="006447D4"/>
    <w:rsid w:val="00644AA3"/>
    <w:rsid w:val="00644CD0"/>
    <w:rsid w:val="00646177"/>
    <w:rsid w:val="0064626E"/>
    <w:rsid w:val="00646911"/>
    <w:rsid w:val="00646980"/>
    <w:rsid w:val="00650C4C"/>
    <w:rsid w:val="00650FD0"/>
    <w:rsid w:val="00651207"/>
    <w:rsid w:val="0066057E"/>
    <w:rsid w:val="00660F5A"/>
    <w:rsid w:val="006619C6"/>
    <w:rsid w:val="00661FEF"/>
    <w:rsid w:val="006674F1"/>
    <w:rsid w:val="00667779"/>
    <w:rsid w:val="00672645"/>
    <w:rsid w:val="00673143"/>
    <w:rsid w:val="00674829"/>
    <w:rsid w:val="00675011"/>
    <w:rsid w:val="00675422"/>
    <w:rsid w:val="00677532"/>
    <w:rsid w:val="006808D4"/>
    <w:rsid w:val="00681A0A"/>
    <w:rsid w:val="00682A10"/>
    <w:rsid w:val="00687D09"/>
    <w:rsid w:val="00690093"/>
    <w:rsid w:val="00690516"/>
    <w:rsid w:val="00690ADB"/>
    <w:rsid w:val="00691379"/>
    <w:rsid w:val="0069388A"/>
    <w:rsid w:val="00694775"/>
    <w:rsid w:val="006953C7"/>
    <w:rsid w:val="00697512"/>
    <w:rsid w:val="006A3A67"/>
    <w:rsid w:val="006A66AB"/>
    <w:rsid w:val="006C0977"/>
    <w:rsid w:val="006C37C7"/>
    <w:rsid w:val="006C487A"/>
    <w:rsid w:val="006C4B4F"/>
    <w:rsid w:val="006C6C03"/>
    <w:rsid w:val="006C769A"/>
    <w:rsid w:val="006D48B2"/>
    <w:rsid w:val="006D6723"/>
    <w:rsid w:val="006D7111"/>
    <w:rsid w:val="006D7F47"/>
    <w:rsid w:val="006E0532"/>
    <w:rsid w:val="006E21F2"/>
    <w:rsid w:val="006E3F56"/>
    <w:rsid w:val="006E40EA"/>
    <w:rsid w:val="006E5B04"/>
    <w:rsid w:val="006F02AB"/>
    <w:rsid w:val="006F070B"/>
    <w:rsid w:val="006F3F20"/>
    <w:rsid w:val="006F4EF6"/>
    <w:rsid w:val="006F6027"/>
    <w:rsid w:val="006F6295"/>
    <w:rsid w:val="006F6ED5"/>
    <w:rsid w:val="006F7401"/>
    <w:rsid w:val="006F7A34"/>
    <w:rsid w:val="0070224A"/>
    <w:rsid w:val="007022FC"/>
    <w:rsid w:val="007036C5"/>
    <w:rsid w:val="00704837"/>
    <w:rsid w:val="00704CD7"/>
    <w:rsid w:val="00707564"/>
    <w:rsid w:val="00710900"/>
    <w:rsid w:val="00711FE4"/>
    <w:rsid w:val="0071311E"/>
    <w:rsid w:val="007145C1"/>
    <w:rsid w:val="00714607"/>
    <w:rsid w:val="0071622D"/>
    <w:rsid w:val="00723663"/>
    <w:rsid w:val="00725FE4"/>
    <w:rsid w:val="00727A46"/>
    <w:rsid w:val="007308D9"/>
    <w:rsid w:val="00731CA9"/>
    <w:rsid w:val="00731F2C"/>
    <w:rsid w:val="00735733"/>
    <w:rsid w:val="00735F93"/>
    <w:rsid w:val="00736449"/>
    <w:rsid w:val="0073663E"/>
    <w:rsid w:val="00742A53"/>
    <w:rsid w:val="00745FC0"/>
    <w:rsid w:val="0074673E"/>
    <w:rsid w:val="00747540"/>
    <w:rsid w:val="00747736"/>
    <w:rsid w:val="00747CFA"/>
    <w:rsid w:val="00755C4E"/>
    <w:rsid w:val="00755C6A"/>
    <w:rsid w:val="00755C9D"/>
    <w:rsid w:val="00756045"/>
    <w:rsid w:val="007565B3"/>
    <w:rsid w:val="00763FBA"/>
    <w:rsid w:val="00765972"/>
    <w:rsid w:val="007764EE"/>
    <w:rsid w:val="00780993"/>
    <w:rsid w:val="0078333A"/>
    <w:rsid w:val="007839EF"/>
    <w:rsid w:val="00784512"/>
    <w:rsid w:val="0078464F"/>
    <w:rsid w:val="00785CA1"/>
    <w:rsid w:val="007922D8"/>
    <w:rsid w:val="00794D7B"/>
    <w:rsid w:val="007950A7"/>
    <w:rsid w:val="007977E3"/>
    <w:rsid w:val="00797D58"/>
    <w:rsid w:val="007A4050"/>
    <w:rsid w:val="007A4619"/>
    <w:rsid w:val="007A4A35"/>
    <w:rsid w:val="007A77D0"/>
    <w:rsid w:val="007B09D2"/>
    <w:rsid w:val="007B2B28"/>
    <w:rsid w:val="007C127E"/>
    <w:rsid w:val="007C14AF"/>
    <w:rsid w:val="007C26BD"/>
    <w:rsid w:val="007C2771"/>
    <w:rsid w:val="007C40F2"/>
    <w:rsid w:val="007D34FA"/>
    <w:rsid w:val="007D5D8C"/>
    <w:rsid w:val="007D6C37"/>
    <w:rsid w:val="007E07A8"/>
    <w:rsid w:val="007E4E87"/>
    <w:rsid w:val="007E53EC"/>
    <w:rsid w:val="007E67AF"/>
    <w:rsid w:val="007E781C"/>
    <w:rsid w:val="007E7863"/>
    <w:rsid w:val="007F0967"/>
    <w:rsid w:val="007F20ED"/>
    <w:rsid w:val="007F2493"/>
    <w:rsid w:val="007F3DF2"/>
    <w:rsid w:val="00800FAA"/>
    <w:rsid w:val="00801E71"/>
    <w:rsid w:val="00803C89"/>
    <w:rsid w:val="00803DC8"/>
    <w:rsid w:val="00810891"/>
    <w:rsid w:val="00813B6A"/>
    <w:rsid w:val="00814A6C"/>
    <w:rsid w:val="0081668E"/>
    <w:rsid w:val="008200F3"/>
    <w:rsid w:val="008205B3"/>
    <w:rsid w:val="00821582"/>
    <w:rsid w:val="00822367"/>
    <w:rsid w:val="00822A51"/>
    <w:rsid w:val="00823E91"/>
    <w:rsid w:val="00825E9B"/>
    <w:rsid w:val="00827DF8"/>
    <w:rsid w:val="008308D8"/>
    <w:rsid w:val="00832B0B"/>
    <w:rsid w:val="00836E72"/>
    <w:rsid w:val="008374AE"/>
    <w:rsid w:val="00837C7D"/>
    <w:rsid w:val="00840008"/>
    <w:rsid w:val="00840216"/>
    <w:rsid w:val="0084127C"/>
    <w:rsid w:val="00842B7E"/>
    <w:rsid w:val="00846957"/>
    <w:rsid w:val="00846ECA"/>
    <w:rsid w:val="008476BB"/>
    <w:rsid w:val="00853162"/>
    <w:rsid w:val="00853D9F"/>
    <w:rsid w:val="0085444C"/>
    <w:rsid w:val="00854ACF"/>
    <w:rsid w:val="00855353"/>
    <w:rsid w:val="00861E3A"/>
    <w:rsid w:val="00863F60"/>
    <w:rsid w:val="00865D78"/>
    <w:rsid w:val="00866218"/>
    <w:rsid w:val="008673AB"/>
    <w:rsid w:val="00867C7D"/>
    <w:rsid w:val="00870145"/>
    <w:rsid w:val="00872D51"/>
    <w:rsid w:val="008741C9"/>
    <w:rsid w:val="00876F5B"/>
    <w:rsid w:val="00877FA3"/>
    <w:rsid w:val="00880AC4"/>
    <w:rsid w:val="0088126D"/>
    <w:rsid w:val="008843C5"/>
    <w:rsid w:val="008846F7"/>
    <w:rsid w:val="00885CA4"/>
    <w:rsid w:val="00890A91"/>
    <w:rsid w:val="0089156E"/>
    <w:rsid w:val="00892328"/>
    <w:rsid w:val="00893D32"/>
    <w:rsid w:val="00897B8A"/>
    <w:rsid w:val="008A0265"/>
    <w:rsid w:val="008A0AB9"/>
    <w:rsid w:val="008A2DEC"/>
    <w:rsid w:val="008A2EC5"/>
    <w:rsid w:val="008A427F"/>
    <w:rsid w:val="008A4371"/>
    <w:rsid w:val="008A446F"/>
    <w:rsid w:val="008A636F"/>
    <w:rsid w:val="008A6F53"/>
    <w:rsid w:val="008A795F"/>
    <w:rsid w:val="008B1757"/>
    <w:rsid w:val="008B3A40"/>
    <w:rsid w:val="008B6494"/>
    <w:rsid w:val="008B6D7C"/>
    <w:rsid w:val="008B73FB"/>
    <w:rsid w:val="008B7CB6"/>
    <w:rsid w:val="008C04FA"/>
    <w:rsid w:val="008C1434"/>
    <w:rsid w:val="008C18D1"/>
    <w:rsid w:val="008C289D"/>
    <w:rsid w:val="008C368E"/>
    <w:rsid w:val="008C70FB"/>
    <w:rsid w:val="008D12B7"/>
    <w:rsid w:val="008D272A"/>
    <w:rsid w:val="008D5DA2"/>
    <w:rsid w:val="008E2D9E"/>
    <w:rsid w:val="008E416E"/>
    <w:rsid w:val="008E624D"/>
    <w:rsid w:val="008F0226"/>
    <w:rsid w:val="008F0710"/>
    <w:rsid w:val="008F0D07"/>
    <w:rsid w:val="008F147E"/>
    <w:rsid w:val="008F22FB"/>
    <w:rsid w:val="008F23C0"/>
    <w:rsid w:val="008F27E2"/>
    <w:rsid w:val="008F2C33"/>
    <w:rsid w:val="008F3C36"/>
    <w:rsid w:val="008F478A"/>
    <w:rsid w:val="008F4849"/>
    <w:rsid w:val="008F5881"/>
    <w:rsid w:val="008F76DE"/>
    <w:rsid w:val="00901500"/>
    <w:rsid w:val="00903042"/>
    <w:rsid w:val="0090304E"/>
    <w:rsid w:val="00903CE8"/>
    <w:rsid w:val="00904A12"/>
    <w:rsid w:val="00904D50"/>
    <w:rsid w:val="009050D4"/>
    <w:rsid w:val="0090602A"/>
    <w:rsid w:val="009069F7"/>
    <w:rsid w:val="00907D0D"/>
    <w:rsid w:val="00911C7C"/>
    <w:rsid w:val="00925F6D"/>
    <w:rsid w:val="00931268"/>
    <w:rsid w:val="009346B9"/>
    <w:rsid w:val="00937170"/>
    <w:rsid w:val="00937984"/>
    <w:rsid w:val="00941250"/>
    <w:rsid w:val="00942E8E"/>
    <w:rsid w:val="00943498"/>
    <w:rsid w:val="0094404B"/>
    <w:rsid w:val="0094484C"/>
    <w:rsid w:val="00946D11"/>
    <w:rsid w:val="00947A73"/>
    <w:rsid w:val="00951678"/>
    <w:rsid w:val="00955034"/>
    <w:rsid w:val="00955D4D"/>
    <w:rsid w:val="00956939"/>
    <w:rsid w:val="009570D0"/>
    <w:rsid w:val="00960488"/>
    <w:rsid w:val="009609BE"/>
    <w:rsid w:val="009614EC"/>
    <w:rsid w:val="009618BB"/>
    <w:rsid w:val="00961F5F"/>
    <w:rsid w:val="00962079"/>
    <w:rsid w:val="00963CDA"/>
    <w:rsid w:val="0096705E"/>
    <w:rsid w:val="0096798A"/>
    <w:rsid w:val="00972507"/>
    <w:rsid w:val="0097731C"/>
    <w:rsid w:val="009810AF"/>
    <w:rsid w:val="00986564"/>
    <w:rsid w:val="00993A08"/>
    <w:rsid w:val="00993F36"/>
    <w:rsid w:val="00997E68"/>
    <w:rsid w:val="009A1B85"/>
    <w:rsid w:val="009A2085"/>
    <w:rsid w:val="009A24AB"/>
    <w:rsid w:val="009A2D92"/>
    <w:rsid w:val="009A44A0"/>
    <w:rsid w:val="009A570D"/>
    <w:rsid w:val="009A5ABE"/>
    <w:rsid w:val="009A743C"/>
    <w:rsid w:val="009B2E88"/>
    <w:rsid w:val="009C1F51"/>
    <w:rsid w:val="009C3C43"/>
    <w:rsid w:val="009C4E47"/>
    <w:rsid w:val="009C6464"/>
    <w:rsid w:val="009D052F"/>
    <w:rsid w:val="009D2D87"/>
    <w:rsid w:val="009D76C2"/>
    <w:rsid w:val="009E2C33"/>
    <w:rsid w:val="009E50B3"/>
    <w:rsid w:val="009E5413"/>
    <w:rsid w:val="009E636F"/>
    <w:rsid w:val="009E65B9"/>
    <w:rsid w:val="009E6C77"/>
    <w:rsid w:val="009E6E97"/>
    <w:rsid w:val="009E7D21"/>
    <w:rsid w:val="009F4871"/>
    <w:rsid w:val="009F53EC"/>
    <w:rsid w:val="009F544A"/>
    <w:rsid w:val="009F5D6A"/>
    <w:rsid w:val="009F62DD"/>
    <w:rsid w:val="009F7EB4"/>
    <w:rsid w:val="00A02A84"/>
    <w:rsid w:val="00A02B59"/>
    <w:rsid w:val="00A061F7"/>
    <w:rsid w:val="00A073AA"/>
    <w:rsid w:val="00A13241"/>
    <w:rsid w:val="00A14C1B"/>
    <w:rsid w:val="00A17E35"/>
    <w:rsid w:val="00A23DD4"/>
    <w:rsid w:val="00A32B20"/>
    <w:rsid w:val="00A33DD8"/>
    <w:rsid w:val="00A34CA6"/>
    <w:rsid w:val="00A40B9D"/>
    <w:rsid w:val="00A445F0"/>
    <w:rsid w:val="00A446FB"/>
    <w:rsid w:val="00A4500F"/>
    <w:rsid w:val="00A4795C"/>
    <w:rsid w:val="00A47BA5"/>
    <w:rsid w:val="00A50A09"/>
    <w:rsid w:val="00A520DE"/>
    <w:rsid w:val="00A539CB"/>
    <w:rsid w:val="00A53EEE"/>
    <w:rsid w:val="00A561A6"/>
    <w:rsid w:val="00A56340"/>
    <w:rsid w:val="00A629C1"/>
    <w:rsid w:val="00A67D77"/>
    <w:rsid w:val="00A701DC"/>
    <w:rsid w:val="00A738A2"/>
    <w:rsid w:val="00A75E88"/>
    <w:rsid w:val="00A75F70"/>
    <w:rsid w:val="00A77B45"/>
    <w:rsid w:val="00A804FB"/>
    <w:rsid w:val="00A81136"/>
    <w:rsid w:val="00A82729"/>
    <w:rsid w:val="00A83011"/>
    <w:rsid w:val="00A913B8"/>
    <w:rsid w:val="00A937DD"/>
    <w:rsid w:val="00A94986"/>
    <w:rsid w:val="00A94EEB"/>
    <w:rsid w:val="00A9599F"/>
    <w:rsid w:val="00AA223A"/>
    <w:rsid w:val="00AA45DF"/>
    <w:rsid w:val="00AB2D2E"/>
    <w:rsid w:val="00AB4E0C"/>
    <w:rsid w:val="00AB782E"/>
    <w:rsid w:val="00AC053A"/>
    <w:rsid w:val="00AC1C35"/>
    <w:rsid w:val="00AC3EE5"/>
    <w:rsid w:val="00AC3F8F"/>
    <w:rsid w:val="00AD2845"/>
    <w:rsid w:val="00AD56F3"/>
    <w:rsid w:val="00AD681B"/>
    <w:rsid w:val="00AD6B69"/>
    <w:rsid w:val="00AE0F22"/>
    <w:rsid w:val="00AE3F82"/>
    <w:rsid w:val="00AE49FD"/>
    <w:rsid w:val="00AE5F17"/>
    <w:rsid w:val="00AE6859"/>
    <w:rsid w:val="00AE7A83"/>
    <w:rsid w:val="00AF0A66"/>
    <w:rsid w:val="00AF0D4E"/>
    <w:rsid w:val="00AF1366"/>
    <w:rsid w:val="00AF1DFA"/>
    <w:rsid w:val="00AF368D"/>
    <w:rsid w:val="00AF41E4"/>
    <w:rsid w:val="00AF7CED"/>
    <w:rsid w:val="00B04E5C"/>
    <w:rsid w:val="00B06345"/>
    <w:rsid w:val="00B067CC"/>
    <w:rsid w:val="00B108F0"/>
    <w:rsid w:val="00B12528"/>
    <w:rsid w:val="00B13025"/>
    <w:rsid w:val="00B15EDE"/>
    <w:rsid w:val="00B165ED"/>
    <w:rsid w:val="00B20511"/>
    <w:rsid w:val="00B206EA"/>
    <w:rsid w:val="00B20DCF"/>
    <w:rsid w:val="00B210F6"/>
    <w:rsid w:val="00B224D4"/>
    <w:rsid w:val="00B225C2"/>
    <w:rsid w:val="00B23340"/>
    <w:rsid w:val="00B2358E"/>
    <w:rsid w:val="00B3071A"/>
    <w:rsid w:val="00B33376"/>
    <w:rsid w:val="00B3419B"/>
    <w:rsid w:val="00B342E9"/>
    <w:rsid w:val="00B35A5E"/>
    <w:rsid w:val="00B372F4"/>
    <w:rsid w:val="00B44935"/>
    <w:rsid w:val="00B45673"/>
    <w:rsid w:val="00B47F85"/>
    <w:rsid w:val="00B50575"/>
    <w:rsid w:val="00B5103A"/>
    <w:rsid w:val="00B53205"/>
    <w:rsid w:val="00B56049"/>
    <w:rsid w:val="00B56A72"/>
    <w:rsid w:val="00B575AA"/>
    <w:rsid w:val="00B57C4F"/>
    <w:rsid w:val="00B61650"/>
    <w:rsid w:val="00B6604B"/>
    <w:rsid w:val="00B67317"/>
    <w:rsid w:val="00B713CF"/>
    <w:rsid w:val="00B747C5"/>
    <w:rsid w:val="00B747EA"/>
    <w:rsid w:val="00B801E0"/>
    <w:rsid w:val="00B80A0D"/>
    <w:rsid w:val="00B84EC1"/>
    <w:rsid w:val="00B86517"/>
    <w:rsid w:val="00B866F0"/>
    <w:rsid w:val="00B876C2"/>
    <w:rsid w:val="00B87955"/>
    <w:rsid w:val="00B92EE6"/>
    <w:rsid w:val="00B93B8D"/>
    <w:rsid w:val="00B93BA6"/>
    <w:rsid w:val="00B94007"/>
    <w:rsid w:val="00B95562"/>
    <w:rsid w:val="00B96D5D"/>
    <w:rsid w:val="00B976A4"/>
    <w:rsid w:val="00BA1219"/>
    <w:rsid w:val="00BA12E5"/>
    <w:rsid w:val="00BA1620"/>
    <w:rsid w:val="00BA1F09"/>
    <w:rsid w:val="00BA3216"/>
    <w:rsid w:val="00BA6B71"/>
    <w:rsid w:val="00BB08DE"/>
    <w:rsid w:val="00BB187A"/>
    <w:rsid w:val="00BB5846"/>
    <w:rsid w:val="00BB731E"/>
    <w:rsid w:val="00BC061F"/>
    <w:rsid w:val="00BC1162"/>
    <w:rsid w:val="00BC1C97"/>
    <w:rsid w:val="00BC6E3E"/>
    <w:rsid w:val="00BD06AE"/>
    <w:rsid w:val="00BD1F97"/>
    <w:rsid w:val="00BD2350"/>
    <w:rsid w:val="00BD72AF"/>
    <w:rsid w:val="00BE25AB"/>
    <w:rsid w:val="00BE2A37"/>
    <w:rsid w:val="00BE46C6"/>
    <w:rsid w:val="00BE50EB"/>
    <w:rsid w:val="00BE54C8"/>
    <w:rsid w:val="00BE6B5A"/>
    <w:rsid w:val="00BF012E"/>
    <w:rsid w:val="00BF03FC"/>
    <w:rsid w:val="00BF1067"/>
    <w:rsid w:val="00BF3275"/>
    <w:rsid w:val="00BF4F34"/>
    <w:rsid w:val="00BF6D1C"/>
    <w:rsid w:val="00C00D16"/>
    <w:rsid w:val="00C0254A"/>
    <w:rsid w:val="00C054F2"/>
    <w:rsid w:val="00C05DB4"/>
    <w:rsid w:val="00C06A43"/>
    <w:rsid w:val="00C0792E"/>
    <w:rsid w:val="00C12892"/>
    <w:rsid w:val="00C130E5"/>
    <w:rsid w:val="00C26C85"/>
    <w:rsid w:val="00C27C1C"/>
    <w:rsid w:val="00C346E6"/>
    <w:rsid w:val="00C34709"/>
    <w:rsid w:val="00C34A1F"/>
    <w:rsid w:val="00C365EC"/>
    <w:rsid w:val="00C4005B"/>
    <w:rsid w:val="00C46E13"/>
    <w:rsid w:val="00C4758C"/>
    <w:rsid w:val="00C510AC"/>
    <w:rsid w:val="00C515F1"/>
    <w:rsid w:val="00C516E0"/>
    <w:rsid w:val="00C54C13"/>
    <w:rsid w:val="00C56DA7"/>
    <w:rsid w:val="00C57B7B"/>
    <w:rsid w:val="00C6035E"/>
    <w:rsid w:val="00C60B5B"/>
    <w:rsid w:val="00C6148D"/>
    <w:rsid w:val="00C6464B"/>
    <w:rsid w:val="00C65185"/>
    <w:rsid w:val="00C655E9"/>
    <w:rsid w:val="00C65B8D"/>
    <w:rsid w:val="00C65F6A"/>
    <w:rsid w:val="00C67983"/>
    <w:rsid w:val="00C67B1C"/>
    <w:rsid w:val="00C72FFF"/>
    <w:rsid w:val="00C73F9D"/>
    <w:rsid w:val="00C74DF8"/>
    <w:rsid w:val="00C77AE8"/>
    <w:rsid w:val="00C8088C"/>
    <w:rsid w:val="00C82C8C"/>
    <w:rsid w:val="00C82E01"/>
    <w:rsid w:val="00C94283"/>
    <w:rsid w:val="00C9514D"/>
    <w:rsid w:val="00C96AB6"/>
    <w:rsid w:val="00CA2C95"/>
    <w:rsid w:val="00CA30A1"/>
    <w:rsid w:val="00CA384A"/>
    <w:rsid w:val="00CA3D9D"/>
    <w:rsid w:val="00CA5A6E"/>
    <w:rsid w:val="00CA6EA2"/>
    <w:rsid w:val="00CB0481"/>
    <w:rsid w:val="00CB0613"/>
    <w:rsid w:val="00CB2D25"/>
    <w:rsid w:val="00CB2F47"/>
    <w:rsid w:val="00CB3FFF"/>
    <w:rsid w:val="00CB6AFD"/>
    <w:rsid w:val="00CB6FF4"/>
    <w:rsid w:val="00CC035A"/>
    <w:rsid w:val="00CC283A"/>
    <w:rsid w:val="00CC4D8F"/>
    <w:rsid w:val="00CC7127"/>
    <w:rsid w:val="00CC79A2"/>
    <w:rsid w:val="00CD1CE1"/>
    <w:rsid w:val="00CD1DC8"/>
    <w:rsid w:val="00CD2524"/>
    <w:rsid w:val="00CD63EC"/>
    <w:rsid w:val="00CD7466"/>
    <w:rsid w:val="00CE401F"/>
    <w:rsid w:val="00CE7428"/>
    <w:rsid w:val="00CF12E4"/>
    <w:rsid w:val="00CF2085"/>
    <w:rsid w:val="00CF4F1F"/>
    <w:rsid w:val="00CF795E"/>
    <w:rsid w:val="00D015AA"/>
    <w:rsid w:val="00D01AC0"/>
    <w:rsid w:val="00D01F30"/>
    <w:rsid w:val="00D0255B"/>
    <w:rsid w:val="00D02EF1"/>
    <w:rsid w:val="00D0401A"/>
    <w:rsid w:val="00D06531"/>
    <w:rsid w:val="00D108AB"/>
    <w:rsid w:val="00D1182E"/>
    <w:rsid w:val="00D13146"/>
    <w:rsid w:val="00D17835"/>
    <w:rsid w:val="00D228EE"/>
    <w:rsid w:val="00D24CE3"/>
    <w:rsid w:val="00D251F4"/>
    <w:rsid w:val="00D25701"/>
    <w:rsid w:val="00D32BA5"/>
    <w:rsid w:val="00D33F20"/>
    <w:rsid w:val="00D34FF8"/>
    <w:rsid w:val="00D362DD"/>
    <w:rsid w:val="00D36BFD"/>
    <w:rsid w:val="00D37F26"/>
    <w:rsid w:val="00D41165"/>
    <w:rsid w:val="00D42E46"/>
    <w:rsid w:val="00D44480"/>
    <w:rsid w:val="00D4632A"/>
    <w:rsid w:val="00D46581"/>
    <w:rsid w:val="00D51042"/>
    <w:rsid w:val="00D53216"/>
    <w:rsid w:val="00D5367E"/>
    <w:rsid w:val="00D545F9"/>
    <w:rsid w:val="00D54DB1"/>
    <w:rsid w:val="00D5536B"/>
    <w:rsid w:val="00D5693D"/>
    <w:rsid w:val="00D5741E"/>
    <w:rsid w:val="00D57685"/>
    <w:rsid w:val="00D57C72"/>
    <w:rsid w:val="00D63125"/>
    <w:rsid w:val="00D673A5"/>
    <w:rsid w:val="00D72AE4"/>
    <w:rsid w:val="00D742C3"/>
    <w:rsid w:val="00D81C08"/>
    <w:rsid w:val="00D82FE9"/>
    <w:rsid w:val="00D83619"/>
    <w:rsid w:val="00D83F46"/>
    <w:rsid w:val="00D84DF8"/>
    <w:rsid w:val="00D85119"/>
    <w:rsid w:val="00D86745"/>
    <w:rsid w:val="00D86DB9"/>
    <w:rsid w:val="00D86E98"/>
    <w:rsid w:val="00D872F6"/>
    <w:rsid w:val="00D8751B"/>
    <w:rsid w:val="00D97340"/>
    <w:rsid w:val="00DA2927"/>
    <w:rsid w:val="00DA33DB"/>
    <w:rsid w:val="00DA3AB6"/>
    <w:rsid w:val="00DA3E26"/>
    <w:rsid w:val="00DA6A5F"/>
    <w:rsid w:val="00DA7374"/>
    <w:rsid w:val="00DB3762"/>
    <w:rsid w:val="00DB4755"/>
    <w:rsid w:val="00DB6AB8"/>
    <w:rsid w:val="00DC0C8D"/>
    <w:rsid w:val="00DC19EC"/>
    <w:rsid w:val="00DC2D6C"/>
    <w:rsid w:val="00DC3026"/>
    <w:rsid w:val="00DC43DB"/>
    <w:rsid w:val="00DC448F"/>
    <w:rsid w:val="00DC5BE6"/>
    <w:rsid w:val="00DC6704"/>
    <w:rsid w:val="00DD34B1"/>
    <w:rsid w:val="00DD3F2C"/>
    <w:rsid w:val="00DD524E"/>
    <w:rsid w:val="00DD710D"/>
    <w:rsid w:val="00DD7E39"/>
    <w:rsid w:val="00DE0961"/>
    <w:rsid w:val="00DE18CF"/>
    <w:rsid w:val="00DE202F"/>
    <w:rsid w:val="00DE20AF"/>
    <w:rsid w:val="00DE31A5"/>
    <w:rsid w:val="00DE4279"/>
    <w:rsid w:val="00DE62CC"/>
    <w:rsid w:val="00DF32BE"/>
    <w:rsid w:val="00DF333D"/>
    <w:rsid w:val="00DF4A33"/>
    <w:rsid w:val="00DF4D17"/>
    <w:rsid w:val="00DF7375"/>
    <w:rsid w:val="00DF7429"/>
    <w:rsid w:val="00E02FB6"/>
    <w:rsid w:val="00E0363A"/>
    <w:rsid w:val="00E060C3"/>
    <w:rsid w:val="00E07A9A"/>
    <w:rsid w:val="00E07D8C"/>
    <w:rsid w:val="00E112E4"/>
    <w:rsid w:val="00E16944"/>
    <w:rsid w:val="00E22F8C"/>
    <w:rsid w:val="00E2537C"/>
    <w:rsid w:val="00E30D28"/>
    <w:rsid w:val="00E31115"/>
    <w:rsid w:val="00E314C1"/>
    <w:rsid w:val="00E32D4B"/>
    <w:rsid w:val="00E35317"/>
    <w:rsid w:val="00E42F82"/>
    <w:rsid w:val="00E44254"/>
    <w:rsid w:val="00E447C4"/>
    <w:rsid w:val="00E44EAE"/>
    <w:rsid w:val="00E466CB"/>
    <w:rsid w:val="00E52508"/>
    <w:rsid w:val="00E55BBE"/>
    <w:rsid w:val="00E5757D"/>
    <w:rsid w:val="00E60DA7"/>
    <w:rsid w:val="00E61435"/>
    <w:rsid w:val="00E61916"/>
    <w:rsid w:val="00E631DC"/>
    <w:rsid w:val="00E63B06"/>
    <w:rsid w:val="00E63C5F"/>
    <w:rsid w:val="00E63D86"/>
    <w:rsid w:val="00E64DB6"/>
    <w:rsid w:val="00E6738A"/>
    <w:rsid w:val="00E67569"/>
    <w:rsid w:val="00E71A8D"/>
    <w:rsid w:val="00E71B44"/>
    <w:rsid w:val="00E75092"/>
    <w:rsid w:val="00E7615C"/>
    <w:rsid w:val="00E76C51"/>
    <w:rsid w:val="00E77CC6"/>
    <w:rsid w:val="00E8000B"/>
    <w:rsid w:val="00E86BF7"/>
    <w:rsid w:val="00E86C4A"/>
    <w:rsid w:val="00E91627"/>
    <w:rsid w:val="00E91DF7"/>
    <w:rsid w:val="00E926BF"/>
    <w:rsid w:val="00E939C8"/>
    <w:rsid w:val="00E951CA"/>
    <w:rsid w:val="00EA03F6"/>
    <w:rsid w:val="00EA0884"/>
    <w:rsid w:val="00EA18FF"/>
    <w:rsid w:val="00EA4875"/>
    <w:rsid w:val="00EB1AF7"/>
    <w:rsid w:val="00EB2D41"/>
    <w:rsid w:val="00EB3234"/>
    <w:rsid w:val="00EB71F0"/>
    <w:rsid w:val="00EB7A0A"/>
    <w:rsid w:val="00EC6712"/>
    <w:rsid w:val="00EC7186"/>
    <w:rsid w:val="00EC7378"/>
    <w:rsid w:val="00EC7A89"/>
    <w:rsid w:val="00ED0466"/>
    <w:rsid w:val="00ED5E19"/>
    <w:rsid w:val="00EE019D"/>
    <w:rsid w:val="00EF206B"/>
    <w:rsid w:val="00EF5C5F"/>
    <w:rsid w:val="00EF6129"/>
    <w:rsid w:val="00F00509"/>
    <w:rsid w:val="00F00EE7"/>
    <w:rsid w:val="00F03903"/>
    <w:rsid w:val="00F1076C"/>
    <w:rsid w:val="00F12672"/>
    <w:rsid w:val="00F16BD8"/>
    <w:rsid w:val="00F171EF"/>
    <w:rsid w:val="00F238E2"/>
    <w:rsid w:val="00F30CA3"/>
    <w:rsid w:val="00F31AD4"/>
    <w:rsid w:val="00F3232D"/>
    <w:rsid w:val="00F329E3"/>
    <w:rsid w:val="00F33B58"/>
    <w:rsid w:val="00F34877"/>
    <w:rsid w:val="00F35163"/>
    <w:rsid w:val="00F3674B"/>
    <w:rsid w:val="00F40B26"/>
    <w:rsid w:val="00F41099"/>
    <w:rsid w:val="00F44430"/>
    <w:rsid w:val="00F451AE"/>
    <w:rsid w:val="00F47947"/>
    <w:rsid w:val="00F5224D"/>
    <w:rsid w:val="00F52873"/>
    <w:rsid w:val="00F53155"/>
    <w:rsid w:val="00F547AC"/>
    <w:rsid w:val="00F54F06"/>
    <w:rsid w:val="00F553EB"/>
    <w:rsid w:val="00F57728"/>
    <w:rsid w:val="00F66CE4"/>
    <w:rsid w:val="00F75422"/>
    <w:rsid w:val="00F75843"/>
    <w:rsid w:val="00F7592D"/>
    <w:rsid w:val="00F805FC"/>
    <w:rsid w:val="00F82ED2"/>
    <w:rsid w:val="00F85B0D"/>
    <w:rsid w:val="00F8787A"/>
    <w:rsid w:val="00F87C74"/>
    <w:rsid w:val="00F91BED"/>
    <w:rsid w:val="00F928A5"/>
    <w:rsid w:val="00F9354E"/>
    <w:rsid w:val="00F95243"/>
    <w:rsid w:val="00FA0E50"/>
    <w:rsid w:val="00FA15FC"/>
    <w:rsid w:val="00FA3F60"/>
    <w:rsid w:val="00FA4213"/>
    <w:rsid w:val="00FA68C6"/>
    <w:rsid w:val="00FA710E"/>
    <w:rsid w:val="00FB1F06"/>
    <w:rsid w:val="00FB3B45"/>
    <w:rsid w:val="00FB40A6"/>
    <w:rsid w:val="00FB454B"/>
    <w:rsid w:val="00FB5988"/>
    <w:rsid w:val="00FB5E5D"/>
    <w:rsid w:val="00FD0359"/>
    <w:rsid w:val="00FD581A"/>
    <w:rsid w:val="00FD5929"/>
    <w:rsid w:val="00FD6520"/>
    <w:rsid w:val="00FD6F31"/>
    <w:rsid w:val="00FD76C1"/>
    <w:rsid w:val="00FE283A"/>
    <w:rsid w:val="00FE297D"/>
    <w:rsid w:val="00FE3766"/>
    <w:rsid w:val="00FE42A3"/>
    <w:rsid w:val="00FE4E7A"/>
    <w:rsid w:val="00FE585F"/>
    <w:rsid w:val="00FE6AC9"/>
    <w:rsid w:val="00FF33D3"/>
    <w:rsid w:val="00FF57C8"/>
    <w:rsid w:val="00FF61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Body Text Inde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lsdException w:name="FollowedHyperlink" w:locked="1"/>
    <w:lsdException w:name="Strong" w:locked="1" w:semiHidden="0" w:unhideWhenUsed="0" w:qFormat="1"/>
    <w:lsdException w:name="Emphasis" w:locked="1" w:semiHidden="0" w:unhideWhenUsed="0" w:qFormat="1"/>
    <w:lsdException w:name="No List" w:locked="1"/>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6798A"/>
    <w:rPr>
      <w:sz w:val="24"/>
      <w:szCs w:val="24"/>
      <w:lang w:eastAsia="cs-CZ"/>
    </w:rPr>
  </w:style>
  <w:style w:type="paragraph" w:styleId="Nadpis1">
    <w:name w:val="heading 1"/>
    <w:basedOn w:val="Normlny"/>
    <w:next w:val="Normlny"/>
    <w:link w:val="Nadpis1Char"/>
    <w:qFormat/>
    <w:rsid w:val="0096798A"/>
    <w:pPr>
      <w:keepNext/>
      <w:outlineLvl w:val="0"/>
    </w:pPr>
    <w:rPr>
      <w:rFonts w:ascii="Arial Narrow" w:hAnsi="Arial Narrow"/>
      <w:b/>
      <w:bCs/>
      <w:i/>
      <w:sz w:val="28"/>
      <w:szCs w:val="28"/>
    </w:rPr>
  </w:style>
  <w:style w:type="paragraph" w:styleId="Nadpis2">
    <w:name w:val="heading 2"/>
    <w:basedOn w:val="Normlny"/>
    <w:next w:val="Normlny"/>
    <w:link w:val="Nadpis2Char"/>
    <w:qFormat/>
    <w:rsid w:val="0096798A"/>
    <w:pPr>
      <w:keepNext/>
      <w:outlineLvl w:val="1"/>
    </w:pPr>
    <w:rPr>
      <w:rFonts w:ascii="Arial Narrow" w:hAnsi="Arial Narrow"/>
      <w:i/>
      <w:iCs/>
    </w:rPr>
  </w:style>
  <w:style w:type="paragraph" w:styleId="Nadpis3">
    <w:name w:val="heading 3"/>
    <w:basedOn w:val="Normlny"/>
    <w:next w:val="Normlny"/>
    <w:link w:val="Nadpis3Char"/>
    <w:qFormat/>
    <w:rsid w:val="0096798A"/>
    <w:pPr>
      <w:keepNext/>
      <w:jc w:val="both"/>
      <w:outlineLvl w:val="2"/>
    </w:pPr>
    <w:rPr>
      <w:b/>
      <w:bCs/>
    </w:rPr>
  </w:style>
  <w:style w:type="paragraph" w:styleId="Nadpis4">
    <w:name w:val="heading 4"/>
    <w:basedOn w:val="Normlny"/>
    <w:next w:val="Normlny"/>
    <w:link w:val="Nadpis4Char"/>
    <w:qFormat/>
    <w:rsid w:val="0096798A"/>
    <w:pPr>
      <w:keepNext/>
      <w:jc w:val="both"/>
      <w:outlineLvl w:val="3"/>
    </w:pPr>
    <w:rPr>
      <w:rFonts w:ascii="Arial Narrow" w:hAnsi="Arial Narrow"/>
    </w:rPr>
  </w:style>
  <w:style w:type="paragraph" w:styleId="Nadpis5">
    <w:name w:val="heading 5"/>
    <w:basedOn w:val="Normlny"/>
    <w:next w:val="Normlny"/>
    <w:link w:val="Nadpis5Char"/>
    <w:qFormat/>
    <w:rsid w:val="0096798A"/>
    <w:pPr>
      <w:keepNext/>
      <w:outlineLvl w:val="4"/>
    </w:pPr>
    <w:rPr>
      <w:rFonts w:ascii="Arial Narrow" w:hAnsi="Arial Narrow"/>
    </w:rPr>
  </w:style>
  <w:style w:type="paragraph" w:styleId="Nadpis6">
    <w:name w:val="heading 6"/>
    <w:basedOn w:val="Normlny"/>
    <w:next w:val="Normlny"/>
    <w:link w:val="Nadpis6Char"/>
    <w:qFormat/>
    <w:rsid w:val="0096798A"/>
    <w:pPr>
      <w:keepNext/>
      <w:jc w:val="center"/>
      <w:outlineLvl w:val="5"/>
    </w:pPr>
    <w:rPr>
      <w:rFonts w:ascii="Arial Narrow" w:hAnsi="Arial Narrow"/>
      <w:b/>
      <w:bCs/>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rPr>
  </w:style>
  <w:style w:type="paragraph" w:styleId="Nzov">
    <w:name w:val="Title"/>
    <w:basedOn w:val="Normlny"/>
    <w:link w:val="NzovChar"/>
    <w:qFormat/>
    <w:rsid w:val="0096798A"/>
    <w:pPr>
      <w:tabs>
        <w:tab w:val="left" w:pos="1560"/>
        <w:tab w:val="center" w:pos="4536"/>
      </w:tabs>
      <w:jc w:val="center"/>
    </w:pPr>
    <w:rPr>
      <w:rFonts w:ascii="Arial Narrow" w:hAnsi="Arial Narrow"/>
      <w:iCs/>
      <w:sz w:val="28"/>
      <w:szCs w:val="28"/>
    </w:rPr>
  </w:style>
  <w:style w:type="paragraph" w:styleId="Zkladntext">
    <w:name w:val="Body Text"/>
    <w:basedOn w:val="Normlny"/>
    <w:link w:val="ZkladntextChar"/>
    <w:rsid w:val="00E63D86"/>
    <w:pPr>
      <w:spacing w:before="144" w:after="144"/>
      <w:ind w:firstLine="709"/>
      <w:jc w:val="both"/>
    </w:pPr>
    <w:rPr>
      <w:rFonts w:ascii="Arial Narrow" w:hAnsi="Arial Narrow"/>
      <w:iCs/>
      <w:sz w:val="28"/>
      <w:szCs w:val="28"/>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rPr>
      <w:lang w:val="cs-CZ"/>
    </w:r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rPr>
  </w:style>
  <w:style w:type="paragraph" w:styleId="Zkladntext2">
    <w:name w:val="Body Text 2"/>
    <w:basedOn w:val="Normlny"/>
    <w:link w:val="Zkladntext2Char"/>
    <w:rsid w:val="0096798A"/>
    <w:rPr>
      <w:rFonts w:ascii="Arial Narrow" w:hAnsi="Arial Narrow"/>
    </w:rPr>
  </w:style>
  <w:style w:type="paragraph" w:styleId="Zarkazkladnhotextu2">
    <w:name w:val="Body Text Indent 2"/>
    <w:basedOn w:val="Normlny"/>
    <w:link w:val="Zarkazkladnhotextu2Char"/>
    <w:rsid w:val="0096798A"/>
    <w:pPr>
      <w:ind w:left="720"/>
    </w:pPr>
    <w:rPr>
      <w:rFonts w:ascii="Arial Narrow" w:hAnsi="Arial Narrow"/>
      <w:b/>
      <w:bCs/>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style>
  <w:style w:type="character" w:customStyle="1" w:styleId="HlavikaChar">
    <w:name w:val="Hlavička Char"/>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eastAsia="sk-SK"/>
    </w:rPr>
  </w:style>
  <w:style w:type="paragraph" w:customStyle="1" w:styleId="Tabulka">
    <w:name w:val="Tabulka"/>
    <w:basedOn w:val="Normlny"/>
    <w:rsid w:val="00E63D86"/>
    <w:rPr>
      <w:color w:val="000000"/>
      <w:sz w:val="18"/>
      <w:szCs w:val="20"/>
      <w:lang w:eastAsia="en-US"/>
    </w:rPr>
  </w:style>
  <w:style w:type="paragraph" w:customStyle="1" w:styleId="Pismenka">
    <w:name w:val="Pismenka"/>
    <w:basedOn w:val="Zkladntext"/>
    <w:rsid w:val="00E63D86"/>
    <w:pPr>
      <w:numPr>
        <w:numId w:val="1"/>
      </w:numPr>
      <w:tabs>
        <w:tab w:val="num" w:pos="426"/>
      </w:tabs>
      <w:spacing w:before="0" w:after="0"/>
      <w:ind w:left="426" w:hanging="426"/>
    </w:pPr>
    <w:rPr>
      <w:b/>
      <w:sz w:val="18"/>
      <w:lang w:eastAsia="en-US"/>
    </w:rPr>
  </w:style>
  <w:style w:type="paragraph" w:styleId="Textkomentra">
    <w:name w:val="annotation text"/>
    <w:basedOn w:val="Normlny"/>
    <w:link w:val="TextkomentraChar"/>
    <w:semiHidden/>
    <w:rsid w:val="00E63D86"/>
    <w:rPr>
      <w:sz w:val="20"/>
      <w:szCs w:val="20"/>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sz w:val="16"/>
      <w:szCs w:val="16"/>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eastAsia="en-US"/>
    </w:rPr>
  </w:style>
  <w:style w:type="paragraph" w:styleId="Obsah3">
    <w:name w:val="toc 3"/>
    <w:basedOn w:val="Normlny"/>
    <w:next w:val="Normlny"/>
    <w:autoRedefine/>
    <w:rsid w:val="00E63D86"/>
    <w:pPr>
      <w:ind w:left="200"/>
    </w:pPr>
    <w:rPr>
      <w:sz w:val="20"/>
      <w:lang w:eastAsia="en-US"/>
    </w:rPr>
  </w:style>
  <w:style w:type="paragraph" w:styleId="Obsah4">
    <w:name w:val="toc 4"/>
    <w:basedOn w:val="Normlny"/>
    <w:next w:val="Normlny"/>
    <w:autoRedefine/>
    <w:rsid w:val="00E63D86"/>
    <w:pPr>
      <w:ind w:left="400"/>
    </w:pPr>
    <w:rPr>
      <w:sz w:val="20"/>
      <w:lang w:eastAsia="en-US"/>
    </w:rPr>
  </w:style>
  <w:style w:type="paragraph" w:styleId="Obsah5">
    <w:name w:val="toc 5"/>
    <w:basedOn w:val="Normlny"/>
    <w:next w:val="Normlny"/>
    <w:autoRedefine/>
    <w:rsid w:val="00E63D86"/>
    <w:pPr>
      <w:ind w:left="600"/>
    </w:pPr>
    <w:rPr>
      <w:sz w:val="20"/>
      <w:lang w:eastAsia="en-US"/>
    </w:rPr>
  </w:style>
  <w:style w:type="paragraph" w:styleId="Obsah6">
    <w:name w:val="toc 6"/>
    <w:basedOn w:val="Normlny"/>
    <w:next w:val="Normlny"/>
    <w:autoRedefine/>
    <w:rsid w:val="00E63D86"/>
    <w:pPr>
      <w:ind w:left="800"/>
    </w:pPr>
    <w:rPr>
      <w:sz w:val="20"/>
      <w:lang w:eastAsia="en-US"/>
    </w:rPr>
  </w:style>
  <w:style w:type="paragraph" w:styleId="Obsah7">
    <w:name w:val="toc 7"/>
    <w:basedOn w:val="Normlny"/>
    <w:next w:val="Normlny"/>
    <w:autoRedefine/>
    <w:rsid w:val="00E63D86"/>
    <w:pPr>
      <w:ind w:left="1000"/>
    </w:pPr>
    <w:rPr>
      <w:sz w:val="20"/>
      <w:lang w:eastAsia="en-US"/>
    </w:rPr>
  </w:style>
  <w:style w:type="paragraph" w:styleId="Obsah8">
    <w:name w:val="toc 8"/>
    <w:basedOn w:val="Normlny"/>
    <w:next w:val="Normlny"/>
    <w:autoRedefine/>
    <w:rsid w:val="00E63D86"/>
    <w:pPr>
      <w:ind w:left="1200"/>
    </w:pPr>
    <w:rPr>
      <w:sz w:val="20"/>
      <w:lang w:eastAsia="en-US"/>
    </w:rPr>
  </w:style>
  <w:style w:type="paragraph" w:styleId="Obsah9">
    <w:name w:val="toc 9"/>
    <w:basedOn w:val="Normlny"/>
    <w:next w:val="Normlny"/>
    <w:autoRedefine/>
    <w:rsid w:val="00E63D86"/>
    <w:pPr>
      <w:ind w:left="1400"/>
    </w:pPr>
    <w:rPr>
      <w:sz w:val="20"/>
      <w:lang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lang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8F4849"/>
    <w:rPr>
      <w:sz w:val="20"/>
      <w:szCs w:val="20"/>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 w:type="paragraph" w:customStyle="1" w:styleId="Vchodzie">
    <w:name w:val="Vchodzie"/>
    <w:rsid w:val="00872D51"/>
    <w:pPr>
      <w:widowControl w:val="0"/>
      <w:autoSpaceDE w:val="0"/>
      <w:autoSpaceDN w:val="0"/>
      <w:adjustRightInd w:val="0"/>
    </w:pPr>
    <w:rPr>
      <w:kern w:val="1"/>
      <w:sz w:val="24"/>
      <w:szCs w:val="24"/>
      <w:lang w:bidi="hi-IN"/>
    </w:rPr>
  </w:style>
  <w:style w:type="character" w:styleId="Odkaznakomentr">
    <w:name w:val="annotation reference"/>
    <w:rsid w:val="00026360"/>
    <w:rPr>
      <w:sz w:val="16"/>
      <w:szCs w:val="16"/>
    </w:rPr>
  </w:style>
  <w:style w:type="paragraph" w:styleId="Revzia">
    <w:name w:val="Revision"/>
    <w:hidden/>
    <w:uiPriority w:val="99"/>
    <w:semiHidden/>
    <w:rsid w:val="008C04FA"/>
    <w:rPr>
      <w:sz w:val="24"/>
      <w:szCs w:val="24"/>
      <w:lang w:eastAsia="cs-CZ"/>
    </w:rPr>
  </w:style>
  <w:style w:type="paragraph" w:customStyle="1" w:styleId="Default">
    <w:name w:val="Default"/>
    <w:rsid w:val="00E0363A"/>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Body Text Inde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lsdException w:name="FollowedHyperlink" w:locked="1"/>
    <w:lsdException w:name="Strong" w:locked="1" w:semiHidden="0" w:unhideWhenUsed="0" w:qFormat="1"/>
    <w:lsdException w:name="Emphasis" w:locked="1" w:semiHidden="0" w:unhideWhenUsed="0" w:qFormat="1"/>
    <w:lsdException w:name="No List" w:locked="1"/>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6798A"/>
    <w:rPr>
      <w:sz w:val="24"/>
      <w:szCs w:val="24"/>
      <w:lang w:eastAsia="cs-CZ"/>
    </w:rPr>
  </w:style>
  <w:style w:type="paragraph" w:styleId="Nadpis1">
    <w:name w:val="heading 1"/>
    <w:basedOn w:val="Normlny"/>
    <w:next w:val="Normlny"/>
    <w:link w:val="Nadpis1Char"/>
    <w:qFormat/>
    <w:rsid w:val="0096798A"/>
    <w:pPr>
      <w:keepNext/>
      <w:outlineLvl w:val="0"/>
    </w:pPr>
    <w:rPr>
      <w:rFonts w:ascii="Arial Narrow" w:hAnsi="Arial Narrow"/>
      <w:b/>
      <w:bCs/>
      <w:i/>
      <w:sz w:val="28"/>
      <w:szCs w:val="28"/>
    </w:rPr>
  </w:style>
  <w:style w:type="paragraph" w:styleId="Nadpis2">
    <w:name w:val="heading 2"/>
    <w:basedOn w:val="Normlny"/>
    <w:next w:val="Normlny"/>
    <w:link w:val="Nadpis2Char"/>
    <w:qFormat/>
    <w:rsid w:val="0096798A"/>
    <w:pPr>
      <w:keepNext/>
      <w:outlineLvl w:val="1"/>
    </w:pPr>
    <w:rPr>
      <w:rFonts w:ascii="Arial Narrow" w:hAnsi="Arial Narrow"/>
      <w:i/>
      <w:iCs/>
    </w:rPr>
  </w:style>
  <w:style w:type="paragraph" w:styleId="Nadpis3">
    <w:name w:val="heading 3"/>
    <w:basedOn w:val="Normlny"/>
    <w:next w:val="Normlny"/>
    <w:link w:val="Nadpis3Char"/>
    <w:qFormat/>
    <w:rsid w:val="0096798A"/>
    <w:pPr>
      <w:keepNext/>
      <w:jc w:val="both"/>
      <w:outlineLvl w:val="2"/>
    </w:pPr>
    <w:rPr>
      <w:b/>
      <w:bCs/>
    </w:rPr>
  </w:style>
  <w:style w:type="paragraph" w:styleId="Nadpis4">
    <w:name w:val="heading 4"/>
    <w:basedOn w:val="Normlny"/>
    <w:next w:val="Normlny"/>
    <w:link w:val="Nadpis4Char"/>
    <w:qFormat/>
    <w:rsid w:val="0096798A"/>
    <w:pPr>
      <w:keepNext/>
      <w:jc w:val="both"/>
      <w:outlineLvl w:val="3"/>
    </w:pPr>
    <w:rPr>
      <w:rFonts w:ascii="Arial Narrow" w:hAnsi="Arial Narrow"/>
    </w:rPr>
  </w:style>
  <w:style w:type="paragraph" w:styleId="Nadpis5">
    <w:name w:val="heading 5"/>
    <w:basedOn w:val="Normlny"/>
    <w:next w:val="Normlny"/>
    <w:link w:val="Nadpis5Char"/>
    <w:qFormat/>
    <w:rsid w:val="0096798A"/>
    <w:pPr>
      <w:keepNext/>
      <w:outlineLvl w:val="4"/>
    </w:pPr>
    <w:rPr>
      <w:rFonts w:ascii="Arial Narrow" w:hAnsi="Arial Narrow"/>
    </w:rPr>
  </w:style>
  <w:style w:type="paragraph" w:styleId="Nadpis6">
    <w:name w:val="heading 6"/>
    <w:basedOn w:val="Normlny"/>
    <w:next w:val="Normlny"/>
    <w:link w:val="Nadpis6Char"/>
    <w:qFormat/>
    <w:rsid w:val="0096798A"/>
    <w:pPr>
      <w:keepNext/>
      <w:jc w:val="center"/>
      <w:outlineLvl w:val="5"/>
    </w:pPr>
    <w:rPr>
      <w:rFonts w:ascii="Arial Narrow" w:hAnsi="Arial Narrow"/>
      <w:b/>
      <w:bCs/>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rPr>
  </w:style>
  <w:style w:type="paragraph" w:styleId="Nzov">
    <w:name w:val="Title"/>
    <w:basedOn w:val="Normlny"/>
    <w:link w:val="NzovChar"/>
    <w:qFormat/>
    <w:rsid w:val="0096798A"/>
    <w:pPr>
      <w:tabs>
        <w:tab w:val="left" w:pos="1560"/>
        <w:tab w:val="center" w:pos="4536"/>
      </w:tabs>
      <w:jc w:val="center"/>
    </w:pPr>
    <w:rPr>
      <w:rFonts w:ascii="Arial Narrow" w:hAnsi="Arial Narrow"/>
      <w:iCs/>
      <w:sz w:val="28"/>
      <w:szCs w:val="28"/>
    </w:rPr>
  </w:style>
  <w:style w:type="paragraph" w:styleId="Zkladntext">
    <w:name w:val="Body Text"/>
    <w:basedOn w:val="Normlny"/>
    <w:link w:val="ZkladntextChar"/>
    <w:rsid w:val="00E63D86"/>
    <w:pPr>
      <w:spacing w:before="144" w:after="144"/>
      <w:ind w:firstLine="709"/>
      <w:jc w:val="both"/>
    </w:pPr>
    <w:rPr>
      <w:rFonts w:ascii="Arial Narrow" w:hAnsi="Arial Narrow"/>
      <w:iCs/>
      <w:sz w:val="28"/>
      <w:szCs w:val="28"/>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rPr>
      <w:lang w:val="cs-CZ"/>
    </w:r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rPr>
  </w:style>
  <w:style w:type="paragraph" w:styleId="Zkladntext2">
    <w:name w:val="Body Text 2"/>
    <w:basedOn w:val="Normlny"/>
    <w:link w:val="Zkladntext2Char"/>
    <w:rsid w:val="0096798A"/>
    <w:rPr>
      <w:rFonts w:ascii="Arial Narrow" w:hAnsi="Arial Narrow"/>
    </w:rPr>
  </w:style>
  <w:style w:type="paragraph" w:styleId="Zarkazkladnhotextu2">
    <w:name w:val="Body Text Indent 2"/>
    <w:basedOn w:val="Normlny"/>
    <w:link w:val="Zarkazkladnhotextu2Char"/>
    <w:rsid w:val="0096798A"/>
    <w:pPr>
      <w:ind w:left="720"/>
    </w:pPr>
    <w:rPr>
      <w:rFonts w:ascii="Arial Narrow" w:hAnsi="Arial Narrow"/>
      <w:b/>
      <w:bCs/>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style>
  <w:style w:type="character" w:customStyle="1" w:styleId="HlavikaChar">
    <w:name w:val="Hlavička Char"/>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eastAsia="sk-SK"/>
    </w:rPr>
  </w:style>
  <w:style w:type="paragraph" w:customStyle="1" w:styleId="Tabulka">
    <w:name w:val="Tabulka"/>
    <w:basedOn w:val="Normlny"/>
    <w:rsid w:val="00E63D86"/>
    <w:rPr>
      <w:color w:val="000000"/>
      <w:sz w:val="18"/>
      <w:szCs w:val="20"/>
      <w:lang w:eastAsia="en-US"/>
    </w:rPr>
  </w:style>
  <w:style w:type="paragraph" w:customStyle="1" w:styleId="Pismenka">
    <w:name w:val="Pismenka"/>
    <w:basedOn w:val="Zkladntext"/>
    <w:rsid w:val="00E63D86"/>
    <w:pPr>
      <w:numPr>
        <w:numId w:val="1"/>
      </w:numPr>
      <w:tabs>
        <w:tab w:val="num" w:pos="426"/>
      </w:tabs>
      <w:spacing w:before="0" w:after="0"/>
      <w:ind w:left="426" w:hanging="426"/>
    </w:pPr>
    <w:rPr>
      <w:b/>
      <w:sz w:val="18"/>
      <w:lang w:eastAsia="en-US"/>
    </w:rPr>
  </w:style>
  <w:style w:type="paragraph" w:styleId="Textkomentra">
    <w:name w:val="annotation text"/>
    <w:basedOn w:val="Normlny"/>
    <w:link w:val="TextkomentraChar"/>
    <w:semiHidden/>
    <w:rsid w:val="00E63D86"/>
    <w:rPr>
      <w:sz w:val="20"/>
      <w:szCs w:val="20"/>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sz w:val="16"/>
      <w:szCs w:val="16"/>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eastAsia="en-US"/>
    </w:rPr>
  </w:style>
  <w:style w:type="paragraph" w:styleId="Obsah3">
    <w:name w:val="toc 3"/>
    <w:basedOn w:val="Normlny"/>
    <w:next w:val="Normlny"/>
    <w:autoRedefine/>
    <w:rsid w:val="00E63D86"/>
    <w:pPr>
      <w:ind w:left="200"/>
    </w:pPr>
    <w:rPr>
      <w:sz w:val="20"/>
      <w:lang w:eastAsia="en-US"/>
    </w:rPr>
  </w:style>
  <w:style w:type="paragraph" w:styleId="Obsah4">
    <w:name w:val="toc 4"/>
    <w:basedOn w:val="Normlny"/>
    <w:next w:val="Normlny"/>
    <w:autoRedefine/>
    <w:rsid w:val="00E63D86"/>
    <w:pPr>
      <w:ind w:left="400"/>
    </w:pPr>
    <w:rPr>
      <w:sz w:val="20"/>
      <w:lang w:eastAsia="en-US"/>
    </w:rPr>
  </w:style>
  <w:style w:type="paragraph" w:styleId="Obsah5">
    <w:name w:val="toc 5"/>
    <w:basedOn w:val="Normlny"/>
    <w:next w:val="Normlny"/>
    <w:autoRedefine/>
    <w:rsid w:val="00E63D86"/>
    <w:pPr>
      <w:ind w:left="600"/>
    </w:pPr>
    <w:rPr>
      <w:sz w:val="20"/>
      <w:lang w:eastAsia="en-US"/>
    </w:rPr>
  </w:style>
  <w:style w:type="paragraph" w:styleId="Obsah6">
    <w:name w:val="toc 6"/>
    <w:basedOn w:val="Normlny"/>
    <w:next w:val="Normlny"/>
    <w:autoRedefine/>
    <w:rsid w:val="00E63D86"/>
    <w:pPr>
      <w:ind w:left="800"/>
    </w:pPr>
    <w:rPr>
      <w:sz w:val="20"/>
      <w:lang w:eastAsia="en-US"/>
    </w:rPr>
  </w:style>
  <w:style w:type="paragraph" w:styleId="Obsah7">
    <w:name w:val="toc 7"/>
    <w:basedOn w:val="Normlny"/>
    <w:next w:val="Normlny"/>
    <w:autoRedefine/>
    <w:rsid w:val="00E63D86"/>
    <w:pPr>
      <w:ind w:left="1000"/>
    </w:pPr>
    <w:rPr>
      <w:sz w:val="20"/>
      <w:lang w:eastAsia="en-US"/>
    </w:rPr>
  </w:style>
  <w:style w:type="paragraph" w:styleId="Obsah8">
    <w:name w:val="toc 8"/>
    <w:basedOn w:val="Normlny"/>
    <w:next w:val="Normlny"/>
    <w:autoRedefine/>
    <w:rsid w:val="00E63D86"/>
    <w:pPr>
      <w:ind w:left="1200"/>
    </w:pPr>
    <w:rPr>
      <w:sz w:val="20"/>
      <w:lang w:eastAsia="en-US"/>
    </w:rPr>
  </w:style>
  <w:style w:type="paragraph" w:styleId="Obsah9">
    <w:name w:val="toc 9"/>
    <w:basedOn w:val="Normlny"/>
    <w:next w:val="Normlny"/>
    <w:autoRedefine/>
    <w:rsid w:val="00E63D86"/>
    <w:pPr>
      <w:ind w:left="1400"/>
    </w:pPr>
    <w:rPr>
      <w:sz w:val="20"/>
      <w:lang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lang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8F4849"/>
    <w:rPr>
      <w:sz w:val="20"/>
      <w:szCs w:val="20"/>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 w:type="paragraph" w:customStyle="1" w:styleId="Vchodzie">
    <w:name w:val="Vchodzie"/>
    <w:rsid w:val="00872D51"/>
    <w:pPr>
      <w:widowControl w:val="0"/>
      <w:autoSpaceDE w:val="0"/>
      <w:autoSpaceDN w:val="0"/>
      <w:adjustRightInd w:val="0"/>
    </w:pPr>
    <w:rPr>
      <w:kern w:val="1"/>
      <w:sz w:val="24"/>
      <w:szCs w:val="24"/>
      <w:lang w:bidi="hi-IN"/>
    </w:rPr>
  </w:style>
  <w:style w:type="character" w:styleId="Odkaznakomentr">
    <w:name w:val="annotation reference"/>
    <w:rsid w:val="00026360"/>
    <w:rPr>
      <w:sz w:val="16"/>
      <w:szCs w:val="16"/>
    </w:rPr>
  </w:style>
  <w:style w:type="paragraph" w:styleId="Revzia">
    <w:name w:val="Revision"/>
    <w:hidden/>
    <w:uiPriority w:val="99"/>
    <w:semiHidden/>
    <w:rsid w:val="008C04FA"/>
    <w:rPr>
      <w:sz w:val="24"/>
      <w:szCs w:val="24"/>
      <w:lang w:eastAsia="cs-CZ"/>
    </w:rPr>
  </w:style>
  <w:style w:type="paragraph" w:customStyle="1" w:styleId="Default">
    <w:name w:val="Default"/>
    <w:rsid w:val="00E0363A"/>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277043">
      <w:bodyDiv w:val="1"/>
      <w:marLeft w:val="0"/>
      <w:marRight w:val="0"/>
      <w:marTop w:val="0"/>
      <w:marBottom w:val="0"/>
      <w:divBdr>
        <w:top w:val="none" w:sz="0" w:space="0" w:color="auto"/>
        <w:left w:val="none" w:sz="0" w:space="0" w:color="auto"/>
        <w:bottom w:val="none" w:sz="0" w:space="0" w:color="auto"/>
        <w:right w:val="none" w:sz="0" w:space="0" w:color="auto"/>
      </w:divBdr>
    </w:div>
    <w:div w:id="224798471">
      <w:bodyDiv w:val="1"/>
      <w:marLeft w:val="0"/>
      <w:marRight w:val="0"/>
      <w:marTop w:val="0"/>
      <w:marBottom w:val="0"/>
      <w:divBdr>
        <w:top w:val="none" w:sz="0" w:space="0" w:color="auto"/>
        <w:left w:val="none" w:sz="0" w:space="0" w:color="auto"/>
        <w:bottom w:val="none" w:sz="0" w:space="0" w:color="auto"/>
        <w:right w:val="none" w:sz="0" w:space="0" w:color="auto"/>
      </w:divBdr>
    </w:div>
    <w:div w:id="314534109">
      <w:bodyDiv w:val="1"/>
      <w:marLeft w:val="0"/>
      <w:marRight w:val="0"/>
      <w:marTop w:val="0"/>
      <w:marBottom w:val="0"/>
      <w:divBdr>
        <w:top w:val="none" w:sz="0" w:space="0" w:color="auto"/>
        <w:left w:val="none" w:sz="0" w:space="0" w:color="auto"/>
        <w:bottom w:val="none" w:sz="0" w:space="0" w:color="auto"/>
        <w:right w:val="none" w:sz="0" w:space="0" w:color="auto"/>
      </w:divBdr>
    </w:div>
    <w:div w:id="382141777">
      <w:bodyDiv w:val="1"/>
      <w:marLeft w:val="0"/>
      <w:marRight w:val="0"/>
      <w:marTop w:val="0"/>
      <w:marBottom w:val="0"/>
      <w:divBdr>
        <w:top w:val="none" w:sz="0" w:space="0" w:color="auto"/>
        <w:left w:val="none" w:sz="0" w:space="0" w:color="auto"/>
        <w:bottom w:val="none" w:sz="0" w:space="0" w:color="auto"/>
        <w:right w:val="none" w:sz="0" w:space="0" w:color="auto"/>
      </w:divBdr>
    </w:div>
    <w:div w:id="465006200">
      <w:bodyDiv w:val="1"/>
      <w:marLeft w:val="0"/>
      <w:marRight w:val="0"/>
      <w:marTop w:val="0"/>
      <w:marBottom w:val="0"/>
      <w:divBdr>
        <w:top w:val="none" w:sz="0" w:space="0" w:color="auto"/>
        <w:left w:val="none" w:sz="0" w:space="0" w:color="auto"/>
        <w:bottom w:val="none" w:sz="0" w:space="0" w:color="auto"/>
        <w:right w:val="none" w:sz="0" w:space="0" w:color="auto"/>
      </w:divBdr>
    </w:div>
    <w:div w:id="529727632">
      <w:bodyDiv w:val="1"/>
      <w:marLeft w:val="0"/>
      <w:marRight w:val="0"/>
      <w:marTop w:val="0"/>
      <w:marBottom w:val="0"/>
      <w:divBdr>
        <w:top w:val="none" w:sz="0" w:space="0" w:color="auto"/>
        <w:left w:val="none" w:sz="0" w:space="0" w:color="auto"/>
        <w:bottom w:val="none" w:sz="0" w:space="0" w:color="auto"/>
        <w:right w:val="none" w:sz="0" w:space="0" w:color="auto"/>
      </w:divBdr>
    </w:div>
    <w:div w:id="613437808">
      <w:bodyDiv w:val="1"/>
      <w:marLeft w:val="0"/>
      <w:marRight w:val="0"/>
      <w:marTop w:val="0"/>
      <w:marBottom w:val="0"/>
      <w:divBdr>
        <w:top w:val="none" w:sz="0" w:space="0" w:color="auto"/>
        <w:left w:val="none" w:sz="0" w:space="0" w:color="auto"/>
        <w:bottom w:val="none" w:sz="0" w:space="0" w:color="auto"/>
        <w:right w:val="none" w:sz="0" w:space="0" w:color="auto"/>
      </w:divBdr>
    </w:div>
    <w:div w:id="847980892">
      <w:bodyDiv w:val="1"/>
      <w:marLeft w:val="0"/>
      <w:marRight w:val="0"/>
      <w:marTop w:val="0"/>
      <w:marBottom w:val="0"/>
      <w:divBdr>
        <w:top w:val="none" w:sz="0" w:space="0" w:color="auto"/>
        <w:left w:val="none" w:sz="0" w:space="0" w:color="auto"/>
        <w:bottom w:val="none" w:sz="0" w:space="0" w:color="auto"/>
        <w:right w:val="none" w:sz="0" w:space="0" w:color="auto"/>
      </w:divBdr>
    </w:div>
    <w:div w:id="942305096">
      <w:bodyDiv w:val="1"/>
      <w:marLeft w:val="0"/>
      <w:marRight w:val="0"/>
      <w:marTop w:val="0"/>
      <w:marBottom w:val="0"/>
      <w:divBdr>
        <w:top w:val="none" w:sz="0" w:space="0" w:color="auto"/>
        <w:left w:val="none" w:sz="0" w:space="0" w:color="auto"/>
        <w:bottom w:val="none" w:sz="0" w:space="0" w:color="auto"/>
        <w:right w:val="none" w:sz="0" w:space="0" w:color="auto"/>
      </w:divBdr>
    </w:div>
    <w:div w:id="1035425130">
      <w:bodyDiv w:val="1"/>
      <w:marLeft w:val="0"/>
      <w:marRight w:val="0"/>
      <w:marTop w:val="0"/>
      <w:marBottom w:val="0"/>
      <w:divBdr>
        <w:top w:val="none" w:sz="0" w:space="0" w:color="auto"/>
        <w:left w:val="none" w:sz="0" w:space="0" w:color="auto"/>
        <w:bottom w:val="none" w:sz="0" w:space="0" w:color="auto"/>
        <w:right w:val="none" w:sz="0" w:space="0" w:color="auto"/>
      </w:divBdr>
    </w:div>
    <w:div w:id="1223709739">
      <w:bodyDiv w:val="1"/>
      <w:marLeft w:val="0"/>
      <w:marRight w:val="0"/>
      <w:marTop w:val="0"/>
      <w:marBottom w:val="0"/>
      <w:divBdr>
        <w:top w:val="none" w:sz="0" w:space="0" w:color="auto"/>
        <w:left w:val="none" w:sz="0" w:space="0" w:color="auto"/>
        <w:bottom w:val="none" w:sz="0" w:space="0" w:color="auto"/>
        <w:right w:val="none" w:sz="0" w:space="0" w:color="auto"/>
      </w:divBdr>
    </w:div>
    <w:div w:id="1272399064">
      <w:bodyDiv w:val="1"/>
      <w:marLeft w:val="0"/>
      <w:marRight w:val="0"/>
      <w:marTop w:val="0"/>
      <w:marBottom w:val="0"/>
      <w:divBdr>
        <w:top w:val="none" w:sz="0" w:space="0" w:color="auto"/>
        <w:left w:val="none" w:sz="0" w:space="0" w:color="auto"/>
        <w:bottom w:val="none" w:sz="0" w:space="0" w:color="auto"/>
        <w:right w:val="none" w:sz="0" w:space="0" w:color="auto"/>
      </w:divBdr>
    </w:div>
    <w:div w:id="1467428626">
      <w:bodyDiv w:val="1"/>
      <w:marLeft w:val="0"/>
      <w:marRight w:val="0"/>
      <w:marTop w:val="0"/>
      <w:marBottom w:val="0"/>
      <w:divBdr>
        <w:top w:val="none" w:sz="0" w:space="0" w:color="auto"/>
        <w:left w:val="none" w:sz="0" w:space="0" w:color="auto"/>
        <w:bottom w:val="none" w:sz="0" w:space="0" w:color="auto"/>
        <w:right w:val="none" w:sz="0" w:space="0" w:color="auto"/>
      </w:divBdr>
    </w:div>
    <w:div w:id="1516192444">
      <w:bodyDiv w:val="1"/>
      <w:marLeft w:val="0"/>
      <w:marRight w:val="0"/>
      <w:marTop w:val="0"/>
      <w:marBottom w:val="0"/>
      <w:divBdr>
        <w:top w:val="none" w:sz="0" w:space="0" w:color="auto"/>
        <w:left w:val="none" w:sz="0" w:space="0" w:color="auto"/>
        <w:bottom w:val="none" w:sz="0" w:space="0" w:color="auto"/>
        <w:right w:val="none" w:sz="0" w:space="0" w:color="auto"/>
      </w:divBdr>
    </w:div>
    <w:div w:id="1648313801">
      <w:bodyDiv w:val="1"/>
      <w:marLeft w:val="0"/>
      <w:marRight w:val="0"/>
      <w:marTop w:val="0"/>
      <w:marBottom w:val="0"/>
      <w:divBdr>
        <w:top w:val="none" w:sz="0" w:space="0" w:color="auto"/>
        <w:left w:val="none" w:sz="0" w:space="0" w:color="auto"/>
        <w:bottom w:val="none" w:sz="0" w:space="0" w:color="auto"/>
        <w:right w:val="none" w:sz="0" w:space="0" w:color="auto"/>
      </w:divBdr>
    </w:div>
    <w:div w:id="1800143664">
      <w:bodyDiv w:val="1"/>
      <w:marLeft w:val="0"/>
      <w:marRight w:val="0"/>
      <w:marTop w:val="0"/>
      <w:marBottom w:val="0"/>
      <w:divBdr>
        <w:top w:val="none" w:sz="0" w:space="0" w:color="auto"/>
        <w:left w:val="none" w:sz="0" w:space="0" w:color="auto"/>
        <w:bottom w:val="none" w:sz="0" w:space="0" w:color="auto"/>
        <w:right w:val="none" w:sz="0" w:space="0" w:color="auto"/>
      </w:divBdr>
    </w:div>
    <w:div w:id="1805658499">
      <w:bodyDiv w:val="1"/>
      <w:marLeft w:val="0"/>
      <w:marRight w:val="0"/>
      <w:marTop w:val="0"/>
      <w:marBottom w:val="0"/>
      <w:divBdr>
        <w:top w:val="none" w:sz="0" w:space="0" w:color="auto"/>
        <w:left w:val="none" w:sz="0" w:space="0" w:color="auto"/>
        <w:bottom w:val="none" w:sz="0" w:space="0" w:color="auto"/>
        <w:right w:val="none" w:sz="0" w:space="0" w:color="auto"/>
      </w:divBdr>
    </w:div>
    <w:div w:id="1849053271">
      <w:bodyDiv w:val="1"/>
      <w:marLeft w:val="0"/>
      <w:marRight w:val="0"/>
      <w:marTop w:val="0"/>
      <w:marBottom w:val="0"/>
      <w:divBdr>
        <w:top w:val="none" w:sz="0" w:space="0" w:color="auto"/>
        <w:left w:val="none" w:sz="0" w:space="0" w:color="auto"/>
        <w:bottom w:val="none" w:sz="0" w:space="0" w:color="auto"/>
        <w:right w:val="none" w:sz="0" w:space="0" w:color="auto"/>
      </w:divBdr>
    </w:div>
    <w:div w:id="2046320871">
      <w:bodyDiv w:val="1"/>
      <w:marLeft w:val="0"/>
      <w:marRight w:val="0"/>
      <w:marTop w:val="0"/>
      <w:marBottom w:val="0"/>
      <w:divBdr>
        <w:top w:val="none" w:sz="0" w:space="0" w:color="auto"/>
        <w:left w:val="none" w:sz="0" w:space="0" w:color="auto"/>
        <w:bottom w:val="none" w:sz="0" w:space="0" w:color="auto"/>
        <w:right w:val="none" w:sz="0" w:space="0" w:color="auto"/>
      </w:divBdr>
    </w:div>
    <w:div w:id="210784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79B2D7-0CF3-4618-85F9-1CC71D51A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TotalTime>
  <Pages>8</Pages>
  <Words>2831</Words>
  <Characters>16138</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18932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creator>dominika</dc:creator>
  <cp:lastModifiedBy>MBB</cp:lastModifiedBy>
  <cp:revision>48</cp:revision>
  <cp:lastPrinted>2019-04-01T09:47:00Z</cp:lastPrinted>
  <dcterms:created xsi:type="dcterms:W3CDTF">2020-05-14T11:54:00Z</dcterms:created>
  <dcterms:modified xsi:type="dcterms:W3CDTF">2022-06-16T14:35:00Z</dcterms:modified>
</cp:coreProperties>
</file>