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5AE65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47572264</w:t>
      </w:r>
    </w:p>
    <w:p w14:paraId="7975AE6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2023968573</w:t>
      </w:r>
    </w:p>
    <w:p w14:paraId="7975AE67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68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Poznámky</w:t>
      </w:r>
    </w:p>
    <w:p w14:paraId="7975AE69" w14:textId="6C6A9D51" w:rsidR="00AF31AD" w:rsidRDefault="00650D4E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</w:rPr>
        <w:t>individuálnej účtovnej závierky zostavenej k 31. decembru 2021</w:t>
      </w:r>
    </w:p>
    <w:p w14:paraId="7975AE6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6B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7975AE6C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informácie</w:t>
      </w:r>
    </w:p>
    <w:p w14:paraId="7975AE6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Názov, sídlo, predmet podnikania: </w:t>
      </w:r>
    </w:p>
    <w:p w14:paraId="7975AE6E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spoločnosť </w:t>
      </w:r>
      <w:proofErr w:type="spellStart"/>
      <w:r>
        <w:rPr>
          <w:rFonts w:ascii="Times New Roman" w:eastAsia="Times New Roman" w:hAnsi="Times New Roman" w:cs="Times New Roman"/>
          <w:sz w:val="24"/>
        </w:rPr>
        <w:t>ZUZANKA</w:t>
      </w:r>
      <w:r>
        <w:rPr>
          <w:rFonts w:ascii="Times New Roman" w:eastAsia="Times New Roman" w:hAnsi="Times New Roman" w:cs="Times New Roman"/>
          <w:b/>
          <w:i/>
          <w:sz w:val="24"/>
        </w:rPr>
        <w:t>.s.r.o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(ďalej len Spoločnosť), bola založená 14. 12. 2013 a do obchodného registra bola zapísaná 14.12. 2013 (Obchodný register Okresného súdu Trenčín, oddiel s.r.o., vložka 29725/R). </w:t>
      </w:r>
    </w:p>
    <w:p w14:paraId="7975AE6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7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Hlavnými činnosťami Spoločnosti sú: </w:t>
      </w:r>
    </w:p>
    <w:p w14:paraId="7975AE71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– maloobchod, </w:t>
      </w:r>
    </w:p>
    <w:p w14:paraId="7975AE72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73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Dátum schválenia úč</w:t>
      </w:r>
      <w:r>
        <w:rPr>
          <w:rFonts w:ascii="Times New Roman" w:eastAsia="Times New Roman" w:hAnsi="Times New Roman" w:cs="Times New Roman"/>
          <w:sz w:val="24"/>
        </w:rPr>
        <w:t xml:space="preserve">tovnej závierky za predchádzajúce účtovné obdobie: </w:t>
      </w:r>
    </w:p>
    <w:p w14:paraId="7975AE74" w14:textId="3327B722" w:rsidR="00AF31AD" w:rsidRDefault="00650D4E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</w:rPr>
        <w:t>účtovná závierka Spoločnosti k 31. decembru 2020</w:t>
      </w:r>
      <w:r>
        <w:rPr>
          <w:rFonts w:ascii="Times New Roman" w:eastAsia="Times New Roman" w:hAnsi="Times New Roman" w:cs="Times New Roman"/>
          <w:sz w:val="24"/>
        </w:rPr>
        <w:t xml:space="preserve"> za predchádzajúce účtovné obdobie bola schválená valným zhromaždením Spoločnosti dňa 30.06.2021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75AE7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7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(3) Právny dôvod na zostavenie účtovnej závierky: </w:t>
      </w:r>
    </w:p>
    <w:p w14:paraId="7975AE77" w14:textId="4C4AD12B" w:rsidR="00AF31AD" w:rsidRDefault="00650D4E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</w:rPr>
        <w:t>účtov</w:t>
      </w:r>
      <w:r>
        <w:rPr>
          <w:rFonts w:ascii="Times New Roman" w:eastAsia="Times New Roman" w:hAnsi="Times New Roman" w:cs="Times New Roman"/>
          <w:sz w:val="24"/>
        </w:rPr>
        <w:t>ná závierka Spoločnosti k 31. decembru 2021</w:t>
      </w:r>
      <w:r>
        <w:rPr>
          <w:rFonts w:ascii="Times New Roman" w:eastAsia="Times New Roman" w:hAnsi="Times New Roman" w:cs="Times New Roman"/>
          <w:sz w:val="24"/>
        </w:rPr>
        <w:t xml:space="preserve"> je zostavená ako riadna účtovná závierka podľa § 17 ods. 6 zákona NR SR č. 431/2002 Z. z. o účtovníctve v znení neskorších predpisov za účtovné obdobie od 1. januára 2021</w:t>
      </w:r>
      <w:r>
        <w:rPr>
          <w:rFonts w:ascii="Times New Roman" w:eastAsia="Times New Roman" w:hAnsi="Times New Roman" w:cs="Times New Roman"/>
          <w:sz w:val="24"/>
        </w:rPr>
        <w:t xml:space="preserve"> do 31. decembra 2021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7975AE78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7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(4) Priemerný prep</w:t>
      </w:r>
      <w:r>
        <w:rPr>
          <w:rFonts w:ascii="Times New Roman" w:eastAsia="Times New Roman" w:hAnsi="Times New Roman" w:cs="Times New Roman"/>
          <w:sz w:val="24"/>
        </w:rPr>
        <w:t xml:space="preserve">očítaný počet zamestnancov: </w:t>
      </w:r>
    </w:p>
    <w:p w14:paraId="7975AE7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údaje o počte zamestnancov za bežné účtovné obdobie a bezprostredne predchádzajúce účtovné obdobie sú uvedené v nasledujúcom prehľade:</w:t>
      </w:r>
    </w:p>
    <w:p w14:paraId="7975AE7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7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9042" w:type="dxa"/>
        <w:jc w:val="center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55" w:type="dxa"/>
          <w:right w:w="70" w:type="dxa"/>
        </w:tblCellMar>
        <w:tblLook w:val="0000" w:firstRow="0" w:lastRow="0" w:firstColumn="0" w:lastColumn="0" w:noHBand="0" w:noVBand="0"/>
      </w:tblPr>
      <w:tblGrid>
        <w:gridCol w:w="3709"/>
        <w:gridCol w:w="2767"/>
        <w:gridCol w:w="2566"/>
      </w:tblGrid>
      <w:tr w:rsidR="00AF31AD" w14:paraId="7975AE80" w14:textId="77777777">
        <w:trPr>
          <w:trHeight w:val="1"/>
          <w:jc w:val="center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7D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7E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5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7F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AF31AD" w14:paraId="7975AE84" w14:textId="77777777">
        <w:trPr>
          <w:trHeight w:val="1"/>
          <w:jc w:val="center"/>
        </w:trPr>
        <w:tc>
          <w:tcPr>
            <w:tcW w:w="3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</w:tcPr>
          <w:p w14:paraId="7975AE81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prepočítaný počet zamestnancov ku dňu závierky</w:t>
            </w:r>
          </w:p>
        </w:tc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</w:tcPr>
          <w:p w14:paraId="7975AE82" w14:textId="77777777" w:rsidR="00AF31AD" w:rsidRDefault="00650D4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eastAsia="Calibri" w:cs="Calibri"/>
              </w:rPr>
              <w:t>0</w:t>
            </w:r>
          </w:p>
        </w:tc>
        <w:tc>
          <w:tcPr>
            <w:tcW w:w="25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</w:tcPr>
          <w:p w14:paraId="7975AE83" w14:textId="77777777" w:rsidR="00AF31AD" w:rsidRDefault="00650D4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eastAsia="Calibri" w:cs="Calibri"/>
              </w:rPr>
              <w:t>0</w:t>
            </w:r>
          </w:p>
        </w:tc>
      </w:tr>
    </w:tbl>
    <w:p w14:paraId="7975AE8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86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8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975AE88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7975AE89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orgánoch spoločnosti</w:t>
      </w:r>
    </w:p>
    <w:p w14:paraId="7975AE8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8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Údaje o štatutárnych orgánoch Spoločnosti sú uvedené v Obchodnom registri.</w:t>
      </w:r>
    </w:p>
    <w:p w14:paraId="7975AE8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Štatutárnym orgánom Spoločnosti je konateľka Ing. Lenka Macová.</w:t>
      </w:r>
    </w:p>
    <w:p w14:paraId="7975AE8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Štatutárnemu orgánu neboli poskytnuté žiadne záruky, žiadne pôžičky, voči štatutárnemu orgánu neboli odpustené ani odpísané žiadne pôžičky . Na súkromné účely neboli štatutárnemu orgánu poskytnuté žiadne finančné prostriedky ani iné plnenia, ktoré by bolo </w:t>
      </w:r>
      <w:r>
        <w:rPr>
          <w:rFonts w:ascii="Times New Roman" w:eastAsia="Times New Roman" w:hAnsi="Times New Roman" w:cs="Times New Roman"/>
          <w:sz w:val="24"/>
        </w:rPr>
        <w:t>potrebné vyúčtovať.</w:t>
      </w:r>
    </w:p>
    <w:p w14:paraId="7975AE8E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8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0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1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IČO: 47572264 </w:t>
      </w:r>
    </w:p>
    <w:p w14:paraId="7975AE9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DIČ: 2023968573 </w:t>
      </w:r>
    </w:p>
    <w:p w14:paraId="7975AE9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4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14:paraId="7975AE95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prijatých postupoch</w:t>
      </w:r>
    </w:p>
    <w:p w14:paraId="7975AE9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Východiská pre zostavenie účtovnej závierky: </w:t>
      </w:r>
    </w:p>
    <w:p w14:paraId="7975AE9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4"/>
        </w:rPr>
        <w:t>going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concern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). </w:t>
      </w:r>
    </w:p>
    <w:p w14:paraId="7975AE98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Účtovné metódy a všeobecné účtovné zásady boli účtovnou jednotkou konzistentne aplikované.</w:t>
      </w:r>
    </w:p>
    <w:p w14:paraId="7975AE9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V súvahe sú uvedené všetky transakcie, uskutočnené Spolo</w:t>
      </w:r>
      <w:r>
        <w:rPr>
          <w:rFonts w:ascii="Times New Roman" w:eastAsia="Times New Roman" w:hAnsi="Times New Roman" w:cs="Times New Roman"/>
          <w:sz w:val="24"/>
        </w:rPr>
        <w:t>čnosťou v účtovnom období.</w:t>
      </w:r>
    </w:p>
    <w:p w14:paraId="7975AE9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975AE9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(4) Spôsob a určenie ocenenia majetku a záväzkov vrátane odhadov:</w:t>
      </w:r>
    </w:p>
    <w:p w14:paraId="7975AE9E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9F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a) dlhodobý nehmotný majetok a dlhodobý hmotný majetok:</w:t>
      </w:r>
    </w:p>
    <w:p w14:paraId="7975AEA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dlhodobý majetok nakupovaný sa oceňuje obstarávacou cenou, ktorá zahŕňa cenu obstarania a náklady súvisi</w:t>
      </w:r>
      <w:r>
        <w:rPr>
          <w:rFonts w:ascii="Times New Roman" w:eastAsia="Times New Roman" w:hAnsi="Times New Roman" w:cs="Times New Roman"/>
          <w:sz w:val="24"/>
        </w:rPr>
        <w:t>ace s obstaraním (clo, prepravu, montáž, poistné a pod.).</w:t>
      </w:r>
    </w:p>
    <w:p w14:paraId="7975AEA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7975AEA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4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</w:t>
      </w:r>
      <w:r>
        <w:rPr>
          <w:rFonts w:ascii="Times New Roman" w:eastAsia="Times New Roman" w:hAnsi="Times New Roman" w:cs="Times New Roman"/>
          <w:sz w:val="24"/>
        </w:rPr>
        <w:t xml:space="preserve">u obstarávacej ceny dlhodobého nehmotného majetku nie sú úroky z cudzích zdrojov, ktoré vznikli do momentu zaradenia dlhodobého nehmotného majetku do používania. </w:t>
      </w:r>
    </w:p>
    <w:p w14:paraId="7975AEA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sú stanovené vychádzajúc z predpokladanej doby jeho pou</w:t>
      </w:r>
      <w:r>
        <w:rPr>
          <w:rFonts w:ascii="Times New Roman" w:eastAsia="Times New Roman" w:hAnsi="Times New Roman" w:cs="Times New Roman"/>
          <w:sz w:val="24"/>
        </w:rPr>
        <w:t xml:space="preserve">žívania a predpokladaného priebehu jeho opotrebenia. Odpisovať sa začína počnúc mesiacom uvedenia dlhodobého majetku do používania. </w:t>
      </w:r>
    </w:p>
    <w:p w14:paraId="7975AEA7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hmotného majetku sú stanovené vychádzajúc z predpokladanej doby jeho používania a predpokladaného priebe</w:t>
      </w:r>
      <w:r>
        <w:rPr>
          <w:rFonts w:ascii="Times New Roman" w:eastAsia="Times New Roman" w:hAnsi="Times New Roman" w:cs="Times New Roman"/>
          <w:sz w:val="24"/>
        </w:rPr>
        <w:t xml:space="preserve">hu jeho opotrebenia. Odpisovať sa začína počnúc mesiacom uvedenia dlhodobého majetku do používania okrem majetku obstarávaného formou finančného leasingu, ktorý sa začína odpisovať dňom zaradenia do majetku. </w:t>
      </w:r>
    </w:p>
    <w:p w14:paraId="7975AEA9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Drobný nehmotný majetok, ktorého ocenenie sa r</w:t>
      </w:r>
      <w:r>
        <w:rPr>
          <w:rFonts w:ascii="Times New Roman" w:eastAsia="Times New Roman" w:hAnsi="Times New Roman" w:cs="Times New Roman"/>
          <w:sz w:val="24"/>
        </w:rPr>
        <w:t>ovná alebo je nižšie ako 2400 € s dobou použiteľnosti dlhšou ako jeden rok sa účtuje na ťarchu účtu 518.</w:t>
      </w:r>
    </w:p>
    <w:p w14:paraId="7975AEA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 drobnom hmotnom majetku, ktorým sú samostatné hnuteľné veci a súbory hnuteľných vecí, ktoré majú samostatné ekonomické určenie, ktorého ocenenie sa </w:t>
      </w:r>
      <w:r>
        <w:rPr>
          <w:rFonts w:ascii="Times New Roman" w:eastAsia="Times New Roman" w:hAnsi="Times New Roman" w:cs="Times New Roman"/>
          <w:sz w:val="24"/>
        </w:rPr>
        <w:t>rovná alebo je nižšie ako 1700 € s dobou použiteľnosti dlhšou ako jeden rok sa účtuje ako o zásobách.</w:t>
      </w:r>
    </w:p>
    <w:p w14:paraId="7975AEAD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AE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Pozemky ani zásoby sa neodpisujú. </w:t>
      </w:r>
    </w:p>
    <w:p w14:paraId="7975AEA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0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2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4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5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14:paraId="7975AEB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14:paraId="7975AEB7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8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9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Predpokladaná doba </w:t>
      </w:r>
      <w:r>
        <w:rPr>
          <w:rFonts w:ascii="Times New Roman" w:eastAsia="Times New Roman" w:hAnsi="Times New Roman" w:cs="Times New Roman"/>
          <w:sz w:val="24"/>
        </w:rPr>
        <w:t>používania, metóda odpisovania a odpisová sadzba sú uvedené v nasledujúcej tabuľke:</w:t>
      </w:r>
    </w:p>
    <w:p w14:paraId="7975AEB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BC" w14:textId="77777777" w:rsidR="00AF31AD" w:rsidRDefault="00AF31AD">
      <w:pPr>
        <w:spacing w:after="0" w:line="240" w:lineRule="auto"/>
        <w:rPr>
          <w:rFonts w:ascii="Arial Narrow" w:eastAsia="Arial Narrow" w:hAnsi="Arial Narrow" w:cs="Arial Narrow"/>
          <w:b/>
        </w:rPr>
      </w:pPr>
    </w:p>
    <w:tbl>
      <w:tblPr>
        <w:tblW w:w="9043" w:type="dxa"/>
        <w:jc w:val="center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3062"/>
        <w:gridCol w:w="1993"/>
        <w:gridCol w:w="2009"/>
        <w:gridCol w:w="1979"/>
      </w:tblGrid>
      <w:tr w:rsidR="00AF31AD" w14:paraId="7975AEC1" w14:textId="77777777">
        <w:trPr>
          <w:trHeight w:val="1"/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BD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BE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BF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Sadzba odpisov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0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metóda</w:t>
            </w:r>
          </w:p>
        </w:tc>
      </w:tr>
      <w:tr w:rsidR="00AF31AD" w14:paraId="7975AEC6" w14:textId="77777777">
        <w:trPr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2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3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4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5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AF31AD" w14:paraId="7975AEC8" w14:textId="77777777">
        <w:trPr>
          <w:trHeight w:val="1"/>
          <w:jc w:val="center"/>
        </w:trPr>
        <w:tc>
          <w:tcPr>
            <w:tcW w:w="9042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7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majetku</w:t>
            </w:r>
          </w:p>
        </w:tc>
      </w:tr>
      <w:tr w:rsidR="00AF31AD" w14:paraId="7975AECD" w14:textId="77777777">
        <w:trPr>
          <w:trHeight w:val="1"/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9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A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 – 4 roky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B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Podľa doby použiteľnosti. Účtovné </w:t>
            </w:r>
            <w:r>
              <w:rPr>
                <w:rFonts w:ascii="Times New Roman" w:eastAsia="Times New Roman" w:hAnsi="Times New Roman" w:cs="Times New Roman"/>
                <w:sz w:val="24"/>
              </w:rPr>
              <w:t>a daňové odpisy sa rovnajú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C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AF31AD" w14:paraId="7975AED2" w14:textId="77777777">
        <w:trPr>
          <w:trHeight w:val="1"/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E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CF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4, 6, 8, 12, 20, 40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0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1/4, 1/6, 1/8, 1/12, 1/20, 1/40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1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AF31AD" w14:paraId="7975AED7" w14:textId="77777777">
        <w:trPr>
          <w:trHeight w:val="1"/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3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Majetok obstaraný na finančný leasing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4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4, 6, 8, 12, 20, 40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5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1/4, 1/6, 1/8, 1/12, 1/20, 1/40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6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AF31AD" w14:paraId="7975AEDC" w14:textId="77777777">
        <w:trPr>
          <w:trHeight w:val="1"/>
          <w:jc w:val="center"/>
        </w:trPr>
        <w:tc>
          <w:tcPr>
            <w:tcW w:w="30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8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Iný majetok</w:t>
            </w:r>
          </w:p>
        </w:tc>
        <w:tc>
          <w:tcPr>
            <w:tcW w:w="199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9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Doba trvania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A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Vstupná cena : doba trvania</w:t>
            </w:r>
          </w:p>
        </w:tc>
        <w:tc>
          <w:tcPr>
            <w:tcW w:w="197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B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AF31AD" w14:paraId="7975AEE1" w14:textId="77777777">
        <w:trPr>
          <w:jc w:val="center"/>
        </w:trPr>
        <w:tc>
          <w:tcPr>
            <w:tcW w:w="30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D" w14:textId="77777777" w:rsidR="00AF31AD" w:rsidRDefault="00650D4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Drobný hmotný majetok</w:t>
            </w:r>
          </w:p>
        </w:tc>
        <w:tc>
          <w:tcPr>
            <w:tcW w:w="199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E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 roky</w:t>
            </w:r>
          </w:p>
        </w:tc>
        <w:tc>
          <w:tcPr>
            <w:tcW w:w="200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DF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  <w:tc>
          <w:tcPr>
            <w:tcW w:w="197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000000" w:fill="FFFFFF"/>
            <w:vAlign w:val="center"/>
          </w:tcPr>
          <w:p w14:paraId="7975AEE0" w14:textId="77777777" w:rsidR="00AF31AD" w:rsidRDefault="00650D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</w:tbl>
    <w:p w14:paraId="7975AEE2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E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E4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b) zásoby :</w:t>
      </w:r>
    </w:p>
    <w:p w14:paraId="7975AEE5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7975AEE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Obstarávacia cena zahŕňa cenu zásob a náklady súvisiace s obstaraním </w:t>
      </w:r>
      <w:r>
        <w:rPr>
          <w:rFonts w:ascii="Times New Roman" w:eastAsia="Times New Roman" w:hAnsi="Times New Roman" w:cs="Times New Roman"/>
          <w:sz w:val="24"/>
        </w:rPr>
        <w:t xml:space="preserve">(clo, prepravu, poistné, provízie, skonto a pod.). Úroky z cudzích zdrojov nie sú súčasťou obstarávacej ceny. </w:t>
      </w:r>
    </w:p>
    <w:p w14:paraId="7975AEE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zahŕňajú priame náklady (priamy materiál, priame mzdy a ostatné priame náklady) a časť nepriamych nákladov bezprostredne súvisiac</w:t>
      </w:r>
      <w:r>
        <w:rPr>
          <w:rFonts w:ascii="Times New Roman" w:eastAsia="Times New Roman" w:hAnsi="Times New Roman" w:cs="Times New Roman"/>
          <w:sz w:val="24"/>
        </w:rPr>
        <w:t>ich s vytvorením zásob vlastnou činnosťou (výrobná réžia). Výrobná réžia sa do vlastných nákladov zahŕňa v závislosti od stupňa rozpracovanosti týchto zásob. Správna réžia a odbytová réžia nie sú súčasťou vlastných nákladov. Súčasťou vlastných nákladov nie</w:t>
      </w:r>
      <w:r>
        <w:rPr>
          <w:rFonts w:ascii="Times New Roman" w:eastAsia="Times New Roman" w:hAnsi="Times New Roman" w:cs="Times New Roman"/>
          <w:sz w:val="24"/>
        </w:rPr>
        <w:t xml:space="preserve"> sú úroky z cudzích zdrojov. </w:t>
      </w:r>
    </w:p>
    <w:p w14:paraId="7975AEE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Čistá realizačná hodnota je predpokladaná predajná cena znížená o predpokladané náklady na ich dokončenie a o predpokladané náklady súvisiace s ich predajom. </w:t>
      </w:r>
    </w:p>
    <w:p w14:paraId="7975AEE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Zníženie hodnoty zásob sa upravuje vytvorením opravnej položky. </w:t>
      </w:r>
    </w:p>
    <w:p w14:paraId="7975AEE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E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) pohľadávky :</w:t>
      </w:r>
    </w:p>
    <w:p w14:paraId="7975AEE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</w:t>
      </w:r>
      <w:r>
        <w:rPr>
          <w:rFonts w:ascii="Times New Roman" w:eastAsia="Times New Roman" w:hAnsi="Times New Roman" w:cs="Times New Roman"/>
          <w:sz w:val="24"/>
        </w:rPr>
        <w:t xml:space="preserve">bné a nevymožiteľné pohľadávky vytvorením opravnej položky alebo odpisom pohľadávky. </w:t>
      </w:r>
    </w:p>
    <w:p w14:paraId="7975AEED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EE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d) peňažné prostriedky a ceniny :</w:t>
      </w:r>
    </w:p>
    <w:p w14:paraId="7975AEEF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menovitou hodnotou. Zníženie ich hodnoty sa vyjadruje opravnou položkou. </w:t>
      </w:r>
    </w:p>
    <w:p w14:paraId="7975AEF0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F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F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14:paraId="7975AEF3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14:paraId="7975AEF4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e) náklady budúcich období a príjmy budúcich období :</w:t>
      </w:r>
    </w:p>
    <w:p w14:paraId="7975AEF5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náklady budúc</w:t>
      </w:r>
      <w:r>
        <w:rPr>
          <w:rFonts w:ascii="Times New Roman" w:eastAsia="Times New Roman" w:hAnsi="Times New Roman" w:cs="Times New Roman"/>
          <w:sz w:val="24"/>
        </w:rPr>
        <w:t>ich období a príjmy budúcich období sa vykazujú vo výške, ktorá je potrebná na dodržanie zásady vecnej a časovej súvislosti s účtovným obdobím.</w:t>
      </w:r>
    </w:p>
    <w:p w14:paraId="7975AEF6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F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f) rezervy :</w:t>
      </w:r>
    </w:p>
    <w:p w14:paraId="7975AEF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 neurčitým časovým vymedzením alebo výškou; tvoria sa na krytie známych rizík </w:t>
      </w:r>
      <w:r>
        <w:rPr>
          <w:rFonts w:ascii="Times New Roman" w:eastAsia="Times New Roman" w:hAnsi="Times New Roman" w:cs="Times New Roman"/>
          <w:sz w:val="24"/>
        </w:rPr>
        <w:t>alebo strát z podnikania. Oceňujú sa v očakávanej výške záväzku.</w:t>
      </w:r>
    </w:p>
    <w:p w14:paraId="7975AEF9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F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g) záväzky :</w:t>
      </w:r>
    </w:p>
    <w:p w14:paraId="7975AEF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</w:t>
      </w:r>
      <w:r>
        <w:rPr>
          <w:rFonts w:ascii="Times New Roman" w:eastAsia="Times New Roman" w:hAnsi="Times New Roman" w:cs="Times New Roman"/>
          <w:sz w:val="24"/>
        </w:rPr>
        <w:t xml:space="preserve">zistenom ocenení. </w:t>
      </w:r>
    </w:p>
    <w:p w14:paraId="7975AEFC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EF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h) odložené dane :</w:t>
      </w:r>
    </w:p>
    <w:p w14:paraId="7975AEFE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odložené dane (odložená daňová pohľadávka a odložený daňový záväzok) sa vzťahujú na: </w:t>
      </w:r>
    </w:p>
    <w:p w14:paraId="7975AEFF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a) dočasné rozdiely medzi účtovnou hodnotou majetku a účtovnou hodnotou záväzkov vykázanou v súvahe a ich daňovou základňou, </w:t>
      </w:r>
    </w:p>
    <w:p w14:paraId="7975AF0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b) mo</w:t>
      </w:r>
      <w:r>
        <w:rPr>
          <w:rFonts w:ascii="Times New Roman" w:eastAsia="Times New Roman" w:hAnsi="Times New Roman" w:cs="Times New Roman"/>
          <w:sz w:val="24"/>
        </w:rPr>
        <w:t xml:space="preserve">žnosť umorovať daňovú stratu v budúcnosti, ktorou sa rozumie možnosť odpočítať daňovú stratu od základu dane v budúcnosti, </w:t>
      </w:r>
    </w:p>
    <w:p w14:paraId="7975AF01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c) možnosť previesť nevyužité daňové odpočty a iné daňové nároky do budúcich období. </w:t>
      </w:r>
    </w:p>
    <w:p w14:paraId="7975AF0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 odloženom daňovom záväzku účtuje spoločnosť </w:t>
      </w:r>
      <w:r>
        <w:rPr>
          <w:rFonts w:ascii="Times New Roman" w:eastAsia="Times New Roman" w:hAnsi="Times New Roman" w:cs="Times New Roman"/>
          <w:sz w:val="24"/>
        </w:rPr>
        <w:t xml:space="preserve">vždy, o pohľadávke účtuje, ak je realizovateľná. </w:t>
      </w:r>
    </w:p>
    <w:p w14:paraId="7975AF0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04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i) výdavky budúcich období a výnosy budúcich období :</w:t>
      </w:r>
    </w:p>
    <w:p w14:paraId="7975AF05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výdavky budúcich období a výnosy budúcich období sa vykazujú vo výške, ktorá je potrebná na dodržanie zásady vecnej a časovej súvislosti s účtovným obd</w:t>
      </w:r>
      <w:r>
        <w:rPr>
          <w:rFonts w:ascii="Times New Roman" w:eastAsia="Times New Roman" w:hAnsi="Times New Roman" w:cs="Times New Roman"/>
          <w:sz w:val="24"/>
        </w:rPr>
        <w:t xml:space="preserve">obím. </w:t>
      </w:r>
    </w:p>
    <w:p w14:paraId="7975AF06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0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j) prenájom (lízing) :</w:t>
      </w:r>
    </w:p>
    <w:p w14:paraId="7975AF0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prenajatý na základe operatívneho prenájmu bez kúpnej opcie je považovaný za operatívny prenájom. Majetok vykazuje ako svoj majetok jeho vlastník, nie nájomca. </w:t>
      </w:r>
    </w:p>
    <w:p w14:paraId="7975AF0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prenajatý na základe finančného nájmu s kúpnou o</w:t>
      </w:r>
      <w:r>
        <w:rPr>
          <w:rFonts w:ascii="Times New Roman" w:eastAsia="Times New Roman" w:hAnsi="Times New Roman" w:cs="Times New Roman"/>
          <w:sz w:val="24"/>
        </w:rPr>
        <w:t xml:space="preserve">pciou na základe zmluvy uzatvorenej do 31. decembra 2003 vykazuje ako svoj majetok jeho vlastník, nie nájomca. Majetok prenajatý na základe zmluvy uzatvorenej 1. januára 2004 a neskôr vykazuje ako svoj majetok jeho nájomca, nie vlastník. </w:t>
      </w:r>
    </w:p>
    <w:p w14:paraId="7975AF0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0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k) cudzia </w:t>
      </w:r>
      <w:r>
        <w:rPr>
          <w:rFonts w:ascii="Times New Roman" w:eastAsia="Times New Roman" w:hAnsi="Times New Roman" w:cs="Times New Roman"/>
          <w:sz w:val="24"/>
        </w:rPr>
        <w:t>mena :</w:t>
      </w:r>
    </w:p>
    <w:p w14:paraId="7975AF0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</w:t>
      </w:r>
      <w:r>
        <w:rPr>
          <w:rFonts w:ascii="Times New Roman" w:eastAsia="Times New Roman" w:hAnsi="Times New Roman" w:cs="Times New Roman"/>
          <w:sz w:val="24"/>
        </w:rPr>
        <w:t xml:space="preserve">očnenia účtovného prípadu. </w:t>
      </w:r>
    </w:p>
    <w:p w14:paraId="7975AF0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</w:t>
      </w:r>
      <w:r>
        <w:rPr>
          <w:rFonts w:ascii="Times New Roman" w:eastAsia="Times New Roman" w:hAnsi="Times New Roman" w:cs="Times New Roman"/>
          <w:sz w:val="24"/>
        </w:rPr>
        <w:t xml:space="preserve">trálnou bankou alebo Národnou bankou Slovenska v deň, ku ktorému sa zostavuje účtovná závierka, a účtujú sa s vplyvom na výsledok hospodárenia. </w:t>
      </w:r>
    </w:p>
    <w:p w14:paraId="7975AF0E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0F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14:paraId="7975AF1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14:paraId="7975AF1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1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</w:t>
      </w:r>
      <w:r>
        <w:rPr>
          <w:rFonts w:ascii="Times New Roman" w:eastAsia="Times New Roman" w:hAnsi="Times New Roman" w:cs="Times New Roman"/>
          <w:sz w:val="24"/>
        </w:rPr>
        <w:t xml:space="preserve">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7975AF13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</w:t>
      </w:r>
      <w:r>
        <w:rPr>
          <w:rFonts w:ascii="Times New Roman" w:eastAsia="Times New Roman" w:hAnsi="Times New Roman" w:cs="Times New Roman"/>
          <w:sz w:val="24"/>
        </w:rPr>
        <w:t xml:space="preserve">até a poskytnuté preddavky v cudzej mene na účet zriadený v eurách a z účtu zriadeného v eurách sa prepočítavajú na menu euro kurzom, za ktorý boli tieto hodnoty nakúpené alebo predané. </w:t>
      </w:r>
    </w:p>
    <w:p w14:paraId="7975AF14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a poskytnuté preddavky sa ku dňu, ku ktorému sa zostavuje účt</w:t>
      </w:r>
      <w:r>
        <w:rPr>
          <w:rFonts w:ascii="Times New Roman" w:eastAsia="Times New Roman" w:hAnsi="Times New Roman" w:cs="Times New Roman"/>
          <w:sz w:val="24"/>
        </w:rPr>
        <w:t>ovná závierka, na menu euro už neprepočítavajú.</w:t>
      </w:r>
    </w:p>
    <w:p w14:paraId="7975AF1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1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l) výnosy :</w:t>
      </w:r>
    </w:p>
    <w:p w14:paraId="7975AF1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tržby za vlastné výkony a tovar neobsahujú daň z pridanej hodnoty. Sú tiež znížené o zľavy a zrážky (rabaty, bonusy, skontá, dobropisy a pod.), bez ohľadu na to, či zákazník mal vopred na zľavu n</w:t>
      </w:r>
      <w:r>
        <w:rPr>
          <w:rFonts w:ascii="Times New Roman" w:eastAsia="Times New Roman" w:hAnsi="Times New Roman" w:cs="Times New Roman"/>
          <w:sz w:val="24"/>
        </w:rPr>
        <w:t>árok, alebo či ide o dodatočne uznanú zľavu.</w:t>
      </w:r>
    </w:p>
    <w:p w14:paraId="7975AF18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1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m) náklady:</w:t>
      </w:r>
    </w:p>
    <w:p w14:paraId="7975AF1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účtoch nákladov sa účtujú prvotné náklady alebo daňové náklady narastajúcim spôsobom. Ak vo vyúčtovaniach za prijaté služby alebo v nákladoch zaúčtovaných podľa iných účtovných dokladov sú zahrnu</w:t>
      </w:r>
      <w:r>
        <w:rPr>
          <w:rFonts w:ascii="Times New Roman" w:eastAsia="Times New Roman" w:hAnsi="Times New Roman" w:cs="Times New Roman"/>
          <w:sz w:val="24"/>
        </w:rPr>
        <w:t>té tiež náklady, ktoré nepatria Spoločnosti, postupuje sa tak, že ak sa zistia pred zaúčtovaním príslušných účtovných dokladov, sumy nárokov voči zamestnancom alebo členom štatutárneho orgánu sa zaúčtujú ako pohľadávka v triede 3 zúčtovacie vzťahy. Ak sa n</w:t>
      </w:r>
      <w:r>
        <w:rPr>
          <w:rFonts w:ascii="Times New Roman" w:eastAsia="Times New Roman" w:hAnsi="Times New Roman" w:cs="Times New Roman"/>
          <w:sz w:val="24"/>
        </w:rPr>
        <w:t>ezistia pred zaúčtovaním príslušných účtovných dokladov, účtujú sa tieto sumy na príslušné účty nákladov a dodatočne prijaté náhrady znižujú zaúčtované náklady v účtovej triede 5.</w:t>
      </w:r>
    </w:p>
    <w:p w14:paraId="7975AF1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1C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n) poskytnuté dotácie:</w:t>
      </w:r>
    </w:p>
    <w:p w14:paraId="7975AF1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nedostala dotácie ani na náhradu prevádzk</w:t>
      </w:r>
      <w:r>
        <w:rPr>
          <w:rFonts w:ascii="Times New Roman" w:eastAsia="Times New Roman" w:hAnsi="Times New Roman" w:cs="Times New Roman"/>
          <w:sz w:val="24"/>
        </w:rPr>
        <w:t>ových nákladov, ani na obstaranie dlhodobého majetku.</w:t>
      </w:r>
    </w:p>
    <w:p w14:paraId="7975AF1E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1F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o) opravy chýb minulých období:</w:t>
      </w:r>
    </w:p>
    <w:p w14:paraId="7975AF2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opravy významných chýb minulých účtovných období, účtované s vplyvom na nerozdelený zisk minulých rokov, sa v bežnom účtovnom období nevyskytli.</w:t>
      </w:r>
    </w:p>
    <w:p w14:paraId="7975AF21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Nevýznamné opravy chýb m</w:t>
      </w:r>
      <w:r>
        <w:rPr>
          <w:rFonts w:ascii="Times New Roman" w:eastAsia="Times New Roman" w:hAnsi="Times New Roman" w:cs="Times New Roman"/>
          <w:sz w:val="24"/>
        </w:rPr>
        <w:t>inulých účtovných období vykonané v bežnom účtovnom období nemajú významný vplyv na výsledok hospodárenia bežného účtovného obdobia.</w:t>
      </w:r>
    </w:p>
    <w:p w14:paraId="7975AF22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3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14:paraId="7975AF24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Informácie, ktoré vysvetľujú a dopĺňajú súvahu a výkaz ziskov a strát</w:t>
      </w:r>
    </w:p>
    <w:p w14:paraId="7975AF2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Na účtovanie </w:t>
      </w:r>
      <w:proofErr w:type="spellStart"/>
      <w:r>
        <w:rPr>
          <w:rFonts w:ascii="Times New Roman" w:eastAsia="Times New Roman" w:hAnsi="Times New Roman" w:cs="Times New Roman"/>
          <w:sz w:val="24"/>
        </w:rPr>
        <w:t>goodwillu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ani </w:t>
      </w:r>
      <w:r>
        <w:rPr>
          <w:rFonts w:ascii="Times New Roman" w:eastAsia="Times New Roman" w:hAnsi="Times New Roman" w:cs="Times New Roman"/>
          <w:sz w:val="24"/>
        </w:rPr>
        <w:t xml:space="preserve">záporného </w:t>
      </w:r>
      <w:proofErr w:type="spellStart"/>
      <w:r>
        <w:rPr>
          <w:rFonts w:ascii="Times New Roman" w:eastAsia="Times New Roman" w:hAnsi="Times New Roman" w:cs="Times New Roman"/>
          <w:sz w:val="24"/>
        </w:rPr>
        <w:t>goodwillu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nemala Spoločnosť v bežnom účtovnom období náplň.</w:t>
      </w:r>
    </w:p>
    <w:p w14:paraId="7975AF27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Na účtovanie o derivátoch, ani o majetku a záväzkoch zabezpečených derivátmi nemala Spoločnosť v bežnom účtovnom období náplň.</w:t>
      </w:r>
    </w:p>
    <w:p w14:paraId="7975AF29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Spoločnosť nemá ku koncu bežného účtovného obdobi</w:t>
      </w:r>
      <w:r>
        <w:rPr>
          <w:rFonts w:ascii="Times New Roman" w:eastAsia="Times New Roman" w:hAnsi="Times New Roman" w:cs="Times New Roman"/>
          <w:sz w:val="24"/>
        </w:rPr>
        <w:t>a záväzky so zostatkovou dobou splatnosti dlhšou ako päť rokov. Spoločnosť neeviduje ku koncu bežného účtovného obdobia žiadne zabezpečené záväzky.</w:t>
      </w:r>
    </w:p>
    <w:p w14:paraId="7975AF2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C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2D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14:paraId="7975AF2E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14:paraId="7975AF2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0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4) Spoločnosť nenadobudla v bežnom ú</w:t>
      </w:r>
      <w:r>
        <w:rPr>
          <w:rFonts w:ascii="Times New Roman" w:eastAsia="Times New Roman" w:hAnsi="Times New Roman" w:cs="Times New Roman"/>
          <w:sz w:val="24"/>
        </w:rPr>
        <w:t>čtovnom období žiadne obchodné podiely, ani ku koncu bežného účtovného obdobia nevlastní žiadne obchodné podiely.</w:t>
      </w:r>
    </w:p>
    <w:p w14:paraId="7975AF3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2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(5) Žiadne položky nákladov ani výnosov bežného účtovného obdobia nemajú výnimočný charakter.</w:t>
      </w:r>
    </w:p>
    <w:p w14:paraId="7975AF33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4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14:paraId="7975AF35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iných aktívach </w:t>
      </w:r>
      <w:r>
        <w:rPr>
          <w:rFonts w:ascii="Times New Roman" w:eastAsia="Times New Roman" w:hAnsi="Times New Roman" w:cs="Times New Roman"/>
          <w:b/>
          <w:sz w:val="24"/>
        </w:rPr>
        <w:t>a iných pasívach</w:t>
      </w:r>
    </w:p>
    <w:p w14:paraId="7975AF36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7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Spoločnosť neeviduje ku koncu bežného účtovného obdobia žiadny podmienený majetok ani žiadne podmienené záväzky. </w:t>
      </w:r>
    </w:p>
    <w:p w14:paraId="7975AF38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9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Spoločnosť nemá žiadne finančné povinnosti, ktoré nie sú vykazované v súvahe ku koncu bežného účtovného obdobia.</w:t>
      </w:r>
    </w:p>
    <w:p w14:paraId="7975AF3A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B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</w:t>
      </w:r>
      <w:r>
        <w:rPr>
          <w:rFonts w:ascii="Times New Roman" w:eastAsia="Times New Roman" w:hAnsi="Times New Roman" w:cs="Times New Roman"/>
          <w:sz w:val="24"/>
        </w:rPr>
        <w:t>3) Na podsúvahových účtoch neeviduje Spoločnosť žiadne významné položky ku koncu bežného účtovného obdobia.</w:t>
      </w:r>
    </w:p>
    <w:p w14:paraId="7975AF3C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3D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</w:t>
      </w:r>
    </w:p>
    <w:p w14:paraId="7975AF3E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Udalosti, ktoré nastali po dni, ku ktorému sa zostavuje účtovná závierka</w:t>
      </w:r>
    </w:p>
    <w:p w14:paraId="7975AF3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0" w14:textId="04278A4C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 31. decembri 2021</w:t>
      </w:r>
      <w:r>
        <w:rPr>
          <w:rFonts w:ascii="Times New Roman" w:eastAsia="Times New Roman" w:hAnsi="Times New Roman" w:cs="Times New Roman"/>
          <w:sz w:val="24"/>
        </w:rPr>
        <w:t xml:space="preserve"> nenastali také udalosti, ktoré majú významný </w:t>
      </w:r>
      <w:r>
        <w:rPr>
          <w:rFonts w:ascii="Times New Roman" w:eastAsia="Times New Roman" w:hAnsi="Times New Roman" w:cs="Times New Roman"/>
          <w:sz w:val="24"/>
        </w:rPr>
        <w:t>vplyv na verné zobrazenie skutočností uvádzaných v tejto účtovnej závierke.</w:t>
      </w:r>
    </w:p>
    <w:p w14:paraId="7975AF41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2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3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</w:t>
      </w:r>
    </w:p>
    <w:p w14:paraId="7975AF44" w14:textId="77777777" w:rsidR="00AF31AD" w:rsidRDefault="00650D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Ostatné informácie</w:t>
      </w:r>
    </w:p>
    <w:p w14:paraId="7975AF45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6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(1)  Spoločnosť nemá výlučné ani osobitné práva poskytovať služby vo verejnom záujme.</w:t>
      </w:r>
    </w:p>
    <w:p w14:paraId="7975AF47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8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(2)  Spoločnosť nie je zaradená do kategórie </w:t>
      </w:r>
      <w:r>
        <w:rPr>
          <w:rFonts w:ascii="Times New Roman" w:eastAsia="Times New Roman" w:hAnsi="Times New Roman" w:cs="Times New Roman"/>
          <w:sz w:val="24"/>
        </w:rPr>
        <w:t>priemyselnej výroby podľa osobitného predpisu s čistým obratom väčším ako 250 000 000 €.</w:t>
      </w:r>
    </w:p>
    <w:p w14:paraId="7975AF49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A" w14:textId="77777777" w:rsidR="00AF31AD" w:rsidRDefault="00650D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Spoločnosť nie je zaradená do kategórie priemyselnej výroby podľa osobitného predpisu s čistým obratom väčším ako 250 000 000 €. Preto Spoločnosť ani neeviduje fi</w:t>
      </w:r>
      <w:r>
        <w:rPr>
          <w:rFonts w:ascii="Times New Roman" w:eastAsia="Times New Roman" w:hAnsi="Times New Roman" w:cs="Times New Roman"/>
          <w:sz w:val="24"/>
        </w:rPr>
        <w:t>nančné vzťahy medzi orgánom verejnej moci a Spoločnosťou.</w:t>
      </w:r>
    </w:p>
    <w:p w14:paraId="7975AF4B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C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D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E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4F" w14:textId="77777777" w:rsidR="00AF31AD" w:rsidRDefault="00AF31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75AF50" w14:textId="77777777" w:rsidR="00AF31AD" w:rsidRDefault="00AF31AD">
      <w:pPr>
        <w:spacing w:after="0" w:line="240" w:lineRule="auto"/>
      </w:pPr>
    </w:p>
    <w:sectPr w:rsidR="00AF31AD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1AD"/>
    <w:rsid w:val="00650D4E"/>
    <w:rsid w:val="00AF3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5AE65"/>
  <w15:docId w15:val="{7E8841BD-3CFC-42C9-93AE-E21EF709C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1895</Words>
  <Characters>10805</Characters>
  <Application>Microsoft Office Word</Application>
  <DocSecurity>0</DocSecurity>
  <Lines>90</Lines>
  <Paragraphs>25</Paragraphs>
  <ScaleCrop>false</ScaleCrop>
  <Company/>
  <LinksUpToDate>false</LinksUpToDate>
  <CharactersWithSpaces>12675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lenka1</dc:creator>
  <dc:description/>
  <cp:lastModifiedBy>Lenka Macova</cp:lastModifiedBy>
  <cp:revision>2</cp:revision>
  <dcterms:created xsi:type="dcterms:W3CDTF">2022-06-30T17:00:00Z</dcterms:created>
  <dcterms:modified xsi:type="dcterms:W3CDTF">2022-06-30T17:00:00Z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