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  <w:t xml:space="preserve">POZNÁMKY 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  <w:t>k účtovnej závierke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  <w:t>k 31.12.2021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36"/>
          <w:szCs w:val="36"/>
        </w:rPr>
      </w:pPr>
      <w:r>
        <w:rPr>
          <w:rFonts w:cs="Times New Roman" w:ascii="Times New Roman" w:hAnsi="Times New Roman"/>
          <w:b/>
          <w:i/>
          <w:sz w:val="36"/>
          <w:szCs w:val="36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Názov účtovnej jednotky /obchodné meno/: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  <w:t>NEZO, s.r.o.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  <w:t>Námestie L.A. Aranya 457/902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  <w:t>IČO:47596546  DIČ:2023986536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  <w:t>PRÍLOHA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i/>
          <w:sz w:val="24"/>
          <w:szCs w:val="24"/>
        </w:rPr>
        <w:t>k ročnej účtovnej závierke podľa Opatrenie MF SR č. 4455/2003-92 zo dňa 23.3.2011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k 31.12.2021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1.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VŠEOBECNÉ ÚDAJE</w:t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1/</w:t>
        <w:tab/>
        <w:t xml:space="preserve"> Názov a sídlo účtovnej jednotky:</w:t>
      </w:r>
    </w:p>
    <w:p>
      <w:pPr>
        <w:pStyle w:val="Normal"/>
        <w:numPr>
          <w:ilvl w:val="0"/>
          <w:numId w:val="0"/>
        </w:numPr>
        <w:outlineLvl w:val="0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ab/>
        <w:t xml:space="preserve">NEZO, s.r.o., Námestie L. A. Aranya 457/902, Kolíňany 951 78 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spoločnosť bola založená: spoločenskou zmluvou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zápis do obchodného registra: 18.12.2013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IČO: 47596546</w:t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2/</w:t>
        <w:tab/>
        <w:t>Hlavné činnosti spoločnosti podľa výpisu z obchodného registra:</w:t>
      </w:r>
    </w:p>
    <w:p>
      <w:pPr>
        <w:pStyle w:val="Normal"/>
        <w:numPr>
          <w:ilvl w:val="0"/>
          <w:numId w:val="1"/>
        </w:numPr>
        <w:rPr/>
      </w:pPr>
      <w:r>
        <w:rPr/>
        <w:t>Uskutočňovanie stavieb a ich zmien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Prípravné práce k realizácii stavby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Dokončovacie stavebné práce pri realizácii exteriérov a interiérov 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Stavebné cenárstvo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Prenájom hnuteľných vecí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Nákladná cestná doprava vykonávaná vozidlami s celkovou hmotnosťou do 3,5 t vrátane prípojného vozidla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Kúpa tovaru na účely jeho predaja konečnému spotrebiteľovi (maloobchod) alebo iným prevádzkovateľom živnosti (veľkoobchod)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Sprostredovateľská činnosť v oblasti služieb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Sprostredovateľská činnosť v oblasti obchodu</w:t>
      </w:r>
    </w:p>
    <w:p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Sprostredkovateľská činnosť v oblasti výroby</w:t>
      </w:r>
    </w:p>
    <w:p>
      <w:pPr>
        <w:pStyle w:val="Odsekzoznamu1"/>
        <w:ind w:left="720" w:hanging="360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Odsekzoznamu1"/>
        <w:ind w:left="720" w:hanging="360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Odsekzoznamu1"/>
        <w:ind w:left="720" w:hanging="360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3/</w:t>
        <w:tab/>
        <w:t>Štatutárny orgán: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Konateľ:</w:t>
        <w:tab/>
        <w:t>Ing. Zoltán Németh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ab/>
        <w:t>Námestie L. A. Aranya 457/902,95178 Kolíňany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ab/>
        <w:t>vznik funkcie: 18.12.2013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4/</w:t>
        <w:tab/>
        <w:t>Štruktúra spoločníkov s uvedením výšky ich podielu na základnom imaní spoločnosti: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Základné imanie spoločnosti predstavuje   5000 EUR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Spoločníci:</w:t>
        <w:tab/>
        <w:t>Ing. Zoltán Németh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Podiel jednotlivých spoločníkov na základnom imaní spoločnosti predstavuje: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                                    </w:t>
      </w:r>
      <w:r>
        <w:rPr>
          <w:rFonts w:cs="Times New Roman" w:ascii="Times New Roman" w:hAnsi="Times New Roman"/>
          <w:i/>
          <w:sz w:val="24"/>
          <w:szCs w:val="24"/>
        </w:rPr>
        <w:t>Ing. Zoltán Németh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ab/>
        <w:t>Námestie L. A. Aranya 457/902,95178 Kolíňany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                                   </w:t>
      </w:r>
      <w:r>
        <w:rPr>
          <w:rFonts w:cs="Times New Roman" w:ascii="Times New Roman" w:hAnsi="Times New Roman"/>
          <w:i/>
          <w:sz w:val="24"/>
          <w:szCs w:val="24"/>
        </w:rPr>
        <w:t>Výška vkladu: 5000 EUR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Konsolidovanú účtovnú uzávierku účtovná jednotka nezostavuje.</w:t>
      </w:r>
    </w:p>
    <w:p>
      <w:pPr>
        <w:pStyle w:val="Normal"/>
        <w:ind w:left="705" w:hanging="705"/>
        <w:rPr/>
      </w:pPr>
      <w:r>
        <w:rPr/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6/</w:t>
        <w:tab/>
        <w:t>Názov, sídlo a právna forma podnikov, v ktorých je spoločnosť neobmedzeným ručiacim spoločníkom: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v účtovnej jednotke nie je</w:t>
      </w:r>
    </w:p>
    <w:p>
      <w:pPr>
        <w:pStyle w:val="Normal"/>
        <w:ind w:left="705" w:hanging="705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7/</w:t>
        <w:tab/>
        <w:t>Priemerný počet pracovníkov počas účtovného obdobia: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Spoločnosť počas účtovného obdobia  mala 0 zamestnanca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8/</w:t>
        <w:tab/>
        <w:t>Dôvod pre zostavenie účtovnej závierky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31.12.2021 bola zostavená za predpokladu nepretržitého pokračovania jej činnosti.</w:t>
      </w:r>
    </w:p>
    <w:p>
      <w:pPr>
        <w:pStyle w:val="Normal"/>
        <w:ind w:left="705" w:hanging="705"/>
        <w:jc w:val="center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2.</w:t>
      </w:r>
    </w:p>
    <w:p>
      <w:pPr>
        <w:pStyle w:val="Normal"/>
        <w:ind w:left="705" w:hanging="705"/>
        <w:jc w:val="center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INFORMÁCIE O ÚČTOVNÝCH METÓDACH A VŠEOBECNÝCH ÚČTOVNÝCH ZÁSADÁCH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1/</w:t>
        <w:tab/>
        <w:t>Spôsoby ocenenia zložiek majetku: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  <w:t>Nehmotný investičný majetok nakupovaný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oceňuje nehmotný investičný majetok obstarávacou cenou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v roku 2021 nevytvárala majetok vlastnou činnosťou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Hmotný investičný majetok nakupovaný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HIM nakupovaný sa oceňuje v nákupnej cene.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v roku 2021 nevytvárala majetok vlastnou činnosťou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Ocenenie finančných investícií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nemá v majetku finančné investície.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Zásady oceňovania nakupovaných zásob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zásoby tovaru oceňuje UJ obstarávacími cenami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Oceňovanie zásob vytvorených vlastnou výrobou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podnik nevytváral zásoby vlastnou výrobou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Pohľadávky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pohľadávky sú oceňované skutočnou hodnotou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Finančný majetok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finančný majetok v sa oceňuje nominálnou hodnotou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Prechodné účty aktív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v súčasnej dobe spoločnosť neúčtovala na účte náklady budúcich období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Rezervy</w:t>
        <w:tab/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rezervy a kurzové straty sú oceňované skutočnou hodnotou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Záväzky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záväzky sú oceňované skutočnou hodnotou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Prechodné účty pasív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v súčasnej dobe spoločnosť neúčtovala na účte dohadné účty pasívne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Spôsob oceňovania darovaného majetku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spoločnosť nemá darovaný majetok</w:t>
      </w:r>
    </w:p>
    <w:p>
      <w:pPr>
        <w:pStyle w:val="Normal"/>
        <w:numPr>
          <w:ilvl w:val="0"/>
          <w:numId w:val="0"/>
        </w:numPr>
        <w:ind w:left="705" w:hanging="705"/>
        <w:outlineLvl w:val="0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Vedľajšie náklady súvisiace s obstaraním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cs="Times New Roman" w:ascii="Times New Roman" w:hAnsi="Times New Roman"/>
          <w:i/>
          <w:sz w:val="24"/>
          <w:szCs w:val="24"/>
        </w:rPr>
        <w:t xml:space="preserve"> spoločnosť v roku 2021 nenadobudla dlhodobý hmotný majetok 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ab/>
        <w:tab/>
        <w:tab/>
        <w:tab/>
        <w:tab/>
        <w:tab/>
        <w:tab/>
      </w:r>
    </w:p>
    <w:p>
      <w:pPr>
        <w:pStyle w:val="Normal"/>
        <w:ind w:left="705" w:hanging="705"/>
        <w:jc w:val="center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3.</w:t>
      </w:r>
      <w:r>
        <w:rPr>
          <w:rFonts w:cs="Times New Roman" w:ascii="Times New Roman" w:hAnsi="Times New Roman"/>
          <w:i/>
          <w:sz w:val="24"/>
          <w:szCs w:val="24"/>
        </w:rPr>
        <w:t>DOPLŇUJÚCE INFORMÁCIE K VÝKAZOM ÚČTOVNEJ ZÁVIERKY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1/</w:t>
        <w:tab/>
        <w:t>Informácie o pohybe investičného majetku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2/</w:t>
        <w:tab/>
        <w:t>Zásoby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spoločnosť v r. 2021 neúčtovala nákup materiálu a tovaru v obstarávacej cene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3/</w:t>
        <w:tab/>
        <w:t>Pohľadávky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nemá pohľadávky kryté záložným právom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účtovná jednotka k 31.12.2021 neeviduje pohľadávky z obchodného styku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4/</w:t>
        <w:tab/>
        <w:t>Údaje o finančnom majetku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má finančný majetok v nasledujúcom členení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i/>
          <w:sz w:val="24"/>
          <w:szCs w:val="24"/>
        </w:rPr>
        <w:tab/>
        <w:t>bankové účty v hodnote:</w:t>
        <w:tab/>
      </w:r>
      <w:r>
        <w:rPr>
          <w:rFonts w:cs="Times New Roman" w:ascii="Times New Roman" w:hAnsi="Times New Roman"/>
          <w:i/>
          <w:sz w:val="24"/>
          <w:szCs w:val="24"/>
        </w:rPr>
        <w:t>00</w:t>
      </w:r>
      <w:r>
        <w:rPr>
          <w:rFonts w:cs="Times New Roman" w:ascii="Times New Roman" w:hAnsi="Times New Roman"/>
          <w:i/>
          <w:sz w:val="24"/>
          <w:szCs w:val="24"/>
        </w:rPr>
        <w:t>,</w:t>
      </w:r>
      <w:r>
        <w:rPr>
          <w:rFonts w:cs="Times New Roman" w:ascii="Times New Roman" w:hAnsi="Times New Roman"/>
          <w:i/>
          <w:sz w:val="24"/>
          <w:szCs w:val="24"/>
        </w:rPr>
        <w:t>00</w:t>
      </w:r>
      <w:r>
        <w:rPr>
          <w:rFonts w:cs="Times New Roman" w:ascii="Times New Roman" w:hAnsi="Times New Roman"/>
          <w:i/>
          <w:sz w:val="24"/>
          <w:szCs w:val="24"/>
        </w:rPr>
        <w:t xml:space="preserve"> EUR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i/>
          <w:sz w:val="24"/>
          <w:szCs w:val="24"/>
        </w:rPr>
        <w:tab/>
        <w:t>hotovosť v hodnote:</w:t>
        <w:tab/>
        <w:t xml:space="preserve">       </w:t>
      </w:r>
      <w:r>
        <w:rPr>
          <w:rFonts w:cs="Times New Roman" w:ascii="Times New Roman" w:hAnsi="Times New Roman"/>
          <w:i/>
          <w:sz w:val="24"/>
          <w:szCs w:val="24"/>
        </w:rPr>
        <w:t>13006</w:t>
      </w:r>
      <w:r>
        <w:rPr>
          <w:rFonts w:cs="Times New Roman" w:ascii="Times New Roman" w:hAnsi="Times New Roman"/>
          <w:i/>
          <w:sz w:val="24"/>
          <w:szCs w:val="24"/>
        </w:rPr>
        <w:t>,</w:t>
      </w:r>
      <w:r>
        <w:rPr>
          <w:rFonts w:cs="Times New Roman" w:ascii="Times New Roman" w:hAnsi="Times New Roman"/>
          <w:i/>
          <w:sz w:val="24"/>
          <w:szCs w:val="24"/>
        </w:rPr>
        <w:t>00</w:t>
      </w:r>
      <w:r>
        <w:rPr>
          <w:rFonts w:cs="Times New Roman" w:ascii="Times New Roman" w:hAnsi="Times New Roman"/>
          <w:i/>
          <w:sz w:val="24"/>
          <w:szCs w:val="24"/>
        </w:rPr>
        <w:t xml:space="preserve"> EUR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5/</w:t>
        <w:tab/>
        <w:t>Prechodné účty aktív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firma v roku 2021 neúčtovala na prechodných účtoch aktív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6/</w:t>
        <w:tab/>
        <w:t>Vlastné imanie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základné imanie vo výške 5000  EUR tvorí vklad spoločníkov. V roku 2021 nenastali žiadne zmeny týkajúce sa vlastného imania. Rozdelenie hospodárskeho výsledku sa navrhuje a schvaľuje na valnom zhromaždení podľa zákona o dani z príjmov. Účtovná jednotka nemá nezapísané základné imanie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7/</w:t>
        <w:tab/>
        <w:t>Rezervy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zákonný rezervný fond nebol doposiaľ tvorený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8/</w:t>
        <w:tab/>
        <w:t>Záväzky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celkové záväzky predstavujú sumu 0 EUR z toho: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</w:r>
    </w:p>
    <w:tbl>
      <w:tblPr>
        <w:tblW w:w="5362" w:type="dxa"/>
        <w:jc w:val="left"/>
        <w:tblInd w:w="1164" w:type="dxa"/>
        <w:tblCellMar>
          <w:top w:w="0" w:type="dxa"/>
          <w:left w:w="1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3712"/>
        <w:gridCol w:w="1649"/>
      </w:tblGrid>
      <w:tr>
        <w:trPr>
          <w:trHeight w:val="491" w:hRule="atLeast"/>
        </w:trPr>
        <w:tc>
          <w:tcPr>
            <w:tcW w:w="3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  <w:tr>
        <w:trPr>
          <w:trHeight w:val="491" w:hRule="atLeast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jc w:val="center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  <w:tr>
        <w:trPr>
          <w:trHeight w:val="491" w:hRule="atLeast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jc w:val="center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  <w:tr>
        <w:trPr>
          <w:trHeight w:val="491" w:hRule="atLeast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jc w:val="center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  <w:tr>
        <w:trPr>
          <w:trHeight w:val="491" w:hRule="atLeast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jc w:val="center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  <w:tr>
        <w:trPr>
          <w:trHeight w:val="491" w:hRule="atLeast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fill="auto" w:val="clear"/>
          </w:tcPr>
          <w:p>
            <w:pPr>
              <w:pStyle w:val="Obsahtabuky"/>
              <w:suppressLineNumbers/>
              <w:spacing w:before="0" w:after="200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Obsahtabuky"/>
              <w:spacing w:before="0" w:after="200"/>
              <w:jc w:val="center"/>
              <w:rPr>
                <w:rFonts w:ascii="Times New Roman" w:hAnsi="Times New Roman"/>
                <w:i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</w:r>
          </w:p>
        </w:tc>
      </w:tr>
    </w:tbl>
    <w:p>
      <w:pPr>
        <w:pStyle w:val="Normal"/>
        <w:ind w:left="705" w:hanging="705"/>
        <w:rPr/>
      </w:pPr>
      <w:r>
        <w:rPr/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9/</w:t>
        <w:tab/>
        <w:t>Sociálny  fond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 xml:space="preserve">účtovná jednotka v roku 2021 sa ne tvoria sociálny fond, 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>sociálny fond k 31.12.2021 predstavuje výšku 0,00Eur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10/</w:t>
        <w:tab/>
        <w:t>Údaje o dlhopisoch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nemá dlhopisy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11/</w:t>
        <w:tab/>
        <w:t>Bankové úvery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12/</w:t>
        <w:tab/>
        <w:t>Prechodné účty pasív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účtovná jednotka neeviduje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13/</w:t>
        <w:tab/>
        <w:t>Tržby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tržby za tovar a služby predstavujú: 0,00EUR</w:t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14/</w:t>
        <w:tab/>
        <w:t>Nákladové a výnosové účty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 xml:space="preserve">súčet prevádzkových, finančných výnosov:          </w:t>
      </w:r>
      <w:r>
        <w:rPr>
          <w:rFonts w:cs="Times New Roman" w:ascii="Times New Roman" w:hAnsi="Times New Roman"/>
          <w:i/>
          <w:sz w:val="24"/>
          <w:szCs w:val="24"/>
        </w:rPr>
        <w:t>59097,50</w:t>
      </w:r>
      <w:r>
        <w:rPr>
          <w:rFonts w:cs="Times New Roman" w:ascii="Times New Roman" w:hAnsi="Times New Roman"/>
          <w:i/>
          <w:sz w:val="24"/>
          <w:szCs w:val="24"/>
        </w:rPr>
        <w:t xml:space="preserve"> EUR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i/>
          <w:sz w:val="24"/>
          <w:szCs w:val="24"/>
        </w:rPr>
        <w:tab/>
        <w:t xml:space="preserve">súčet prevádzkových, finančných nákladov          </w:t>
      </w:r>
      <w:r>
        <w:rPr>
          <w:rFonts w:cs="Times New Roman" w:ascii="Times New Roman" w:hAnsi="Times New Roman"/>
          <w:i/>
          <w:sz w:val="24"/>
          <w:szCs w:val="24"/>
        </w:rPr>
        <w:t>58062,50</w:t>
      </w:r>
      <w:r>
        <w:rPr>
          <w:rFonts w:cs="Times New Roman" w:ascii="Times New Roman" w:hAnsi="Times New Roman"/>
          <w:i/>
          <w:sz w:val="24"/>
          <w:szCs w:val="24"/>
        </w:rPr>
        <w:t>EUR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mimoriadne náklady účt. jednotka neúčtovala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mimoriadne výnosy účt. jednotka neúčtovala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prenajatý majetok nebol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údaje o výskume a vývoji – nie sú</w:t>
      </w:r>
    </w:p>
    <w:p>
      <w:pPr>
        <w:pStyle w:val="Normal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>15/</w:t>
        <w:tab/>
        <w:t>Hospodársky výsledok, výška dane preddavky na daň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b/>
          <w:bCs/>
          <w:i/>
          <w:sz w:val="24"/>
          <w:szCs w:val="24"/>
        </w:rPr>
        <w:tab/>
      </w:r>
      <w:r>
        <w:rPr>
          <w:rFonts w:cs="Times New Roman" w:ascii="Times New Roman" w:hAnsi="Times New Roman"/>
          <w:i/>
          <w:sz w:val="24"/>
          <w:szCs w:val="24"/>
        </w:rPr>
        <w:t>výsledok hospodárenia:</w:t>
        <w:tab/>
      </w:r>
      <w:r>
        <w:rPr>
          <w:rFonts w:cs="Times New Roman" w:ascii="Times New Roman" w:hAnsi="Times New Roman"/>
          <w:i/>
          <w:sz w:val="24"/>
          <w:szCs w:val="24"/>
        </w:rPr>
        <w:t>1035</w:t>
      </w:r>
      <w:r>
        <w:rPr>
          <w:rFonts w:cs="Times New Roman" w:ascii="Times New Roman" w:hAnsi="Times New Roman"/>
          <w:i/>
          <w:sz w:val="24"/>
          <w:szCs w:val="24"/>
        </w:rPr>
        <w:t xml:space="preserve"> EUR</w:t>
      </w:r>
    </w:p>
    <w:p>
      <w:pPr>
        <w:pStyle w:val="Normal"/>
        <w:ind w:left="705" w:hanging="705"/>
        <w:rPr/>
      </w:pPr>
      <w:r>
        <w:rPr>
          <w:rFonts w:cs="Times New Roman" w:ascii="Times New Roman" w:hAnsi="Times New Roman"/>
          <w:i/>
          <w:sz w:val="24"/>
          <w:szCs w:val="24"/>
        </w:rPr>
        <w:tab/>
        <w:t>daňová povinnosť:</w:t>
        <w:tab/>
        <w:tab/>
      </w:r>
      <w:r>
        <w:rPr>
          <w:rFonts w:cs="Times New Roman" w:ascii="Times New Roman" w:hAnsi="Times New Roman"/>
          <w:i/>
          <w:sz w:val="24"/>
          <w:szCs w:val="24"/>
        </w:rPr>
        <w:t>217</w:t>
      </w:r>
      <w:r>
        <w:rPr>
          <w:rFonts w:cs="Times New Roman" w:ascii="Times New Roman" w:hAnsi="Times New Roman"/>
          <w:i/>
          <w:sz w:val="24"/>
          <w:szCs w:val="24"/>
        </w:rPr>
        <w:t xml:space="preserve">  EUR</w:t>
      </w:r>
    </w:p>
    <w:p>
      <w:pPr>
        <w:pStyle w:val="Normal"/>
        <w:ind w:left="705" w:hanging="705"/>
        <w:rPr>
          <w:b/>
          <w:b/>
          <w:bCs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čistý zisk:</w:t>
        <w:tab/>
        <w:tab/>
        <w:t xml:space="preserve">        </w:t>
      </w:r>
      <w:r>
        <w:rPr>
          <w:rFonts w:cs="Times New Roman" w:ascii="Times New Roman" w:hAnsi="Times New Roman"/>
          <w:i/>
          <w:sz w:val="24"/>
          <w:szCs w:val="24"/>
        </w:rPr>
        <w:t xml:space="preserve">818 </w:t>
      </w:r>
      <w:r>
        <w:rPr>
          <w:rFonts w:cs="Times New Roman" w:ascii="Times New Roman" w:hAnsi="Times New Roman"/>
          <w:i/>
          <w:sz w:val="24"/>
          <w:szCs w:val="24"/>
        </w:rPr>
        <w:t>EUR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>v Nitre dňa 29. júna 2021</w:t>
      </w:r>
      <w:bookmarkStart w:id="0" w:name="_GoBack"/>
      <w:bookmarkEnd w:id="0"/>
    </w:p>
    <w:p>
      <w:pPr>
        <w:pStyle w:val="Normal"/>
        <w:ind w:left="705" w:hanging="705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705" w:hanging="705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705" w:hanging="705"/>
        <w:rPr>
          <w:rFonts w:ascii="Times New Roman" w:hAnsi="Times New Roman" w:cs="Times New Roman"/>
          <w:b/>
          <w:b/>
          <w:bCs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ab/>
        <w:tab/>
        <w:tab/>
        <w:tab/>
        <w:tab/>
        <w:tab/>
        <w:tab/>
        <w:tab/>
      </w:r>
      <w:r>
        <w:rPr>
          <w:rFonts w:cs="Times New Roman" w:ascii="Times New Roman" w:hAnsi="Times New Roman"/>
          <w:b/>
          <w:bCs/>
          <w:i/>
          <w:sz w:val="24"/>
          <w:szCs w:val="24"/>
        </w:rPr>
        <w:t>..............................................................</w:t>
      </w:r>
    </w:p>
    <w:p>
      <w:pPr>
        <w:pStyle w:val="Normal"/>
        <w:ind w:left="705" w:hanging="705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ab/>
        <w:tab/>
        <w:tab/>
        <w:tab/>
        <w:tab/>
        <w:tab/>
        <w:tab/>
        <w:t xml:space="preserve"> </w:t>
        <w:tab/>
      </w:r>
      <w:r>
        <w:rPr>
          <w:rFonts w:cs="Times New Roman" w:ascii="Times New Roman" w:hAnsi="Times New Roman"/>
          <w:i/>
          <w:sz w:val="24"/>
          <w:szCs w:val="24"/>
        </w:rPr>
        <w:t>pečiatka a podpis konateľa spoločnosti</w:t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i/>
          <w:i/>
          <w:sz w:val="40"/>
          <w:szCs w:val="40"/>
        </w:rPr>
      </w:pPr>
      <w:r>
        <w:rPr>
          <w:rFonts w:cs="Times New Roman" w:ascii="Times New Roman" w:hAnsi="Times New Roman"/>
          <w:b/>
          <w:i/>
          <w:sz w:val="40"/>
          <w:szCs w:val="40"/>
        </w:rPr>
      </w:r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134" w:footer="0" w:bottom="1134" w:gutter="0"/>
      <w:pgNumType w:fmt="decimal"/>
      <w:formProt w:val="false"/>
      <w:textDirection w:val="lrTb"/>
      <w:docGrid w:type="default" w:linePitch="24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rFonts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compat>
    <w:doNotExpandShiftReturn/>
  </w:compat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5fdd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Lucida Sans Unicode" w:cs="font311"/>
      <w:color w:val="auto"/>
      <w:kern w:val="2"/>
      <w:sz w:val="22"/>
      <w:szCs w:val="22"/>
      <w:lang w:eastAsia="ar-SA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6a5fdd"/>
    <w:rPr>
      <w:rFonts w:ascii="Times New Roman" w:hAnsi="Times New Roman" w:cs="Calibri"/>
    </w:rPr>
  </w:style>
  <w:style w:type="character" w:styleId="WW8Num1z1" w:customStyle="1">
    <w:name w:val="WW8Num1z1"/>
    <w:qFormat/>
    <w:rsid w:val="006a5fdd"/>
    <w:rPr>
      <w:rFonts w:ascii="Courier New" w:hAnsi="Courier New" w:cs="Courier New"/>
    </w:rPr>
  </w:style>
  <w:style w:type="character" w:styleId="WW8Num1z2" w:customStyle="1">
    <w:name w:val="WW8Num1z2"/>
    <w:qFormat/>
    <w:rsid w:val="006a5fdd"/>
    <w:rPr>
      <w:rFonts w:ascii="Wingdings" w:hAnsi="Wingdings"/>
    </w:rPr>
  </w:style>
  <w:style w:type="character" w:styleId="WW8Num1z3" w:customStyle="1">
    <w:name w:val="WW8Num1z3"/>
    <w:qFormat/>
    <w:rsid w:val="006a5fdd"/>
    <w:rPr>
      <w:rFonts w:ascii="Symbol" w:hAnsi="Symbol"/>
    </w:rPr>
  </w:style>
  <w:style w:type="character" w:styleId="AbsatzStandardschriftart" w:customStyle="1">
    <w:name w:val="Absatz-Standardschriftart"/>
    <w:qFormat/>
    <w:rsid w:val="006a5fdd"/>
    <w:rPr/>
  </w:style>
  <w:style w:type="character" w:styleId="WWAbsatzStandardschriftart" w:customStyle="1">
    <w:name w:val="WW-Absatz-Standardschriftart"/>
    <w:qFormat/>
    <w:rsid w:val="006a5fdd"/>
    <w:rPr/>
  </w:style>
  <w:style w:type="character" w:styleId="WWAbsatzStandardschriftart1" w:customStyle="1">
    <w:name w:val="WW-Absatz-Standardschriftart1"/>
    <w:qFormat/>
    <w:rsid w:val="006a5fdd"/>
    <w:rPr/>
  </w:style>
  <w:style w:type="character" w:styleId="WWAbsatzStandardschriftart11" w:customStyle="1">
    <w:name w:val="WW-Absatz-Standardschriftart11"/>
    <w:qFormat/>
    <w:rsid w:val="006a5fdd"/>
    <w:rPr/>
  </w:style>
  <w:style w:type="character" w:styleId="Predvolenpsmoodseku1" w:customStyle="1">
    <w:name w:val="Predvolené písmo odseku1"/>
    <w:qFormat/>
    <w:rsid w:val="006a5fdd"/>
    <w:rPr/>
  </w:style>
  <w:style w:type="character" w:styleId="ListLabel1" w:customStyle="1">
    <w:name w:val="ListLabel 1"/>
    <w:qFormat/>
    <w:rsid w:val="006a5fdd"/>
    <w:rPr>
      <w:rFonts w:cs="Calibri"/>
    </w:rPr>
  </w:style>
  <w:style w:type="character" w:styleId="ListLabel2" w:customStyle="1">
    <w:name w:val="ListLabel 2"/>
    <w:qFormat/>
    <w:rsid w:val="006a5fdd"/>
    <w:rPr>
      <w:rFonts w:cs="Courier New"/>
    </w:rPr>
  </w:style>
  <w:style w:type="character" w:styleId="ListLabel3">
    <w:name w:val="ListLabel 3"/>
    <w:qFormat/>
    <w:rPr>
      <w:rFonts w:ascii="Times New Roman" w:hAnsi="Times New Roman" w:cs="Calibri"/>
      <w:sz w:val="24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paragraph" w:styleId="Nadpis" w:customStyle="1">
    <w:name w:val="Nadpis"/>
    <w:basedOn w:val="Normal"/>
    <w:next w:val="Telotextu"/>
    <w:qFormat/>
    <w:rsid w:val="006a5fdd"/>
    <w:pPr>
      <w:keepNext w:val="true"/>
      <w:spacing w:before="240" w:after="120"/>
    </w:pPr>
    <w:rPr>
      <w:rFonts w:ascii="Arial" w:hAnsi="Arial" w:cs="Tahoma"/>
      <w:sz w:val="28"/>
      <w:szCs w:val="28"/>
    </w:rPr>
  </w:style>
  <w:style w:type="paragraph" w:styleId="Telotextu">
    <w:name w:val="Body Text"/>
    <w:basedOn w:val="Normal"/>
    <w:rsid w:val="006a5fdd"/>
    <w:pPr>
      <w:spacing w:before="0" w:after="120"/>
    </w:pPr>
    <w:rPr/>
  </w:style>
  <w:style w:type="paragraph" w:styleId="Zoznam">
    <w:name w:val="List"/>
    <w:basedOn w:val="Telotextu"/>
    <w:rsid w:val="006a5fdd"/>
    <w:pPr/>
    <w:rPr>
      <w:rFonts w:cs="Tahom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rsid w:val="006a5fdd"/>
    <w:pPr>
      <w:suppressLineNumbers/>
    </w:pPr>
    <w:rPr>
      <w:rFonts w:cs="Tahoma"/>
    </w:rPr>
  </w:style>
  <w:style w:type="paragraph" w:styleId="Popisok" w:customStyle="1">
    <w:name w:val="Popisok"/>
    <w:basedOn w:val="Normal"/>
    <w:qFormat/>
    <w:rsid w:val="006a5fd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Odsekzoznamu1" w:customStyle="1">
    <w:name w:val="Odsek zoznamu1"/>
    <w:qFormat/>
    <w:rsid w:val="006a5fdd"/>
    <w:pPr>
      <w:widowControl w:val="false"/>
      <w:suppressAutoHyphens w:val="true"/>
      <w:bidi w:val="0"/>
      <w:spacing w:lineRule="auto" w:line="276" w:before="0" w:after="200"/>
      <w:ind w:left="720" w:hanging="0"/>
      <w:jc w:val="left"/>
    </w:pPr>
    <w:rPr>
      <w:rFonts w:ascii="Calibri" w:hAnsi="Calibri" w:eastAsia="Lucida Sans Unicode" w:cs="font311"/>
      <w:color w:val="auto"/>
      <w:kern w:val="2"/>
      <w:sz w:val="22"/>
      <w:szCs w:val="22"/>
      <w:lang w:eastAsia="ar-SA" w:val="sk-SK" w:bidi="ar-SA"/>
    </w:rPr>
  </w:style>
  <w:style w:type="paragraph" w:styleId="Obsahtabuky" w:customStyle="1">
    <w:name w:val="Obsah tabuľky"/>
    <w:basedOn w:val="Normal"/>
    <w:qFormat/>
    <w:rsid w:val="006a5fdd"/>
    <w:pPr>
      <w:suppressLineNumbers/>
    </w:pPr>
    <w:rPr/>
  </w:style>
  <w:style w:type="paragraph" w:styleId="DocumentMap">
    <w:name w:val="Document Map"/>
    <w:basedOn w:val="Normal"/>
    <w:semiHidden/>
    <w:qFormat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014C0-89FE-4176-8354-E2FBC2B1F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Trio_Office/6.2.8.2$Windows_x86 LibreOffice_project/</Application>
  <Pages>7</Pages>
  <Words>864</Words>
  <Characters>5532</Characters>
  <CharactersWithSpaces>6482</CharactersWithSpaces>
  <Paragraphs>135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2022-06-29T12:53:00Z</dcterms:created>
  <dc:creator>HP</dc:creator>
  <dc:description/>
  <dc:language>sk-SK</dc:language>
  <cp:lastModifiedBy/>
  <cp:lastPrinted>2017-03-01T08:46:00Z</cp:lastPrinted>
  <dcterms:modified xsi:type="dcterms:W3CDTF">2022-06-30T18:32:26Z</dcterms:modified>
  <cp:revision>3</cp:revision>
  <dc:subject/>
  <dc:title>POZNÁMKY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