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 w:cs="Times New Roman"/>
          <w:b/>
          <w:b/>
          <w:i/>
          <w:i/>
          <w:sz w:val="36"/>
          <w:szCs w:val="36"/>
        </w:rPr>
      </w:pPr>
      <w:r>
        <w:rPr>
          <w:rFonts w:cs="Times New Roman" w:ascii="Times New Roman" w:hAnsi="Times New Roman"/>
          <w:b/>
          <w:i/>
          <w:sz w:val="36"/>
          <w:szCs w:val="36"/>
        </w:rPr>
        <w:t xml:space="preserve">POZNÁMKY </w:t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 w:cs="Times New Roman"/>
          <w:b/>
          <w:b/>
          <w:i/>
          <w:i/>
          <w:sz w:val="36"/>
          <w:szCs w:val="36"/>
        </w:rPr>
      </w:pPr>
      <w:r>
        <w:rPr>
          <w:rFonts w:cs="Times New Roman" w:ascii="Times New Roman" w:hAnsi="Times New Roman"/>
          <w:b/>
          <w:i/>
          <w:sz w:val="36"/>
          <w:szCs w:val="36"/>
        </w:rPr>
        <w:t>k účtovnej závierke</w:t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 w:cs="Times New Roman"/>
          <w:b/>
          <w:b/>
          <w:i/>
          <w:i/>
          <w:sz w:val="36"/>
          <w:szCs w:val="36"/>
        </w:rPr>
      </w:pPr>
      <w:r>
        <w:rPr>
          <w:rFonts w:cs="Times New Roman" w:ascii="Times New Roman" w:hAnsi="Times New Roman"/>
          <w:b/>
          <w:i/>
          <w:sz w:val="36"/>
          <w:szCs w:val="36"/>
        </w:rPr>
        <w:t>k 31.12.2021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i/>
          <w:i/>
          <w:sz w:val="36"/>
          <w:szCs w:val="36"/>
        </w:rPr>
      </w:pPr>
      <w:r>
        <w:rPr>
          <w:rFonts w:cs="Times New Roman" w:ascii="Times New Roman" w:hAnsi="Times New Roman"/>
          <w:b/>
          <w:i/>
          <w:sz w:val="36"/>
          <w:szCs w:val="36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i/>
          <w:i/>
          <w:sz w:val="36"/>
          <w:szCs w:val="36"/>
        </w:rPr>
      </w:pPr>
      <w:r>
        <w:rPr>
          <w:rFonts w:cs="Times New Roman" w:ascii="Times New Roman" w:hAnsi="Times New Roman"/>
          <w:b/>
          <w:i/>
          <w:sz w:val="36"/>
          <w:szCs w:val="36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i/>
          <w:i/>
          <w:sz w:val="36"/>
          <w:szCs w:val="36"/>
        </w:rPr>
      </w:pPr>
      <w:r>
        <w:rPr>
          <w:rFonts w:cs="Times New Roman" w:ascii="Times New Roman" w:hAnsi="Times New Roman"/>
          <w:b/>
          <w:i/>
          <w:sz w:val="36"/>
          <w:szCs w:val="36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Názov účtovnej jednotky /obchodné meno/: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 w:cs="Times New Roman"/>
          <w:b/>
          <w:b/>
          <w:i/>
          <w:i/>
          <w:sz w:val="40"/>
          <w:szCs w:val="40"/>
        </w:rPr>
      </w:pPr>
      <w:r>
        <w:rPr>
          <w:rFonts w:cs="Times New Roman" w:ascii="Times New Roman" w:hAnsi="Times New Roman"/>
          <w:b/>
          <w:i/>
          <w:sz w:val="40"/>
          <w:szCs w:val="40"/>
        </w:rPr>
        <w:t>NEZO, s.r.o.</w:t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 w:cs="Times New Roman"/>
          <w:b/>
          <w:b/>
          <w:i/>
          <w:i/>
          <w:sz w:val="40"/>
          <w:szCs w:val="40"/>
        </w:rPr>
      </w:pPr>
      <w:r>
        <w:rPr>
          <w:rFonts w:cs="Times New Roman" w:ascii="Times New Roman" w:hAnsi="Times New Roman"/>
          <w:b/>
          <w:i/>
          <w:sz w:val="40"/>
          <w:szCs w:val="40"/>
        </w:rPr>
        <w:t>Námestie L.A. Aranya 457/902</w:t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 w:cs="Times New Roman"/>
          <w:b/>
          <w:b/>
          <w:i/>
          <w:i/>
          <w:sz w:val="40"/>
          <w:szCs w:val="40"/>
        </w:rPr>
      </w:pPr>
      <w:r>
        <w:rPr>
          <w:rFonts w:cs="Times New Roman" w:ascii="Times New Roman" w:hAnsi="Times New Roman"/>
          <w:b/>
          <w:i/>
          <w:sz w:val="40"/>
          <w:szCs w:val="40"/>
        </w:rPr>
        <w:t>IČO:47596546  DIČ:2023986536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i/>
          <w:i/>
          <w:sz w:val="40"/>
          <w:szCs w:val="40"/>
        </w:rPr>
      </w:pPr>
      <w:r>
        <w:rPr>
          <w:rFonts w:cs="Times New Roman" w:ascii="Times New Roman" w:hAnsi="Times New Roman"/>
          <w:b/>
          <w:i/>
          <w:sz w:val="40"/>
          <w:szCs w:val="40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i/>
          <w:i/>
          <w:sz w:val="40"/>
          <w:szCs w:val="40"/>
        </w:rPr>
      </w:pPr>
      <w:r>
        <w:rPr>
          <w:rFonts w:cs="Times New Roman" w:ascii="Times New Roman" w:hAnsi="Times New Roman"/>
          <w:b/>
          <w:i/>
          <w:sz w:val="40"/>
          <w:szCs w:val="40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i/>
          <w:i/>
          <w:sz w:val="40"/>
          <w:szCs w:val="40"/>
        </w:rPr>
      </w:pPr>
      <w:r>
        <w:rPr>
          <w:rFonts w:cs="Times New Roman" w:ascii="Times New Roman" w:hAnsi="Times New Roman"/>
          <w:b/>
          <w:i/>
          <w:sz w:val="40"/>
          <w:szCs w:val="40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i/>
          <w:i/>
          <w:sz w:val="40"/>
          <w:szCs w:val="40"/>
        </w:rPr>
      </w:pPr>
      <w:r>
        <w:rPr>
          <w:rFonts w:cs="Times New Roman" w:ascii="Times New Roman" w:hAnsi="Times New Roman"/>
          <w:b/>
          <w:i/>
          <w:sz w:val="40"/>
          <w:szCs w:val="40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i/>
          <w:i/>
          <w:sz w:val="40"/>
          <w:szCs w:val="40"/>
        </w:rPr>
      </w:pPr>
      <w:r>
        <w:rPr>
          <w:rFonts w:cs="Times New Roman" w:ascii="Times New Roman" w:hAnsi="Times New Roman"/>
          <w:b/>
          <w:i/>
          <w:sz w:val="40"/>
          <w:szCs w:val="40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i/>
          <w:i/>
          <w:sz w:val="40"/>
          <w:szCs w:val="40"/>
        </w:rPr>
      </w:pPr>
      <w:r>
        <w:rPr>
          <w:rFonts w:cs="Times New Roman" w:ascii="Times New Roman" w:hAnsi="Times New Roman"/>
          <w:b/>
          <w:i/>
          <w:sz w:val="40"/>
          <w:szCs w:val="40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 w:cs="Times New Roman"/>
          <w:b/>
          <w:b/>
          <w:i/>
          <w:i/>
          <w:sz w:val="40"/>
          <w:szCs w:val="40"/>
        </w:rPr>
      </w:pPr>
      <w:r>
        <w:rPr>
          <w:rFonts w:cs="Times New Roman" w:ascii="Times New Roman" w:hAnsi="Times New Roman"/>
          <w:b/>
          <w:i/>
          <w:sz w:val="40"/>
          <w:szCs w:val="40"/>
        </w:rPr>
        <w:t>PRÍLOHA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i/>
          <w:sz w:val="24"/>
          <w:szCs w:val="24"/>
        </w:rPr>
        <w:t>k ročnej účtovnej závierke podľa Opatrenie MF SR č. 4455/2003-92 zo dňa 23.3.2011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>k 31.12.2021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>1.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VŠEOBECNÉ ÚDAJE</w:t>
      </w:r>
    </w:p>
    <w:p>
      <w:pPr>
        <w:pStyle w:val="Normal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>1/</w:t>
        <w:tab/>
        <w:t xml:space="preserve"> Názov a sídlo účtovnej jednotky:</w:t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ab/>
        <w:t xml:space="preserve">NEZO, s.r.o., Námestie L. A. Aranya 457/902, Kolíňany 951 78 </w:t>
      </w:r>
    </w:p>
    <w:p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spoločnosť bola založená: spoločenskou zmluvou</w:t>
      </w:r>
    </w:p>
    <w:p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zápis do obchodného registra: 18.12.2013</w:t>
      </w:r>
    </w:p>
    <w:p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IČO: 47596546</w:t>
      </w:r>
    </w:p>
    <w:p>
      <w:pPr>
        <w:pStyle w:val="Normal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>2/</w:t>
        <w:tab/>
        <w:t>Hlavné činnosti spoločnosti podľa výpisu z obchodného registra:</w:t>
      </w:r>
    </w:p>
    <w:p>
      <w:pPr>
        <w:pStyle w:val="Normal"/>
        <w:numPr>
          <w:ilvl w:val="0"/>
          <w:numId w:val="1"/>
        </w:numPr>
        <w:rPr/>
      </w:pPr>
      <w:r>
        <w:rPr/>
        <w:t>Uskutočňovanie stavieb a ich zmien</w:t>
      </w:r>
    </w:p>
    <w:p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Prípravné práce k realizácii stavby</w:t>
      </w:r>
    </w:p>
    <w:p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 xml:space="preserve">Dokončovacie stavebné práce pri realizácii exteriérov a interiérov </w:t>
      </w:r>
    </w:p>
    <w:p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Stavebné cenárstvo</w:t>
      </w:r>
    </w:p>
    <w:p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Prenájom hnuteľných vecí</w:t>
      </w:r>
    </w:p>
    <w:p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Nákladná cestná doprava vykonávaná vozidlami s celkovou hmotnosťou do 3,5 t vrátane prípojného vozidla</w:t>
      </w:r>
    </w:p>
    <w:p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Kúpa tovaru na účely jeho predaja konečnému spotrebiteľovi (maloobchod) alebo iným prevádzkovateľom živnosti (veľkoobchod)</w:t>
      </w:r>
    </w:p>
    <w:p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Sprostredovateľská činnosť v oblasti služieb</w:t>
      </w:r>
    </w:p>
    <w:p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Sprostredovateľská činnosť v oblasti obchodu</w:t>
      </w:r>
    </w:p>
    <w:p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Sprostredkovateľská činnosť v oblasti výroby</w:t>
      </w:r>
    </w:p>
    <w:p>
      <w:pPr>
        <w:pStyle w:val="Odsekzoznamu1"/>
        <w:ind w:left="720" w:hanging="360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</w:r>
    </w:p>
    <w:p>
      <w:pPr>
        <w:pStyle w:val="Odsekzoznamu1"/>
        <w:ind w:left="720" w:hanging="360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</w:r>
    </w:p>
    <w:p>
      <w:pPr>
        <w:pStyle w:val="Odsekzoznamu1"/>
        <w:ind w:left="720" w:hanging="360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>3/</w:t>
        <w:tab/>
        <w:t>Štatutárny orgán:</w:t>
      </w:r>
    </w:p>
    <w:p>
      <w:pPr>
        <w:pStyle w:val="Normal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ab/>
      </w:r>
      <w:r>
        <w:rPr>
          <w:rFonts w:cs="Times New Roman" w:ascii="Times New Roman" w:hAnsi="Times New Roman"/>
          <w:i/>
          <w:sz w:val="24"/>
          <w:szCs w:val="24"/>
        </w:rPr>
        <w:t>Konateľ:</w:t>
        <w:tab/>
        <w:t>Ing. Zoltán Németh</w:t>
      </w:r>
    </w:p>
    <w:p>
      <w:pPr>
        <w:pStyle w:val="Normal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  <w:tab/>
        <w:tab/>
        <w:t>Námestie L. A. Aranya 457/902,95178 Kolíňany</w:t>
      </w:r>
    </w:p>
    <w:p>
      <w:pPr>
        <w:pStyle w:val="Normal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  <w:tab/>
        <w:tab/>
        <w:t>vznik funkcie: 18.12.2013</w:t>
      </w:r>
    </w:p>
    <w:p>
      <w:pPr>
        <w:pStyle w:val="Normal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>4/</w:t>
        <w:tab/>
        <w:t>Štruktúra spoločníkov s uvedením výšky ich podielu na základnom imaní spoločnosti: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ab/>
      </w:r>
      <w:r>
        <w:rPr>
          <w:rFonts w:cs="Times New Roman" w:ascii="Times New Roman" w:hAnsi="Times New Roman"/>
          <w:i/>
          <w:sz w:val="24"/>
          <w:szCs w:val="24"/>
        </w:rPr>
        <w:t>Základné imanie spoločnosti predstavuje   5000 EUR</w:t>
      </w:r>
    </w:p>
    <w:p>
      <w:pPr>
        <w:pStyle w:val="Normal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  <w:t>Spoločníci:</w:t>
        <w:tab/>
        <w:t>Ing. Zoltán Németh</w:t>
      </w:r>
    </w:p>
    <w:p>
      <w:pPr>
        <w:pStyle w:val="Normal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  <w:t>Podiel jednotlivých spoločníkov na základnom imaní spoločnosti predstavuje: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 xml:space="preserve">                                    </w:t>
      </w:r>
      <w:r>
        <w:rPr>
          <w:rFonts w:cs="Times New Roman" w:ascii="Times New Roman" w:hAnsi="Times New Roman"/>
          <w:i/>
          <w:sz w:val="24"/>
          <w:szCs w:val="24"/>
        </w:rPr>
        <w:t>Ing. Zoltán Németh</w:t>
      </w:r>
    </w:p>
    <w:p>
      <w:pPr>
        <w:pStyle w:val="Normal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  <w:tab/>
        <w:tab/>
        <w:t>Námestie L. A. Aranya 457/902,95178 Kolíňany</w:t>
      </w:r>
    </w:p>
    <w:p>
      <w:pPr>
        <w:pStyle w:val="Normal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 xml:space="preserve">                                   </w:t>
      </w:r>
      <w:r>
        <w:rPr>
          <w:rFonts w:cs="Times New Roman" w:ascii="Times New Roman" w:hAnsi="Times New Roman"/>
          <w:i/>
          <w:sz w:val="24"/>
          <w:szCs w:val="24"/>
        </w:rPr>
        <w:t>Výška vkladu: 5000 EUR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  <w:t>Konsolidovanú účtovnú uzávierku účtovná jednotka nezostavuje.</w:t>
      </w:r>
    </w:p>
    <w:p>
      <w:pPr>
        <w:pStyle w:val="Normal"/>
        <w:ind w:left="705" w:hanging="705"/>
        <w:rPr/>
      </w:pPr>
      <w:r>
        <w:rPr/>
      </w:r>
    </w:p>
    <w:p>
      <w:pPr>
        <w:pStyle w:val="Normal"/>
        <w:ind w:left="705" w:hanging="705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>6/</w:t>
        <w:tab/>
        <w:t>Názov, sídlo a právna forma podnikov, v ktorých je spoločnosť neobmedzeným ručiacim spoločníkom: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ab/>
      </w:r>
      <w:r>
        <w:rPr>
          <w:rFonts w:cs="Times New Roman" w:ascii="Times New Roman" w:hAnsi="Times New Roman"/>
          <w:i/>
          <w:sz w:val="24"/>
          <w:szCs w:val="24"/>
        </w:rPr>
        <w:t>v účtovnej jednotke nie je</w:t>
      </w:r>
    </w:p>
    <w:p>
      <w:pPr>
        <w:pStyle w:val="Normal"/>
        <w:ind w:left="705" w:hanging="705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ind w:left="705" w:hanging="705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>7/</w:t>
        <w:tab/>
        <w:t>Priemerný počet pracovníkov počas účtovného obdobia: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  <w:t>Spoločnosť počas účtovného obdobia  mala 0 zamestnanca</w:t>
      </w:r>
    </w:p>
    <w:p>
      <w:pPr>
        <w:pStyle w:val="Normal"/>
        <w:ind w:left="705" w:hanging="705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>8/</w:t>
        <w:tab/>
        <w:t>Dôvod pre zostavenie účtovnej závierky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  <w:t>Účtovná závierka v spoločnosti je riadna, po ukončení účtovného roka vyplývajúcej zo zákona o účtovníctve §19 Ročná účtovná závierka k 31.12.2021 bola zostavená za predpokladu nepretržitého pokračovania jej činnosti.</w:t>
      </w:r>
    </w:p>
    <w:p>
      <w:pPr>
        <w:pStyle w:val="Normal"/>
        <w:ind w:left="705" w:hanging="705"/>
        <w:jc w:val="center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>2.</w:t>
      </w:r>
    </w:p>
    <w:p>
      <w:pPr>
        <w:pStyle w:val="Normal"/>
        <w:ind w:left="705" w:hanging="705"/>
        <w:jc w:val="center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INFORMÁCIE O ÚČTOVNÝCH METÓDACH A VŠEOBECNÝCH ÚČTOVNÝCH ZÁSADÁCH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  <w:t>Od založenia spoločnosť používa podvojné účtovníctvo. Účtovné doklady sú označené vlastným číslovaním podľa druhu účtovného dokladu chronologicky. Účtovné dáta sú spracované na počítači. Používa sa software, ktorý zodpovedá požiadavkám uvedených v zákone č. 563/91 Zb. O účtovníctve. Účtovné zápisy sa preukazujú účtovnými dokladmi. Tieto sú uložené priamo v mieste sídla spoločnosti na nosičoch dát.</w:t>
      </w:r>
    </w:p>
    <w:p>
      <w:pPr>
        <w:pStyle w:val="Normal"/>
        <w:ind w:left="705" w:hanging="705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>1/</w:t>
        <w:tab/>
        <w:t>Spôsoby ocenenia zložiek majetku:</w:t>
      </w:r>
    </w:p>
    <w:p>
      <w:pPr>
        <w:pStyle w:val="Normal"/>
        <w:numPr>
          <w:ilvl w:val="0"/>
          <w:numId w:val="0"/>
        </w:numPr>
        <w:ind w:left="705" w:hanging="705"/>
        <w:outlineLvl w:val="0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ab/>
        <w:t>Nehmotný investičný majetok nakupovaný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ab/>
      </w:r>
      <w:r>
        <w:rPr>
          <w:rFonts w:cs="Times New Roman" w:ascii="Times New Roman" w:hAnsi="Times New Roman"/>
          <w:i/>
          <w:sz w:val="24"/>
          <w:szCs w:val="24"/>
        </w:rPr>
        <w:t>účtovná jednotka oceňuje nehmotný investičný majetok obstarávacou cenou</w:t>
      </w:r>
    </w:p>
    <w:p>
      <w:pPr>
        <w:pStyle w:val="Normal"/>
        <w:numPr>
          <w:ilvl w:val="0"/>
          <w:numId w:val="0"/>
        </w:numPr>
        <w:ind w:left="705" w:hanging="705"/>
        <w:outlineLvl w:val="0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</w:r>
      <w:r>
        <w:rPr>
          <w:rFonts w:cs="Times New Roman" w:ascii="Times New Roman" w:hAnsi="Times New Roman"/>
          <w:b/>
          <w:bCs/>
          <w:i/>
          <w:sz w:val="24"/>
          <w:szCs w:val="24"/>
        </w:rPr>
        <w:t>Oceňovanie nehmotného investičného majetku vytvoreného vlastnou činnosťou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ab/>
      </w:r>
      <w:r>
        <w:rPr>
          <w:rFonts w:cs="Times New Roman" w:ascii="Times New Roman" w:hAnsi="Times New Roman"/>
          <w:i/>
          <w:sz w:val="24"/>
          <w:szCs w:val="24"/>
        </w:rPr>
        <w:t>Účtovná jednotka v roku 2021 nevytvárala majetok vlastnou činnosťou</w:t>
      </w:r>
    </w:p>
    <w:p>
      <w:pPr>
        <w:pStyle w:val="Normal"/>
        <w:numPr>
          <w:ilvl w:val="0"/>
          <w:numId w:val="0"/>
        </w:numPr>
        <w:ind w:left="705" w:hanging="705"/>
        <w:outlineLvl w:val="0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</w:r>
      <w:r>
        <w:rPr>
          <w:rFonts w:cs="Times New Roman" w:ascii="Times New Roman" w:hAnsi="Times New Roman"/>
          <w:b/>
          <w:bCs/>
          <w:i/>
          <w:sz w:val="24"/>
          <w:szCs w:val="24"/>
        </w:rPr>
        <w:t>Hmotný investičný majetok nakupovaný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ab/>
      </w:r>
      <w:r>
        <w:rPr>
          <w:rFonts w:cs="Times New Roman" w:ascii="Times New Roman" w:hAnsi="Times New Roman"/>
          <w:i/>
          <w:sz w:val="24"/>
          <w:szCs w:val="24"/>
        </w:rPr>
        <w:t>HIM nakupovaný sa oceňuje v nákupnej cene.</w:t>
      </w:r>
    </w:p>
    <w:p>
      <w:pPr>
        <w:pStyle w:val="Normal"/>
        <w:numPr>
          <w:ilvl w:val="0"/>
          <w:numId w:val="0"/>
        </w:numPr>
        <w:ind w:left="705" w:hanging="705"/>
        <w:outlineLvl w:val="0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</w:r>
      <w:r>
        <w:rPr>
          <w:rFonts w:cs="Times New Roman" w:ascii="Times New Roman" w:hAnsi="Times New Roman"/>
          <w:b/>
          <w:bCs/>
          <w:i/>
          <w:sz w:val="24"/>
          <w:szCs w:val="24"/>
        </w:rPr>
        <w:t>Oceňovanie hmotného investičného majetku vytvoreného vlastnou činnosťou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ab/>
      </w:r>
      <w:r>
        <w:rPr>
          <w:rFonts w:cs="Times New Roman" w:ascii="Times New Roman" w:hAnsi="Times New Roman"/>
          <w:i/>
          <w:sz w:val="24"/>
          <w:szCs w:val="24"/>
        </w:rPr>
        <w:t>účtovná jednotka v roku 2021 nevytvárala majetok vlastnou činnosťou</w:t>
      </w:r>
    </w:p>
    <w:p>
      <w:pPr>
        <w:pStyle w:val="Normal"/>
        <w:numPr>
          <w:ilvl w:val="0"/>
          <w:numId w:val="0"/>
        </w:numPr>
        <w:ind w:left="705" w:hanging="705"/>
        <w:outlineLvl w:val="0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</w:r>
      <w:r>
        <w:rPr>
          <w:rFonts w:cs="Times New Roman" w:ascii="Times New Roman" w:hAnsi="Times New Roman"/>
          <w:b/>
          <w:bCs/>
          <w:i/>
          <w:sz w:val="24"/>
          <w:szCs w:val="24"/>
        </w:rPr>
        <w:t>Ocenenie finančných investícií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ab/>
      </w:r>
      <w:r>
        <w:rPr>
          <w:rFonts w:cs="Times New Roman" w:ascii="Times New Roman" w:hAnsi="Times New Roman"/>
          <w:i/>
          <w:sz w:val="24"/>
          <w:szCs w:val="24"/>
        </w:rPr>
        <w:t>účtovná jednotka nemá v majetku finančné investície.</w:t>
      </w:r>
    </w:p>
    <w:p>
      <w:pPr>
        <w:pStyle w:val="Normal"/>
        <w:numPr>
          <w:ilvl w:val="0"/>
          <w:numId w:val="0"/>
        </w:numPr>
        <w:ind w:left="705" w:hanging="705"/>
        <w:outlineLvl w:val="0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</w:r>
      <w:r>
        <w:rPr>
          <w:rFonts w:cs="Times New Roman" w:ascii="Times New Roman" w:hAnsi="Times New Roman"/>
          <w:b/>
          <w:bCs/>
          <w:i/>
          <w:sz w:val="24"/>
          <w:szCs w:val="24"/>
        </w:rPr>
        <w:t>Zásady oceňovania nakupovaných zásob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ab/>
      </w:r>
      <w:r>
        <w:rPr>
          <w:rFonts w:cs="Times New Roman" w:ascii="Times New Roman" w:hAnsi="Times New Roman"/>
          <w:i/>
          <w:sz w:val="24"/>
          <w:szCs w:val="24"/>
        </w:rPr>
        <w:t>zásoby tovaru oceňuje UJ obstarávacími cenami</w:t>
      </w:r>
    </w:p>
    <w:p>
      <w:pPr>
        <w:pStyle w:val="Normal"/>
        <w:numPr>
          <w:ilvl w:val="0"/>
          <w:numId w:val="0"/>
        </w:numPr>
        <w:ind w:left="705" w:hanging="705"/>
        <w:outlineLvl w:val="0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</w:r>
      <w:r>
        <w:rPr>
          <w:rFonts w:cs="Times New Roman" w:ascii="Times New Roman" w:hAnsi="Times New Roman"/>
          <w:b/>
          <w:bCs/>
          <w:i/>
          <w:sz w:val="24"/>
          <w:szCs w:val="24"/>
        </w:rPr>
        <w:t>Oceňovanie zásob vytvorených vlastnou výrobou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ab/>
      </w:r>
      <w:r>
        <w:rPr>
          <w:rFonts w:cs="Times New Roman" w:ascii="Times New Roman" w:hAnsi="Times New Roman"/>
          <w:i/>
          <w:sz w:val="24"/>
          <w:szCs w:val="24"/>
        </w:rPr>
        <w:t>podnik nevytváral zásoby vlastnou výrobou</w:t>
      </w:r>
    </w:p>
    <w:p>
      <w:pPr>
        <w:pStyle w:val="Normal"/>
        <w:numPr>
          <w:ilvl w:val="0"/>
          <w:numId w:val="0"/>
        </w:numPr>
        <w:ind w:left="705" w:hanging="705"/>
        <w:outlineLvl w:val="0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</w:r>
      <w:r>
        <w:rPr>
          <w:rFonts w:cs="Times New Roman" w:ascii="Times New Roman" w:hAnsi="Times New Roman"/>
          <w:b/>
          <w:bCs/>
          <w:i/>
          <w:sz w:val="24"/>
          <w:szCs w:val="24"/>
        </w:rPr>
        <w:t>Pohľadávky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ab/>
      </w:r>
      <w:r>
        <w:rPr>
          <w:rFonts w:cs="Times New Roman" w:ascii="Times New Roman" w:hAnsi="Times New Roman"/>
          <w:i/>
          <w:sz w:val="24"/>
          <w:szCs w:val="24"/>
        </w:rPr>
        <w:t>pohľadávky sú oceňované skutočnou hodnotou</w:t>
      </w:r>
    </w:p>
    <w:p>
      <w:pPr>
        <w:pStyle w:val="Normal"/>
        <w:numPr>
          <w:ilvl w:val="0"/>
          <w:numId w:val="0"/>
        </w:numPr>
        <w:ind w:left="705" w:hanging="705"/>
        <w:outlineLvl w:val="0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</w:r>
      <w:r>
        <w:rPr>
          <w:rFonts w:cs="Times New Roman" w:ascii="Times New Roman" w:hAnsi="Times New Roman"/>
          <w:b/>
          <w:bCs/>
          <w:i/>
          <w:sz w:val="24"/>
          <w:szCs w:val="24"/>
        </w:rPr>
        <w:t>Finančný majetok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ab/>
      </w:r>
      <w:r>
        <w:rPr>
          <w:rFonts w:cs="Times New Roman" w:ascii="Times New Roman" w:hAnsi="Times New Roman"/>
          <w:i/>
          <w:sz w:val="24"/>
          <w:szCs w:val="24"/>
        </w:rPr>
        <w:t>finančný majetok v sa oceňuje nominálnou hodnotou</w:t>
      </w:r>
    </w:p>
    <w:p>
      <w:pPr>
        <w:pStyle w:val="Normal"/>
        <w:numPr>
          <w:ilvl w:val="0"/>
          <w:numId w:val="0"/>
        </w:numPr>
        <w:ind w:left="705" w:hanging="705"/>
        <w:outlineLvl w:val="0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</w:r>
      <w:r>
        <w:rPr>
          <w:rFonts w:cs="Times New Roman" w:ascii="Times New Roman" w:hAnsi="Times New Roman"/>
          <w:b/>
          <w:bCs/>
          <w:i/>
          <w:sz w:val="24"/>
          <w:szCs w:val="24"/>
        </w:rPr>
        <w:t>Prechodné účty aktív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ab/>
      </w:r>
      <w:r>
        <w:rPr>
          <w:rFonts w:cs="Times New Roman" w:ascii="Times New Roman" w:hAnsi="Times New Roman"/>
          <w:i/>
          <w:sz w:val="24"/>
          <w:szCs w:val="24"/>
        </w:rPr>
        <w:t>v súčasnej dobe spoločnosť neúčtovala na účte náklady budúcich období</w:t>
      </w:r>
    </w:p>
    <w:p>
      <w:pPr>
        <w:pStyle w:val="Normal"/>
        <w:numPr>
          <w:ilvl w:val="0"/>
          <w:numId w:val="0"/>
        </w:numPr>
        <w:ind w:left="705" w:hanging="705"/>
        <w:outlineLvl w:val="0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</w:r>
      <w:r>
        <w:rPr>
          <w:rFonts w:cs="Times New Roman" w:ascii="Times New Roman" w:hAnsi="Times New Roman"/>
          <w:b/>
          <w:bCs/>
          <w:i/>
          <w:sz w:val="24"/>
          <w:szCs w:val="24"/>
        </w:rPr>
        <w:t>Rezervy</w:t>
        <w:tab/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ab/>
      </w:r>
      <w:r>
        <w:rPr>
          <w:rFonts w:cs="Times New Roman" w:ascii="Times New Roman" w:hAnsi="Times New Roman"/>
          <w:i/>
          <w:sz w:val="24"/>
          <w:szCs w:val="24"/>
        </w:rPr>
        <w:t>rezervy a kurzové straty sú oceňované skutočnou hodnotou</w:t>
      </w:r>
    </w:p>
    <w:p>
      <w:pPr>
        <w:pStyle w:val="Normal"/>
        <w:numPr>
          <w:ilvl w:val="0"/>
          <w:numId w:val="0"/>
        </w:numPr>
        <w:ind w:left="705" w:hanging="705"/>
        <w:outlineLvl w:val="0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</w:r>
      <w:r>
        <w:rPr>
          <w:rFonts w:cs="Times New Roman" w:ascii="Times New Roman" w:hAnsi="Times New Roman"/>
          <w:b/>
          <w:bCs/>
          <w:i/>
          <w:sz w:val="24"/>
          <w:szCs w:val="24"/>
        </w:rPr>
        <w:t>Záväzky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ab/>
      </w:r>
      <w:r>
        <w:rPr>
          <w:rFonts w:cs="Times New Roman" w:ascii="Times New Roman" w:hAnsi="Times New Roman"/>
          <w:i/>
          <w:sz w:val="24"/>
          <w:szCs w:val="24"/>
        </w:rPr>
        <w:t>záväzky sú oceňované skutočnou hodnotou</w:t>
      </w:r>
    </w:p>
    <w:p>
      <w:pPr>
        <w:pStyle w:val="Normal"/>
        <w:numPr>
          <w:ilvl w:val="0"/>
          <w:numId w:val="0"/>
        </w:numPr>
        <w:ind w:left="705" w:hanging="705"/>
        <w:outlineLvl w:val="0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</w:r>
      <w:r>
        <w:rPr>
          <w:rFonts w:cs="Times New Roman" w:ascii="Times New Roman" w:hAnsi="Times New Roman"/>
          <w:b/>
          <w:bCs/>
          <w:i/>
          <w:sz w:val="24"/>
          <w:szCs w:val="24"/>
        </w:rPr>
        <w:t>Prechodné účty pasív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ab/>
      </w:r>
      <w:r>
        <w:rPr>
          <w:rFonts w:cs="Times New Roman" w:ascii="Times New Roman" w:hAnsi="Times New Roman"/>
          <w:i/>
          <w:sz w:val="24"/>
          <w:szCs w:val="24"/>
        </w:rPr>
        <w:t>v súčasnej dobe spoločnosť neúčtovala na účte dohadné účty pasívne</w:t>
      </w:r>
    </w:p>
    <w:p>
      <w:pPr>
        <w:pStyle w:val="Normal"/>
        <w:numPr>
          <w:ilvl w:val="0"/>
          <w:numId w:val="0"/>
        </w:numPr>
        <w:ind w:left="705" w:hanging="705"/>
        <w:outlineLvl w:val="0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</w:r>
      <w:r>
        <w:rPr>
          <w:rFonts w:cs="Times New Roman" w:ascii="Times New Roman" w:hAnsi="Times New Roman"/>
          <w:b/>
          <w:bCs/>
          <w:i/>
          <w:sz w:val="24"/>
          <w:szCs w:val="24"/>
        </w:rPr>
        <w:t>Spôsob oceňovania darovaného majetku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ab/>
      </w:r>
      <w:r>
        <w:rPr>
          <w:rFonts w:cs="Times New Roman" w:ascii="Times New Roman" w:hAnsi="Times New Roman"/>
          <w:i/>
          <w:sz w:val="24"/>
          <w:szCs w:val="24"/>
        </w:rPr>
        <w:t>spoločnosť nemá darovaný majetok</w:t>
      </w:r>
    </w:p>
    <w:p>
      <w:pPr>
        <w:pStyle w:val="Normal"/>
        <w:numPr>
          <w:ilvl w:val="0"/>
          <w:numId w:val="0"/>
        </w:numPr>
        <w:ind w:left="705" w:hanging="705"/>
        <w:outlineLvl w:val="0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</w:r>
      <w:r>
        <w:rPr>
          <w:rFonts w:cs="Times New Roman" w:ascii="Times New Roman" w:hAnsi="Times New Roman"/>
          <w:b/>
          <w:bCs/>
          <w:i/>
          <w:sz w:val="24"/>
          <w:szCs w:val="24"/>
        </w:rPr>
        <w:t>Vedľajšie náklady súvisiace s obstaraním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ab/>
        <w:t>spôsob zostavenia odpisového plánu:</w:t>
      </w:r>
      <w:r>
        <w:rPr>
          <w:rFonts w:cs="Times New Roman" w:ascii="Times New Roman" w:hAnsi="Times New Roman"/>
          <w:i/>
          <w:sz w:val="24"/>
          <w:szCs w:val="24"/>
        </w:rPr>
        <w:t xml:space="preserve"> spoločnosť v roku 2021 nenadobudla dlhodobý hmotný majetok 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  <w:tab/>
        <w:tab/>
        <w:tab/>
        <w:tab/>
        <w:tab/>
        <w:tab/>
        <w:tab/>
        <w:tab/>
      </w:r>
    </w:p>
    <w:p>
      <w:pPr>
        <w:pStyle w:val="Normal"/>
        <w:ind w:left="705" w:hanging="705"/>
        <w:jc w:val="center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>3.</w:t>
      </w:r>
      <w:r>
        <w:rPr>
          <w:rFonts w:cs="Times New Roman" w:ascii="Times New Roman" w:hAnsi="Times New Roman"/>
          <w:i/>
          <w:sz w:val="24"/>
          <w:szCs w:val="24"/>
        </w:rPr>
        <w:t>DOPLŇUJÚCE INFORMÁCIE K VÝKAZOM ÚČTOVNEJ ZÁVIERKY</w:t>
      </w:r>
    </w:p>
    <w:p>
      <w:pPr>
        <w:pStyle w:val="Normal"/>
        <w:ind w:left="705" w:hanging="705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>1/</w:t>
        <w:tab/>
        <w:t>Informácie o pohybe investičného majetku</w:t>
      </w:r>
    </w:p>
    <w:p>
      <w:pPr>
        <w:pStyle w:val="Normal"/>
        <w:ind w:left="705" w:hanging="705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>2/</w:t>
        <w:tab/>
        <w:t>Zásoby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ab/>
      </w:r>
      <w:r>
        <w:rPr>
          <w:rFonts w:cs="Times New Roman" w:ascii="Times New Roman" w:hAnsi="Times New Roman"/>
          <w:i/>
          <w:sz w:val="24"/>
          <w:szCs w:val="24"/>
        </w:rPr>
        <w:t>spoločnosť v r. 2021 neúčtovala nákup materiálu a tovaru v obstarávacej cene</w:t>
      </w:r>
    </w:p>
    <w:p>
      <w:pPr>
        <w:pStyle w:val="Normal"/>
        <w:ind w:left="705" w:hanging="705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>3/</w:t>
        <w:tab/>
        <w:t>Pohľadávky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ab/>
      </w:r>
      <w:r>
        <w:rPr>
          <w:rFonts w:cs="Times New Roman" w:ascii="Times New Roman" w:hAnsi="Times New Roman"/>
          <w:i/>
          <w:sz w:val="24"/>
          <w:szCs w:val="24"/>
        </w:rPr>
        <w:t>účtovná jednotka nemá pohľadávky kryté záložným právom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  <w:t>účtovná jednotka k 31.12.2021 neeviduje pohľadávky z obchodného styku</w:t>
      </w:r>
    </w:p>
    <w:p>
      <w:pPr>
        <w:pStyle w:val="Normal"/>
        <w:ind w:left="705" w:hanging="705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>4/</w:t>
        <w:tab/>
        <w:t>Údaje o finančnom majetku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ab/>
      </w:r>
      <w:r>
        <w:rPr>
          <w:rFonts w:cs="Times New Roman" w:ascii="Times New Roman" w:hAnsi="Times New Roman"/>
          <w:i/>
          <w:sz w:val="24"/>
          <w:szCs w:val="24"/>
        </w:rPr>
        <w:t>účtovná jednotka má finančný majetok v nasledujúcom členení</w:t>
      </w:r>
    </w:p>
    <w:p>
      <w:pPr>
        <w:pStyle w:val="Normal"/>
        <w:ind w:left="705" w:hanging="705"/>
        <w:rPr/>
      </w:pPr>
      <w:r>
        <w:rPr>
          <w:rFonts w:cs="Times New Roman" w:ascii="Times New Roman" w:hAnsi="Times New Roman"/>
          <w:i/>
          <w:sz w:val="24"/>
          <w:szCs w:val="24"/>
        </w:rPr>
        <w:tab/>
        <w:t>bankové účty v hodnote:</w:t>
        <w:tab/>
      </w:r>
      <w:r>
        <w:rPr>
          <w:rFonts w:cs="Times New Roman" w:ascii="Times New Roman" w:hAnsi="Times New Roman"/>
          <w:i/>
          <w:sz w:val="24"/>
          <w:szCs w:val="24"/>
        </w:rPr>
        <w:t>00</w:t>
      </w:r>
      <w:r>
        <w:rPr>
          <w:rFonts w:cs="Times New Roman" w:ascii="Times New Roman" w:hAnsi="Times New Roman"/>
          <w:i/>
          <w:sz w:val="24"/>
          <w:szCs w:val="24"/>
        </w:rPr>
        <w:t>,</w:t>
      </w:r>
      <w:r>
        <w:rPr>
          <w:rFonts w:cs="Times New Roman" w:ascii="Times New Roman" w:hAnsi="Times New Roman"/>
          <w:i/>
          <w:sz w:val="24"/>
          <w:szCs w:val="24"/>
        </w:rPr>
        <w:t>00</w:t>
      </w:r>
      <w:r>
        <w:rPr>
          <w:rFonts w:cs="Times New Roman" w:ascii="Times New Roman" w:hAnsi="Times New Roman"/>
          <w:i/>
          <w:sz w:val="24"/>
          <w:szCs w:val="24"/>
        </w:rPr>
        <w:t xml:space="preserve"> EUR</w:t>
      </w:r>
    </w:p>
    <w:p>
      <w:pPr>
        <w:pStyle w:val="Normal"/>
        <w:ind w:left="705" w:hanging="705"/>
        <w:rPr/>
      </w:pPr>
      <w:r>
        <w:rPr>
          <w:rFonts w:cs="Times New Roman" w:ascii="Times New Roman" w:hAnsi="Times New Roman"/>
          <w:i/>
          <w:sz w:val="24"/>
          <w:szCs w:val="24"/>
        </w:rPr>
        <w:tab/>
        <w:t>hotovosť v hodnote:</w:t>
        <w:tab/>
        <w:t xml:space="preserve">       </w:t>
      </w:r>
      <w:r>
        <w:rPr>
          <w:rFonts w:cs="Times New Roman" w:ascii="Times New Roman" w:hAnsi="Times New Roman"/>
          <w:i/>
          <w:sz w:val="24"/>
          <w:szCs w:val="24"/>
        </w:rPr>
        <w:t>13006</w:t>
      </w:r>
      <w:r>
        <w:rPr>
          <w:rFonts w:cs="Times New Roman" w:ascii="Times New Roman" w:hAnsi="Times New Roman"/>
          <w:i/>
          <w:sz w:val="24"/>
          <w:szCs w:val="24"/>
        </w:rPr>
        <w:t>,</w:t>
      </w:r>
      <w:r>
        <w:rPr>
          <w:rFonts w:cs="Times New Roman" w:ascii="Times New Roman" w:hAnsi="Times New Roman"/>
          <w:i/>
          <w:sz w:val="24"/>
          <w:szCs w:val="24"/>
        </w:rPr>
        <w:t>00</w:t>
      </w:r>
      <w:r>
        <w:rPr>
          <w:rFonts w:cs="Times New Roman" w:ascii="Times New Roman" w:hAnsi="Times New Roman"/>
          <w:i/>
          <w:sz w:val="24"/>
          <w:szCs w:val="24"/>
        </w:rPr>
        <w:t xml:space="preserve"> EUR</w:t>
      </w:r>
    </w:p>
    <w:p>
      <w:pPr>
        <w:pStyle w:val="Normal"/>
        <w:ind w:left="705" w:hanging="705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>5/</w:t>
        <w:tab/>
        <w:t>Prechodné účty aktív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ab/>
      </w:r>
      <w:r>
        <w:rPr>
          <w:rFonts w:cs="Times New Roman" w:ascii="Times New Roman" w:hAnsi="Times New Roman"/>
          <w:i/>
          <w:sz w:val="24"/>
          <w:szCs w:val="24"/>
        </w:rPr>
        <w:t>firma v roku 2021 neúčtovala na prechodných účtoch aktív</w:t>
      </w:r>
    </w:p>
    <w:p>
      <w:pPr>
        <w:pStyle w:val="Normal"/>
        <w:ind w:left="705" w:hanging="705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>6/</w:t>
        <w:tab/>
        <w:t>Vlastné imanie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ab/>
      </w:r>
      <w:r>
        <w:rPr>
          <w:rFonts w:cs="Times New Roman" w:ascii="Times New Roman" w:hAnsi="Times New Roman"/>
          <w:i/>
          <w:sz w:val="24"/>
          <w:szCs w:val="24"/>
        </w:rPr>
        <w:t>základné imanie vo výške 5000  EUR tvorí vklad spoločníkov. V roku 2021 nenastali žiadne zmeny týkajúce sa vlastného imania. Rozdelenie hospodárskeho výsledku sa navrhuje a schvaľuje na valnom zhromaždení podľa zákona o dani z príjmov. Účtovná jednotka nemá nezapísané základné imanie</w:t>
      </w:r>
    </w:p>
    <w:p>
      <w:pPr>
        <w:pStyle w:val="Normal"/>
        <w:ind w:left="705" w:hanging="705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>7/</w:t>
        <w:tab/>
        <w:t>Rezervy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ab/>
      </w:r>
      <w:r>
        <w:rPr>
          <w:rFonts w:cs="Times New Roman" w:ascii="Times New Roman" w:hAnsi="Times New Roman"/>
          <w:i/>
          <w:sz w:val="24"/>
          <w:szCs w:val="24"/>
        </w:rPr>
        <w:t>zákonný rezervný fond nebol doposiaľ tvorený</w:t>
      </w:r>
    </w:p>
    <w:p>
      <w:pPr>
        <w:pStyle w:val="Normal"/>
        <w:ind w:left="705" w:hanging="705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>8/</w:t>
        <w:tab/>
        <w:t>Záväzky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  <w:t>celkové záväzky predstavujú sumu 0 EUR z toho: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</w:r>
    </w:p>
    <w:tbl>
      <w:tblPr>
        <w:tblW w:w="5362" w:type="dxa"/>
        <w:jc w:val="left"/>
        <w:tblInd w:w="1164" w:type="dxa"/>
        <w:tblCellMar>
          <w:top w:w="0" w:type="dxa"/>
          <w:left w:w="1" w:type="dxa"/>
          <w:bottom w:w="0" w:type="dxa"/>
          <w:right w:w="0" w:type="dxa"/>
        </w:tblCellMar>
        <w:tblLook w:firstRow="0" w:noVBand="0" w:lastRow="0" w:firstColumn="0" w:lastColumn="0" w:noHBand="0" w:val="0000"/>
      </w:tblPr>
      <w:tblGrid>
        <w:gridCol w:w="3712"/>
        <w:gridCol w:w="1649"/>
      </w:tblGrid>
      <w:tr>
        <w:trPr>
          <w:trHeight w:val="491" w:hRule="atLeast"/>
        </w:trPr>
        <w:tc>
          <w:tcPr>
            <w:tcW w:w="3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Obsahtabuky"/>
              <w:suppressLineNumbers/>
              <w:spacing w:before="0" w:after="200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voči dodávateľom</w:t>
            </w:r>
          </w:p>
        </w:tc>
        <w:tc>
          <w:tcPr>
            <w:tcW w:w="1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Obsahtabuky"/>
              <w:spacing w:before="0" w:after="200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</w:tr>
      <w:tr>
        <w:trPr>
          <w:trHeight w:val="491" w:hRule="atLeast"/>
        </w:trPr>
        <w:tc>
          <w:tcPr>
            <w:tcW w:w="3712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Obsahtabuky"/>
              <w:suppressLineNumbers/>
              <w:spacing w:before="0" w:after="200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voči zamestnancom:</w:t>
            </w:r>
          </w:p>
        </w:tc>
        <w:tc>
          <w:tcPr>
            <w:tcW w:w="16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Obsahtabuky"/>
              <w:spacing w:before="0" w:after="200"/>
              <w:jc w:val="center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</w:tr>
      <w:tr>
        <w:trPr>
          <w:trHeight w:val="491" w:hRule="atLeast"/>
        </w:trPr>
        <w:tc>
          <w:tcPr>
            <w:tcW w:w="3712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Obsahtabuky"/>
              <w:suppressLineNumbers/>
              <w:spacing w:before="0" w:after="200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voči inštitúciám sociálneho zabezpečenia:</w:t>
            </w:r>
          </w:p>
        </w:tc>
        <w:tc>
          <w:tcPr>
            <w:tcW w:w="16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Obsahtabuky"/>
              <w:spacing w:before="0" w:after="200"/>
              <w:jc w:val="center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</w:tr>
      <w:tr>
        <w:trPr>
          <w:trHeight w:val="491" w:hRule="atLeast"/>
        </w:trPr>
        <w:tc>
          <w:tcPr>
            <w:tcW w:w="3712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Obsahtabuky"/>
              <w:suppressLineNumbers/>
              <w:spacing w:before="0" w:after="200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Daňové záväzky:</w:t>
            </w:r>
          </w:p>
        </w:tc>
        <w:tc>
          <w:tcPr>
            <w:tcW w:w="16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Obsahtabuky"/>
              <w:spacing w:before="0" w:after="200"/>
              <w:jc w:val="center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</w:tr>
      <w:tr>
        <w:trPr>
          <w:trHeight w:val="491" w:hRule="atLeast"/>
        </w:trPr>
        <w:tc>
          <w:tcPr>
            <w:tcW w:w="3712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Obsahtabuky"/>
              <w:suppressLineNumbers/>
              <w:spacing w:before="0" w:after="200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zo sociálneho fondu:</w:t>
            </w:r>
          </w:p>
        </w:tc>
        <w:tc>
          <w:tcPr>
            <w:tcW w:w="16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Obsahtabuky"/>
              <w:spacing w:before="0" w:after="200"/>
              <w:jc w:val="center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</w:tr>
      <w:tr>
        <w:trPr>
          <w:trHeight w:val="491" w:hRule="atLeast"/>
        </w:trPr>
        <w:tc>
          <w:tcPr>
            <w:tcW w:w="3712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Obsahtabuky"/>
              <w:suppressLineNumbers/>
              <w:spacing w:before="0" w:after="200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Ostatné dlhodobé záväzky:</w:t>
            </w:r>
          </w:p>
        </w:tc>
        <w:tc>
          <w:tcPr>
            <w:tcW w:w="16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Obsahtabuky"/>
              <w:spacing w:before="0" w:after="200"/>
              <w:jc w:val="center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</w:tr>
    </w:tbl>
    <w:p>
      <w:pPr>
        <w:pStyle w:val="Normal"/>
        <w:ind w:left="705" w:hanging="705"/>
        <w:rPr/>
      </w:pPr>
      <w:r>
        <w:rPr/>
      </w:r>
    </w:p>
    <w:p>
      <w:pPr>
        <w:pStyle w:val="Normal"/>
        <w:ind w:left="705" w:hanging="705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>9/</w:t>
        <w:tab/>
        <w:t>Sociálny  fond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ab/>
      </w:r>
      <w:r>
        <w:rPr>
          <w:rFonts w:cs="Times New Roman" w:ascii="Times New Roman" w:hAnsi="Times New Roman"/>
          <w:i/>
          <w:sz w:val="24"/>
          <w:szCs w:val="24"/>
        </w:rPr>
        <w:t xml:space="preserve">účtovná jednotka v roku 2021 sa ne tvoria sociálny fond, 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  <w:tab/>
        <w:t>sociálny fond k 31.12.2021 predstavuje výšku 0,00Eur</w:t>
      </w:r>
    </w:p>
    <w:p>
      <w:pPr>
        <w:pStyle w:val="Normal"/>
        <w:ind w:left="705" w:hanging="705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>10/</w:t>
        <w:tab/>
        <w:t>Údaje o dlhopisoch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ab/>
      </w:r>
      <w:r>
        <w:rPr>
          <w:rFonts w:cs="Times New Roman" w:ascii="Times New Roman" w:hAnsi="Times New Roman"/>
          <w:i/>
          <w:sz w:val="24"/>
          <w:szCs w:val="24"/>
        </w:rPr>
        <w:t>účtovná jednotka nemá dlhopisy</w:t>
      </w:r>
    </w:p>
    <w:p>
      <w:pPr>
        <w:pStyle w:val="Normal"/>
        <w:ind w:left="705" w:hanging="705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>11/</w:t>
        <w:tab/>
        <w:t>Bankové úvery</w:t>
      </w:r>
    </w:p>
    <w:p>
      <w:pPr>
        <w:pStyle w:val="Normal"/>
        <w:ind w:left="705" w:hanging="705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>12/</w:t>
        <w:tab/>
        <w:t>Prechodné účty pasív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ab/>
      </w:r>
      <w:r>
        <w:rPr>
          <w:rFonts w:cs="Times New Roman" w:ascii="Times New Roman" w:hAnsi="Times New Roman"/>
          <w:i/>
          <w:sz w:val="24"/>
          <w:szCs w:val="24"/>
        </w:rPr>
        <w:t>účtovná jednotka neeviduje</w:t>
      </w:r>
    </w:p>
    <w:p>
      <w:pPr>
        <w:pStyle w:val="Normal"/>
        <w:ind w:left="705" w:hanging="705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>13/</w:t>
        <w:tab/>
        <w:t>Tržby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ab/>
      </w:r>
      <w:r>
        <w:rPr>
          <w:rFonts w:cs="Times New Roman" w:ascii="Times New Roman" w:hAnsi="Times New Roman"/>
          <w:i/>
          <w:sz w:val="24"/>
          <w:szCs w:val="24"/>
        </w:rPr>
        <w:t>tržby za tovar a služby predstavujú: 0,00EUR</w:t>
      </w:r>
    </w:p>
    <w:p>
      <w:pPr>
        <w:pStyle w:val="Normal"/>
        <w:ind w:left="705" w:hanging="705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>14/</w:t>
        <w:tab/>
        <w:t>Nákladové a výnosové účty</w:t>
      </w:r>
    </w:p>
    <w:p>
      <w:pPr>
        <w:pStyle w:val="Normal"/>
        <w:ind w:left="705" w:hanging="705"/>
        <w:rPr/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ab/>
      </w:r>
      <w:r>
        <w:rPr>
          <w:rFonts w:cs="Times New Roman" w:ascii="Times New Roman" w:hAnsi="Times New Roman"/>
          <w:i/>
          <w:sz w:val="24"/>
          <w:szCs w:val="24"/>
        </w:rPr>
        <w:t xml:space="preserve">súčet prevádzkových, finančných výnosov:          </w:t>
      </w:r>
      <w:r>
        <w:rPr>
          <w:rFonts w:cs="Times New Roman" w:ascii="Times New Roman" w:hAnsi="Times New Roman"/>
          <w:i/>
          <w:sz w:val="24"/>
          <w:szCs w:val="24"/>
        </w:rPr>
        <w:t>59097,50</w:t>
      </w:r>
      <w:r>
        <w:rPr>
          <w:rFonts w:cs="Times New Roman" w:ascii="Times New Roman" w:hAnsi="Times New Roman"/>
          <w:i/>
          <w:sz w:val="24"/>
          <w:szCs w:val="24"/>
        </w:rPr>
        <w:t xml:space="preserve"> EUR</w:t>
      </w:r>
    </w:p>
    <w:p>
      <w:pPr>
        <w:pStyle w:val="Normal"/>
        <w:ind w:left="705" w:hanging="705"/>
        <w:rPr/>
      </w:pPr>
      <w:r>
        <w:rPr>
          <w:rFonts w:cs="Times New Roman" w:ascii="Times New Roman" w:hAnsi="Times New Roman"/>
          <w:i/>
          <w:sz w:val="24"/>
          <w:szCs w:val="24"/>
        </w:rPr>
        <w:tab/>
        <w:t xml:space="preserve">súčet prevádzkových, finančných nákladov          </w:t>
      </w:r>
      <w:r>
        <w:rPr>
          <w:rFonts w:cs="Times New Roman" w:ascii="Times New Roman" w:hAnsi="Times New Roman"/>
          <w:i/>
          <w:sz w:val="24"/>
          <w:szCs w:val="24"/>
        </w:rPr>
        <w:t>58062,50</w:t>
      </w:r>
      <w:r>
        <w:rPr>
          <w:rFonts w:cs="Times New Roman" w:ascii="Times New Roman" w:hAnsi="Times New Roman"/>
          <w:i/>
          <w:sz w:val="24"/>
          <w:szCs w:val="24"/>
        </w:rPr>
        <w:t>EUR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  <w:t>mimoriadne náklady účt. jednotka neúčtovala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  <w:t>mimoriadne výnosy účt. jednotka neúčtovala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  <w:t>prehľad o majetku, ktorého trhové ocenenie sa výrazne odlišuje od jeho ocenenia v účtovníctve – nie je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  <w:t>prenajatý majetok nebol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  <w:t>ďalšie záväzky, ktoré sa nesledujú v bežnom účtovníctve a neuvádzajú sa v Súvahe nie sú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  <w:t>jednotlivé ostatné finančné povinnosti, ktoré sa nesledujú v bežnom účtovníctve a neuvádzajú sa v Súvahe – nie sú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  <w:t>údaje o členoch štatutárnych dozorných, správnych, riadiacich a iných orgánoch spoločnosti – výška príjmu za ich činnosť – neboli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  <w:t>údaje o výskume a vývoji – nie sú</w:t>
      </w:r>
    </w:p>
    <w:p>
      <w:pPr>
        <w:pStyle w:val="Normal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>15/</w:t>
        <w:tab/>
        <w:t>Hospodársky výsledok, výška dane preddavky na daň</w:t>
      </w:r>
    </w:p>
    <w:p>
      <w:pPr>
        <w:pStyle w:val="Normal"/>
        <w:ind w:left="705" w:hanging="705"/>
        <w:rPr/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ab/>
      </w:r>
      <w:r>
        <w:rPr>
          <w:rFonts w:cs="Times New Roman" w:ascii="Times New Roman" w:hAnsi="Times New Roman"/>
          <w:i/>
          <w:sz w:val="24"/>
          <w:szCs w:val="24"/>
        </w:rPr>
        <w:t>výsledok hospodárenia:</w:t>
        <w:tab/>
      </w:r>
      <w:r>
        <w:rPr>
          <w:rFonts w:cs="Times New Roman" w:ascii="Times New Roman" w:hAnsi="Times New Roman"/>
          <w:i/>
          <w:sz w:val="24"/>
          <w:szCs w:val="24"/>
        </w:rPr>
        <w:t>1035</w:t>
      </w:r>
      <w:r>
        <w:rPr>
          <w:rFonts w:cs="Times New Roman" w:ascii="Times New Roman" w:hAnsi="Times New Roman"/>
          <w:i/>
          <w:sz w:val="24"/>
          <w:szCs w:val="24"/>
        </w:rPr>
        <w:t xml:space="preserve"> EUR</w:t>
      </w:r>
    </w:p>
    <w:p>
      <w:pPr>
        <w:pStyle w:val="Normal"/>
        <w:ind w:left="705" w:hanging="705"/>
        <w:rPr/>
      </w:pPr>
      <w:r>
        <w:rPr>
          <w:rFonts w:cs="Times New Roman" w:ascii="Times New Roman" w:hAnsi="Times New Roman"/>
          <w:i/>
          <w:sz w:val="24"/>
          <w:szCs w:val="24"/>
        </w:rPr>
        <w:tab/>
        <w:t>daňová povinnosť:</w:t>
        <w:tab/>
        <w:tab/>
      </w:r>
      <w:r>
        <w:rPr>
          <w:rFonts w:cs="Times New Roman" w:ascii="Times New Roman" w:hAnsi="Times New Roman"/>
          <w:i/>
          <w:sz w:val="24"/>
          <w:szCs w:val="24"/>
        </w:rPr>
        <w:t>217</w:t>
      </w:r>
      <w:r>
        <w:rPr>
          <w:rFonts w:cs="Times New Roman" w:ascii="Times New Roman" w:hAnsi="Times New Roman"/>
          <w:i/>
          <w:sz w:val="24"/>
          <w:szCs w:val="24"/>
        </w:rPr>
        <w:t xml:space="preserve">  EUR</w:t>
      </w:r>
    </w:p>
    <w:p>
      <w:pPr>
        <w:pStyle w:val="Normal"/>
        <w:ind w:left="705" w:hanging="705"/>
        <w:rPr>
          <w:b/>
          <w:b/>
          <w:bCs/>
        </w:rPr>
      </w:pPr>
      <w:r>
        <w:rPr>
          <w:rFonts w:cs="Times New Roman" w:ascii="Times New Roman" w:hAnsi="Times New Roman"/>
          <w:i/>
          <w:sz w:val="24"/>
          <w:szCs w:val="24"/>
        </w:rPr>
        <w:tab/>
        <w:t>čistý zisk:</w:t>
        <w:tab/>
        <w:tab/>
        <w:t xml:space="preserve">        </w:t>
      </w:r>
      <w:r>
        <w:rPr>
          <w:rFonts w:cs="Times New Roman" w:ascii="Times New Roman" w:hAnsi="Times New Roman"/>
          <w:i/>
          <w:sz w:val="24"/>
          <w:szCs w:val="24"/>
        </w:rPr>
        <w:t xml:space="preserve">818 </w:t>
      </w:r>
      <w:r>
        <w:rPr>
          <w:rFonts w:cs="Times New Roman" w:ascii="Times New Roman" w:hAnsi="Times New Roman"/>
          <w:i/>
          <w:sz w:val="24"/>
          <w:szCs w:val="24"/>
        </w:rPr>
        <w:t>EUR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  <w:t>v Nitre dňa 29. júna 2021</w:t>
      </w:r>
      <w:bookmarkStart w:id="0" w:name="_GoBack"/>
      <w:bookmarkEnd w:id="0"/>
    </w:p>
    <w:p>
      <w:pPr>
        <w:pStyle w:val="Normal"/>
        <w:ind w:left="705" w:hanging="705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ind w:left="705" w:hanging="705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ind w:left="705" w:hanging="705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ab/>
        <w:tab/>
        <w:tab/>
        <w:tab/>
        <w:tab/>
        <w:tab/>
        <w:tab/>
        <w:tab/>
      </w:r>
      <w:r>
        <w:rPr>
          <w:rFonts w:cs="Times New Roman" w:ascii="Times New Roman" w:hAnsi="Times New Roman"/>
          <w:b/>
          <w:bCs/>
          <w:i/>
          <w:sz w:val="24"/>
          <w:szCs w:val="24"/>
        </w:rPr>
        <w:t>..............................................................</w:t>
      </w:r>
    </w:p>
    <w:p>
      <w:pPr>
        <w:pStyle w:val="Normal"/>
        <w:ind w:left="705" w:hanging="705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ab/>
        <w:tab/>
        <w:tab/>
        <w:tab/>
        <w:tab/>
        <w:tab/>
        <w:tab/>
        <w:t xml:space="preserve"> </w:t>
        <w:tab/>
      </w:r>
      <w:r>
        <w:rPr>
          <w:rFonts w:cs="Times New Roman" w:ascii="Times New Roman" w:hAnsi="Times New Roman"/>
          <w:i/>
          <w:sz w:val="24"/>
          <w:szCs w:val="24"/>
        </w:rPr>
        <w:t>pečiatka a podpis konateľa spoločnosti</w:t>
      </w:r>
    </w:p>
    <w:p>
      <w:pPr>
        <w:pStyle w:val="Normal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i/>
          <w:i/>
          <w:sz w:val="40"/>
          <w:szCs w:val="40"/>
        </w:rPr>
      </w:pPr>
      <w:r>
        <w:rPr>
          <w:rFonts w:cs="Times New Roman" w:ascii="Times New Roman" w:hAnsi="Times New Roman"/>
          <w:b/>
          <w:i/>
          <w:sz w:val="40"/>
          <w:szCs w:val="40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i/>
          <w:i/>
          <w:sz w:val="40"/>
          <w:szCs w:val="40"/>
        </w:rPr>
      </w:pPr>
      <w:r>
        <w:rPr>
          <w:rFonts w:cs="Times New Roman" w:ascii="Times New Roman" w:hAnsi="Times New Roman"/>
          <w:b/>
          <w:i/>
          <w:sz w:val="40"/>
          <w:szCs w:val="40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1417" w:header="0" w:top="1134" w:footer="0" w:bottom="1134" w:gutter="0"/>
      <w:pgNumType w:fmt="decimal"/>
      <w:formProt w:val="false"/>
      <w:textDirection w:val="lrTb"/>
      <w:docGrid w:type="default" w:linePitch="24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Symbol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rFonts w:cs="Calibri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compat>
    <w:doNotExpandShiftReturn/>
  </w:compat>
  <w:autoHyphenation w:val="fals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sk-SK" w:eastAsia="sk-SK" w:bidi="ar-SA"/>
      </w:rPr>
    </w:rPrDefault>
    <w:pPrDefault>
      <w:pPr/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a5fdd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Lucida Sans Unicode" w:cs="font311"/>
      <w:color w:val="auto"/>
      <w:kern w:val="2"/>
      <w:sz w:val="22"/>
      <w:szCs w:val="22"/>
      <w:lang w:eastAsia="ar-SA" w:val="sk-SK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6a5fdd"/>
    <w:rPr>
      <w:rFonts w:ascii="Times New Roman" w:hAnsi="Times New Roman" w:cs="Calibri"/>
    </w:rPr>
  </w:style>
  <w:style w:type="character" w:styleId="WW8Num1z1" w:customStyle="1">
    <w:name w:val="WW8Num1z1"/>
    <w:qFormat/>
    <w:rsid w:val="006a5fdd"/>
    <w:rPr>
      <w:rFonts w:ascii="Courier New" w:hAnsi="Courier New" w:cs="Courier New"/>
    </w:rPr>
  </w:style>
  <w:style w:type="character" w:styleId="WW8Num1z2" w:customStyle="1">
    <w:name w:val="WW8Num1z2"/>
    <w:qFormat/>
    <w:rsid w:val="006a5fdd"/>
    <w:rPr>
      <w:rFonts w:ascii="Wingdings" w:hAnsi="Wingdings"/>
    </w:rPr>
  </w:style>
  <w:style w:type="character" w:styleId="WW8Num1z3" w:customStyle="1">
    <w:name w:val="WW8Num1z3"/>
    <w:qFormat/>
    <w:rsid w:val="006a5fdd"/>
    <w:rPr>
      <w:rFonts w:ascii="Symbol" w:hAnsi="Symbol"/>
    </w:rPr>
  </w:style>
  <w:style w:type="character" w:styleId="AbsatzStandardschriftart" w:customStyle="1">
    <w:name w:val="Absatz-Standardschriftart"/>
    <w:qFormat/>
    <w:rsid w:val="006a5fdd"/>
    <w:rPr/>
  </w:style>
  <w:style w:type="character" w:styleId="WWAbsatzStandardschriftart" w:customStyle="1">
    <w:name w:val="WW-Absatz-Standardschriftart"/>
    <w:qFormat/>
    <w:rsid w:val="006a5fdd"/>
    <w:rPr/>
  </w:style>
  <w:style w:type="character" w:styleId="WWAbsatzStandardschriftart1" w:customStyle="1">
    <w:name w:val="WW-Absatz-Standardschriftart1"/>
    <w:qFormat/>
    <w:rsid w:val="006a5fdd"/>
    <w:rPr/>
  </w:style>
  <w:style w:type="character" w:styleId="WWAbsatzStandardschriftart11" w:customStyle="1">
    <w:name w:val="WW-Absatz-Standardschriftart11"/>
    <w:qFormat/>
    <w:rsid w:val="006a5fdd"/>
    <w:rPr/>
  </w:style>
  <w:style w:type="character" w:styleId="Predvolenpsmoodseku1" w:customStyle="1">
    <w:name w:val="Predvolené písmo odseku1"/>
    <w:qFormat/>
    <w:rsid w:val="006a5fdd"/>
    <w:rPr/>
  </w:style>
  <w:style w:type="character" w:styleId="ListLabel1" w:customStyle="1">
    <w:name w:val="ListLabel 1"/>
    <w:qFormat/>
    <w:rsid w:val="006a5fdd"/>
    <w:rPr>
      <w:rFonts w:cs="Calibri"/>
    </w:rPr>
  </w:style>
  <w:style w:type="character" w:styleId="ListLabel2" w:customStyle="1">
    <w:name w:val="ListLabel 2"/>
    <w:qFormat/>
    <w:rsid w:val="006a5fdd"/>
    <w:rPr>
      <w:rFonts w:cs="Courier New"/>
    </w:rPr>
  </w:style>
  <w:style w:type="character" w:styleId="ListLabel3">
    <w:name w:val="ListLabel 3"/>
    <w:qFormat/>
    <w:rPr>
      <w:rFonts w:ascii="Times New Roman" w:hAnsi="Times New Roman" w:cs="Calibri"/>
      <w:sz w:val="24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paragraph" w:styleId="Nadpis" w:customStyle="1">
    <w:name w:val="Nadpis"/>
    <w:basedOn w:val="Normal"/>
    <w:next w:val="Telotextu"/>
    <w:qFormat/>
    <w:rsid w:val="006a5fdd"/>
    <w:pPr>
      <w:keepNext w:val="true"/>
      <w:spacing w:before="240" w:after="120"/>
    </w:pPr>
    <w:rPr>
      <w:rFonts w:ascii="Arial" w:hAnsi="Arial" w:cs="Tahoma"/>
      <w:sz w:val="28"/>
      <w:szCs w:val="28"/>
    </w:rPr>
  </w:style>
  <w:style w:type="paragraph" w:styleId="Telotextu">
    <w:name w:val="Body Text"/>
    <w:basedOn w:val="Normal"/>
    <w:rsid w:val="006a5fdd"/>
    <w:pPr>
      <w:spacing w:before="0" w:after="120"/>
    </w:pPr>
    <w:rPr/>
  </w:style>
  <w:style w:type="paragraph" w:styleId="Zoznam">
    <w:name w:val="List"/>
    <w:basedOn w:val="Telotextu"/>
    <w:rsid w:val="006a5fdd"/>
    <w:pPr/>
    <w:rPr>
      <w:rFonts w:cs="Tahoma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basedOn w:val="Normal"/>
    <w:qFormat/>
    <w:rsid w:val="006a5fdd"/>
    <w:pPr>
      <w:suppressLineNumbers/>
    </w:pPr>
    <w:rPr>
      <w:rFonts w:cs="Tahoma"/>
    </w:rPr>
  </w:style>
  <w:style w:type="paragraph" w:styleId="Popisok" w:customStyle="1">
    <w:name w:val="Popisok"/>
    <w:basedOn w:val="Normal"/>
    <w:qFormat/>
    <w:rsid w:val="006a5fd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Odsekzoznamu1" w:customStyle="1">
    <w:name w:val="Odsek zoznamu1"/>
    <w:qFormat/>
    <w:rsid w:val="006a5fdd"/>
    <w:pPr>
      <w:widowControl w:val="false"/>
      <w:suppressAutoHyphens w:val="true"/>
      <w:bidi w:val="0"/>
      <w:spacing w:lineRule="auto" w:line="276" w:before="0" w:after="200"/>
      <w:ind w:left="720" w:hanging="0"/>
      <w:jc w:val="left"/>
    </w:pPr>
    <w:rPr>
      <w:rFonts w:ascii="Calibri" w:hAnsi="Calibri" w:eastAsia="Lucida Sans Unicode" w:cs="font311"/>
      <w:color w:val="auto"/>
      <w:kern w:val="2"/>
      <w:sz w:val="22"/>
      <w:szCs w:val="22"/>
      <w:lang w:eastAsia="ar-SA" w:val="sk-SK" w:bidi="ar-SA"/>
    </w:rPr>
  </w:style>
  <w:style w:type="paragraph" w:styleId="Obsahtabuky" w:customStyle="1">
    <w:name w:val="Obsah tabuľky"/>
    <w:basedOn w:val="Normal"/>
    <w:qFormat/>
    <w:rsid w:val="006a5fdd"/>
    <w:pPr>
      <w:suppressLineNumbers/>
    </w:pPr>
    <w:rPr/>
  </w:style>
  <w:style w:type="paragraph" w:styleId="DocumentMap">
    <w:name w:val="Document Map"/>
    <w:basedOn w:val="Normal"/>
    <w:semiHidden/>
    <w:qFormat/>
    <w:rsid w:val="00055fe3"/>
    <w:pPr>
      <w:shd w:val="clear" w:color="auto" w:fill="000080"/>
    </w:pPr>
    <w:rPr>
      <w:rFonts w:ascii="Tahoma" w:hAnsi="Tahoma" w:cs="Tahoma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014C0-89FE-4176-8354-E2FBC2B1F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Trio_Office/6.2.8.2$Windows_x86 LibreOffice_project/</Application>
  <Pages>7</Pages>
  <Words>864</Words>
  <Characters>5532</Characters>
  <CharactersWithSpaces>6482</CharactersWithSpaces>
  <Paragraphs>135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2022-06-29T12:53:00Z</dcterms:created>
  <dc:creator>HP</dc:creator>
  <dc:description/>
  <dc:language>sk-SK</dc:language>
  <cp:lastModifiedBy/>
  <cp:lastPrinted>2017-03-01T08:46:00Z</cp:lastPrinted>
  <dcterms:modified xsi:type="dcterms:W3CDTF">2022-06-30T18:32:26Z</dcterms:modified>
  <cp:revision>3</cp:revision>
  <dc:subject/>
  <dc:title>POZNÁMKY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