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pPr>
      <w:r>
        <w:rPr>
          <w:rFonts w:cs="Times New Roman" w:ascii="Times New Roman" w:hAnsi="Times New Roman"/>
        </w:rPr>
        <w:t>Poznámky ÚčMÚJ 3-01                              IČO: 53 021 134                 DIČ: 2121234049</w:t>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b/>
          <w:b/>
        </w:rPr>
      </w:pPr>
      <w:r>
        <w:rPr>
          <w:rFonts w:cs="Times New Roman" w:ascii="Times New Roman" w:hAnsi="Times New Roman"/>
        </w:rPr>
        <w:t xml:space="preserve">ČL. I.                                                                                                                                                    </w:t>
      </w:r>
      <w:r>
        <w:rPr>
          <w:rFonts w:cs="Times New Roman" w:ascii="Times New Roman" w:hAnsi="Times New Roman"/>
          <w:b/>
        </w:rPr>
        <w:t xml:space="preserve">Všeobecné údaje                                                                                                                                             </w:t>
      </w:r>
    </w:p>
    <w:p>
      <w:pPr>
        <w:pStyle w:val="ListParagraph"/>
        <w:numPr>
          <w:ilvl w:val="0"/>
          <w:numId w:val="1"/>
        </w:numPr>
        <w:spacing w:before="0" w:after="0"/>
        <w:contextualSpacing/>
        <w:rPr/>
      </w:pPr>
      <w:r>
        <w:rPr>
          <w:rFonts w:cs="Times New Roman" w:ascii="Times New Roman" w:hAnsi="Times New Roman"/>
        </w:rPr>
        <w:t>Názov a sídlo právnickej osoby: Trade servis s.r.o.,  Trenčianska 1279, 020 01 Púchov</w:t>
      </w:r>
    </w:p>
    <w:p>
      <w:pPr>
        <w:pStyle w:val="ListParagraph"/>
        <w:numPr>
          <w:ilvl w:val="0"/>
          <w:numId w:val="1"/>
        </w:numPr>
        <w:spacing w:before="0" w:after="0"/>
        <w:contextualSpacing/>
        <w:rPr/>
      </w:pPr>
      <w:r>
        <w:rPr>
          <w:rFonts w:cs="Times New Roman" w:ascii="Times New Roman" w:hAnsi="Times New Roman"/>
        </w:rPr>
        <w:t xml:space="preserve">Spoločnosť nie je súčasťou konsolidovaného celku a nezostavuje konsolidovanú účtovnú uzávierku. Spoločnosť nie je materskou spoločnosťou a nemá žiadne dcérske účtovné jednotky. </w:t>
      </w:r>
    </w:p>
    <w:p>
      <w:pPr>
        <w:pStyle w:val="ListParagraph"/>
        <w:numPr>
          <w:ilvl w:val="0"/>
          <w:numId w:val="1"/>
        </w:numPr>
        <w:spacing w:before="0" w:after="0"/>
        <w:contextualSpacing/>
        <w:rPr/>
      </w:pPr>
      <w:r>
        <w:rPr>
          <w:rStyle w:val="Ra"/>
          <w:rFonts w:cs="Times New Roman" w:ascii="Times New Roman" w:hAnsi="Times New Roman"/>
          <w:bCs/>
          <w:color w:val="000000"/>
          <w:shd w:fill="FFFFFF" w:val="clear"/>
        </w:rPr>
        <w:t>Spoločnosť počas roka 2021 nemala  žiadnych zamestnancov.</w:t>
      </w:r>
      <w:r>
        <w:rPr>
          <w:rStyle w:val="Appleconvertedspace"/>
          <w:rFonts w:cs="Times New Roman" w:ascii="Times New Roman" w:hAnsi="Times New Roman"/>
          <w:bCs/>
          <w:color w:val="000000"/>
          <w:shd w:fill="FFFFFF" w:val="clear"/>
        </w:rPr>
        <w:t> </w:t>
      </w:r>
    </w:p>
    <w:p>
      <w:pPr>
        <w:pStyle w:val="ListParagraph"/>
        <w:spacing w:before="0" w:after="0"/>
        <w:contextualSpacing/>
        <w:jc w:val="center"/>
        <w:rPr>
          <w:rStyle w:val="Appleconvertedspace"/>
          <w:rFonts w:ascii="Times New Roman" w:hAnsi="Times New Roman" w:cs="Times New Roman"/>
          <w:bCs/>
          <w:color w:val="000000"/>
          <w:highlight w:val="white"/>
        </w:rPr>
      </w:pPr>
      <w:r>
        <w:rPr>
          <w:rFonts w:cs="Times New Roman" w:ascii="Times New Roman" w:hAnsi="Times New Roman"/>
          <w:bCs/>
          <w:color w:val="000000"/>
          <w:highlight w:val="white"/>
        </w:rPr>
      </w:r>
    </w:p>
    <w:p>
      <w:pPr>
        <w:pStyle w:val="Normal"/>
        <w:jc w:val="center"/>
        <w:rPr>
          <w:rStyle w:val="Appleconvertedspace"/>
          <w:rFonts w:ascii="Times New Roman" w:hAnsi="Times New Roman" w:cs="Times New Roman"/>
          <w:b/>
          <w:b/>
          <w:bCs/>
          <w:color w:val="000000"/>
          <w:highlight w:val="white"/>
        </w:rPr>
      </w:pPr>
      <w:r>
        <w:rPr>
          <w:rStyle w:val="Appleconvertedspace"/>
          <w:rFonts w:cs="Times New Roman" w:ascii="Times New Roman" w:hAnsi="Times New Roman"/>
          <w:bCs/>
          <w:color w:val="000000"/>
          <w:shd w:fill="FFFFFF" w:val="clear"/>
        </w:rPr>
        <w:t xml:space="preserve">ČL. II.                                                                                                                                                                    </w:t>
      </w:r>
      <w:r>
        <w:rPr>
          <w:rStyle w:val="Appleconvertedspace"/>
          <w:rFonts w:cs="Times New Roman" w:ascii="Times New Roman" w:hAnsi="Times New Roman"/>
          <w:b/>
          <w:bCs/>
          <w:color w:val="000000"/>
          <w:shd w:fill="FFFFFF" w:val="clear"/>
        </w:rPr>
        <w:t xml:space="preserve">Informácie o prijatých postupoch   </w:t>
      </w:r>
    </w:p>
    <w:p>
      <w:pPr>
        <w:pStyle w:val="Normal"/>
        <w:rPr/>
      </w:pPr>
      <w:r>
        <w:rPr>
          <w:rStyle w:val="Appleconvertedspace"/>
          <w:rFonts w:cs="Times New Roman" w:ascii="Times New Roman" w:hAnsi="Times New Roman"/>
          <w:bCs/>
          <w:color w:val="000000"/>
          <w:shd w:fill="FFFFFF" w:val="clear"/>
        </w:rPr>
        <w:t xml:space="preserve">Účtovná závierka bola zostavená za predpokladu nepretržitého trvania jej činnosti.                                                                Účtovné obdobie : od 01.01.2021 do 31.12.2021                                                                                                                                                                                                        Predchádzajúce obdobie: od 01.01.2020 do 31.12.2020                                                                                                 Právny dôvod na zostavenie účtovnej závierky: </w:t>
      </w:r>
      <w:r>
        <w:rPr>
          <w:rStyle w:val="Appleconvertedspace"/>
          <w:rFonts w:cs="Times New Roman" w:ascii="Times New Roman" w:hAnsi="Times New Roman"/>
          <w:b/>
          <w:bCs/>
          <w:color w:val="000000"/>
          <w:shd w:fill="FFFFFF" w:val="clear"/>
        </w:rPr>
        <w:t xml:space="preserve">riadna </w:t>
      </w:r>
      <w:r>
        <w:rPr>
          <w:rStyle w:val="Appleconvertedspace"/>
          <w:rFonts w:cs="Times New Roman" w:ascii="Times New Roman" w:hAnsi="Times New Roman"/>
          <w:bCs/>
          <w:color w:val="000000"/>
          <w:shd w:fill="FFFFFF" w:val="clear"/>
        </w:rPr>
        <w:t xml:space="preserve">                                                                                                                                 Dátum schválenia účtovnej závierky za rok 2020:  11.04.2021 </w:t>
        <w:tab/>
        <w:t xml:space="preserve">                                                                                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 hodnoty tohto majetku je zanedbateľne nízke resp. žiadne.                                               3. Hmotný a nehmotný majetok spoločnosť vlastní.  Nehmotný dlhodobý majetok spoločnosť nevlastní.                                                                                                                                                                   4. Drobný hmotný investičný majetok bol v plnom rozsahu pri zaradení odpísaný, je evidovaný v osobitnej analytickej evidencii.                                                                                                                           5. Na obstaranie majetku neboli poskytnuté ani prijaté žiadne dotácie.                                                                       6. Inventarizácia stavu majetku a rozpracovanosti bola vykonaná k 31.12.2021  a neboli zistené žiadne rozdiely. Prepočet údajov v cudzích menách na € nebol vykonaný, nakoľko spoločnosť neeviduje k 31.12.2021 pohľadávky a záväzky v cudzích menách. Účtovná jednotka neprijala žiadny darovaný majetok. Účtovná jednotka nenadobudla žiadny majetok privatizáciou.                                                                                7. Počas účtovného obdobia v podniku nenastali žiadne zmeny účtovných metód a účtovných zásad.                       8. Počas účtovného obdobia neboli účtované žiadne významné prípadne nevýznamné opravy chýb minulých účtovných období.</w:t>
        <w:tab/>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cs="Times New Roman" w:ascii="Times New Roman" w:hAnsi="Times New Roman"/>
        </w:rPr>
        <w:t>Poznámky ÚčMÚJ 3-01                              IČO: 53 021 134                            DIČ: 2121234049</w:t>
      </w:r>
    </w:p>
    <w:p>
      <w:pPr>
        <w:pStyle w:val="Normal"/>
        <w:rPr>
          <w:rFonts w:ascii="Times New Roman" w:hAnsi="Times New Roman" w:cs="Times New Roman"/>
        </w:rPr>
      </w:pPr>
      <w:r>
        <w:rPr>
          <w:rFonts w:cs="Times New Roman" w:ascii="Times New Roman" w:hAnsi="Times New Roman"/>
        </w:rPr>
      </w:r>
    </w:p>
    <w:p>
      <w:pPr>
        <w:pStyle w:val="Normal"/>
        <w:jc w:val="center"/>
        <w:rPr/>
      </w:pPr>
      <w:r>
        <w:rPr>
          <w:rFonts w:cs="Times New Roman" w:ascii="Times New Roman" w:hAnsi="Times New Roman"/>
        </w:rPr>
        <w:t xml:space="preserve">ČL. III.                                                                                                                                                     </w:t>
      </w:r>
      <w:r>
        <w:rPr>
          <w:rFonts w:cs="Times New Roman" w:ascii="Times New Roman" w:hAnsi="Times New Roman"/>
          <w:b/>
        </w:rPr>
        <w:t>Informácie, ktoré vysvetľujú a dopĺňajú súvahu a výkaz ziskov  a strát</w:t>
      </w:r>
    </w:p>
    <w:p>
      <w:pPr>
        <w:pStyle w:val="Normal"/>
        <w:spacing w:before="0" w:after="0"/>
        <w:rPr/>
      </w:pPr>
      <w:r>
        <w:rPr>
          <w:rFonts w:cs="Times New Roman" w:ascii="Times New Roman" w:hAnsi="Times New Roman"/>
        </w:rPr>
        <w:t xml:space="preserve">1. Za účtovné obdobie roka Spoločnosť vykazuje stratu vo výške 17.306,- €.  </w:t>
      </w:r>
    </w:p>
    <w:p>
      <w:pPr>
        <w:pStyle w:val="Normal"/>
        <w:spacing w:before="0" w:after="0"/>
        <w:rPr/>
      </w:pPr>
      <w:r>
        <w:rPr>
          <w:rFonts w:cs="Times New Roman" w:ascii="Times New Roman" w:hAnsi="Times New Roman"/>
          <w:u w:val="single"/>
        </w:rPr>
        <w:t xml:space="preserve">Informácie o tržbách </w:t>
      </w:r>
    </w:p>
    <w:p>
      <w:pPr>
        <w:pStyle w:val="Normal"/>
        <w:spacing w:before="0" w:after="0"/>
        <w:rPr/>
      </w:pPr>
      <w:r>
        <w:rPr>
          <w:rFonts w:cs="Times New Roman" w:ascii="Times New Roman" w:hAnsi="Times New Roman"/>
        </w:rPr>
        <w:t>Jedinou  činnosťou v roku 2021 boli služby. Tržby z predaja služieb boli v objeme 14.018,- €.</w:t>
      </w:r>
    </w:p>
    <w:p>
      <w:pPr>
        <w:pStyle w:val="Normal"/>
        <w:spacing w:before="0" w:after="0"/>
        <w:rPr/>
      </w:pPr>
      <w:r>
        <w:rPr>
          <w:rFonts w:cs="Times New Roman" w:ascii="Times New Roman" w:hAnsi="Times New Roman"/>
          <w:u w:val="single"/>
        </w:rPr>
        <w:t>Informácie o nákladoch</w:t>
      </w:r>
    </w:p>
    <w:p>
      <w:pPr>
        <w:pStyle w:val="Normal"/>
        <w:spacing w:before="0" w:after="0"/>
        <w:rPr/>
      </w:pPr>
      <w:r>
        <w:rPr>
          <w:rFonts w:cs="Times New Roman" w:ascii="Times New Roman" w:hAnsi="Times New Roman"/>
        </w:rPr>
        <w:t xml:space="preserve">1. Položky prevádzkových nákladov tvoria náklady na spotrebu materiálu a energií v objeme 23.136,- €, služby vo výške 8.187,-€.                                                                                                                                       2. Informácie o záväzkoch. Celková suma záväzkov so zostatkovou dobou splatnosti dlhšou ako päť rokov je nula, nakoľko takéto záväzky spoločnosť neeviduje. Spoločnosť záväzky priebežne uhrádza.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roman"/>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sk-SK"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6628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k-SK" w:eastAsia="en-US" w:bidi="ar-SA"/>
    </w:rPr>
  </w:style>
  <w:style w:type="character" w:styleId="DefaultParagraphFont" w:default="1">
    <w:name w:val="Default Paragraph Font"/>
    <w:uiPriority w:val="1"/>
    <w:semiHidden/>
    <w:unhideWhenUsed/>
    <w:qFormat/>
    <w:rPr/>
  </w:style>
  <w:style w:type="character" w:styleId="Ra" w:customStyle="1">
    <w:name w:val="ra"/>
    <w:basedOn w:val="DefaultParagraphFont"/>
    <w:qFormat/>
    <w:rsid w:val="008d467b"/>
    <w:rPr/>
  </w:style>
  <w:style w:type="character" w:styleId="Appleconvertedspace" w:customStyle="1">
    <w:name w:val="apple-converted-space"/>
    <w:basedOn w:val="DefaultParagraphFont"/>
    <w:qFormat/>
    <w:rsid w:val="008d467b"/>
    <w:rPr/>
  </w:style>
  <w:style w:type="paragraph" w:styleId="Nadpis">
    <w:name w:val="Nadpis"/>
    <w:basedOn w:val="Normal"/>
    <w:next w:val="Telotextu"/>
    <w:qFormat/>
    <w:pPr>
      <w:keepNext w:val="true"/>
      <w:spacing w:before="240" w:after="120"/>
    </w:pPr>
    <w:rPr>
      <w:rFonts w:ascii="Liberation Sans" w:hAnsi="Liberation Sans" w:eastAsia="Microsoft YaHei" w:cs="Arial"/>
      <w:sz w:val="28"/>
      <w:szCs w:val="28"/>
    </w:rPr>
  </w:style>
  <w:style w:type="paragraph" w:styleId="Telotextu">
    <w:name w:val="Body Text"/>
    <w:basedOn w:val="Normal"/>
    <w:pPr>
      <w:spacing w:lineRule="auto" w:line="276" w:before="0" w:after="140"/>
    </w:pPr>
    <w:rPr/>
  </w:style>
  <w:style w:type="paragraph" w:styleId="Zoznam">
    <w:name w:val="List"/>
    <w:basedOn w:val="Telotextu"/>
    <w:pPr/>
    <w:rPr>
      <w:rFonts w:cs="Arial"/>
    </w:rPr>
  </w:style>
  <w:style w:type="paragraph" w:styleId="Popis">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8d467b"/>
    <w:pPr>
      <w:spacing w:before="0" w:after="200"/>
      <w:ind w:left="720" w:hanging="0"/>
      <w:contextualSpacing/>
    </w:pPr>
    <w:rPr/>
  </w:style>
  <w:style w:type="numbering" w:styleId="NoList" w:default="1">
    <w:name w:val="No List"/>
    <w:uiPriority w:val="99"/>
    <w:semiHidden/>
    <w:unhideWhenUsed/>
    <w:qFormat/>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Application>LibreOffice/6.1.3.2$Windows_x86 LibreOffice_project/86daf60bf00efa86ad547e59e09d6bb77c699acb</Application>
  <Pages>2</Pages>
  <Words>423</Words>
  <Characters>2634</Characters>
  <CharactersWithSpaces>5262</CharactersWithSpaces>
  <Paragraphs>14</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2018-09-29T12:32:00Z</dcterms:created>
  <dc:creator>EkonJarka</dc:creator>
  <dc:description/>
  <dc:language>sk-SK</dc:language>
  <cp:lastModifiedBy/>
  <cp:lastPrinted>2018-09-30T12:52:00Z</cp:lastPrinted>
  <dcterms:modified xsi:type="dcterms:W3CDTF">2022-06-29T17:32:09Z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