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</w:pPr>
      <w:r>
        <w:rPr>
          <w:rFonts w:ascii="Times New Roman" w:hAnsi="Times New Roman" w:cs="Times New Roman"/>
          <w:sz w:val="30"/>
          <w:sz-cs w:val="30"/>
          <w:b/>
          <w:color w:val="222222"/>
        </w:rPr>
        <w:t xml:space="preserve">POZNÁMKY K ÚČTOVNEJ ZÁVIERKE mikro účtovnej jednotky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  <w:color w:val="222222"/>
        </w:rPr>
        <w:t xml:space="preserve">k 31.12.2021 ( v EUR)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  <w:color w:val="222222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30"/>
          <w:sz-cs w:val="30"/>
          <w:b/>
          <w:color w:val="222222"/>
        </w:rPr>
        <w:t xml:space="preserve">METROPOLITNÁ, s.r.o.</w:t>
        <w:br/>
        <w:t xml:space="preserve">Pod záhradami 62, 841 02 Bratislava</w:t>
      </w:r>
    </w:p>
    <w:p>
      <w:pPr>
        <w:jc w:val="center"/>
      </w:pPr>
      <w:r>
        <w:rPr>
          <w:rFonts w:ascii="Times New Roman" w:hAnsi="Times New Roman" w:cs="Times New Roman"/>
          <w:sz w:val="30"/>
          <w:sz-cs w:val="30"/>
          <w:b/>
          <w:color w:val="222222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  <w:color w:val="222222"/>
        </w:rPr>
        <w:t xml:space="preserve">IČO: 44019858</w:t>
        <w:br/>
        <w:t xml:space="preserve">Dátum založenia: 15.02.2008</w:t>
        <w:br/>
        <w:t xml:space="preserve">Dátum zápisu do obchodného registra: 28.02.2008 Obchodný register OS BA I, oddiel: Sro, vložka č. 50808/B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  <w:color w:val="222222"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  <w:b/>
          <w:color w:val="222222"/>
        </w:rPr>
        <w:t xml:space="preserve">1. Štruktúra spoločníkov</w:t>
      </w:r>
      <w:r>
        <w:rPr>
          <w:rFonts w:ascii="Times New Roman" w:hAnsi="Times New Roman" w:cs="Times New Roman"/>
          <w:sz w:val="20"/>
          <w:sz-cs w:val="20"/>
          <w:color w:val="222222"/>
        </w:rPr>
        <w:t xml:space="preserve">: </w:t>
      </w:r>
    </w:p>
    <w:p>
      <w:pPr/>
      <w:r>
        <w:rPr>
          <w:rFonts w:ascii="Times New Roman" w:hAnsi="Times New Roman" w:cs="Times New Roman"/>
          <w:sz w:val="20"/>
          <w:sz-cs w:val="20"/>
          <w:color w:val="222222"/>
        </w:rPr>
        <w:t xml:space="preserve">- Mgr. Stanislava Kačkovičová, 6 638,783775 EUR– splatené 6 638,783775 EUR, 100% podiel v spoločnosti </w:t>
      </w:r>
    </w:p>
    <w:p>
      <w:pPr/>
      <w:r>
        <w:rPr>
          <w:rFonts w:ascii="Times New Roman" w:hAnsi="Times New Roman" w:cs="Times New Roman"/>
          <w:sz w:val="20"/>
          <w:sz-cs w:val="20"/>
          <w:b/>
          <w:color w:val="222222"/>
        </w:rPr>
        <w:t xml:space="preserve">2. Zoznam členov štatutárnych orgánov spoločnosti</w:t>
      </w:r>
      <w:r>
        <w:rPr>
          <w:rFonts w:ascii="Times New Roman" w:hAnsi="Times New Roman" w:cs="Times New Roman"/>
          <w:sz w:val="20"/>
          <w:sz-cs w:val="20"/>
          <w:color w:val="222222"/>
        </w:rPr>
        <w:t xml:space="preserve">: </w:t>
      </w:r>
    </w:p>
    <w:p>
      <w:pPr/>
      <w:r>
        <w:rPr>
          <w:rFonts w:ascii="Times New Roman" w:hAnsi="Times New Roman" w:cs="Times New Roman"/>
          <w:sz w:val="20"/>
          <w:sz-cs w:val="20"/>
          <w:color w:val="222222"/>
        </w:rPr>
        <w:t xml:space="preserve">- Mgr. Stanislava Kačkovičová konateľ </w:t>
      </w:r>
    </w:p>
    <w:p>
      <w:pPr/>
      <w:r>
        <w:rPr>
          <w:rFonts w:ascii="Times New Roman" w:hAnsi="Times New Roman" w:cs="Times New Roman"/>
          <w:sz w:val="20"/>
          <w:sz-cs w:val="20"/>
          <w:b/>
          <w:color w:val="222222"/>
        </w:rPr>
        <w:t xml:space="preserve">3. Zamestnanci: </w:t>
      </w:r>
    </w:p>
    <w:p>
      <w:pPr>
        <w:ind w:left="720" w:first-line="-720"/>
      </w:pPr>
      <w:r>
        <w:rPr>
          <w:rFonts w:ascii="Times New Roman" w:hAnsi="Times New Roman" w:cs="Times New Roman"/>
          <w:sz w:val="20"/>
          <w:sz-cs w:val="20"/>
          <w:color w:val="222222"/>
        </w:rPr>
        <w:t xml:space="preserve"/>
        <w:tab/>
        <w:t xml:space="preserve">•</w:t>
        <w:tab/>
        <w:t xml:space="preserve">-  Spoločnosť nezamestnávala žiadneho zamestnanca </w:t>
      </w:r>
    </w:p>
    <w:p>
      <w:pPr>
        <w:ind w:left="720" w:first-line="-720"/>
      </w:pPr>
      <w:r>
        <w:rPr>
          <w:rFonts w:ascii="Times New Roman" w:hAnsi="Times New Roman" w:cs="Times New Roman"/>
          <w:sz w:val="20"/>
          <w:sz-cs w:val="20"/>
          <w:color w:val="222222"/>
        </w:rPr>
        <w:t xml:space="preserve"/>
        <w:tab/>
        <w:t xml:space="preserve">•</w:t>
        <w:tab/>
        <w:t xml:space="preserve">-  Mzdové náklady: 0,- EUR </w:t>
      </w:r>
    </w:p>
    <w:p>
      <w:pPr>
        <w:ind w:left="720" w:first-line="-720"/>
      </w:pPr>
      <w:r>
        <w:rPr>
          <w:rFonts w:ascii="Times New Roman" w:hAnsi="Times New Roman" w:cs="Times New Roman"/>
          <w:sz w:val="20"/>
          <w:sz-cs w:val="20"/>
          <w:color w:val="222222"/>
        </w:rPr>
        <w:t xml:space="preserve"/>
        <w:tab/>
        <w:t xml:space="preserve">•</w:t>
        <w:tab/>
        <w:t xml:space="preserve">-  Náklady na sociálne zabezpečenie: 0,- EUR </w:t>
      </w:r>
    </w:p>
    <w:p>
      <w:pPr>
        <w:ind w:left="720" w:first-line="-720"/>
      </w:pPr>
      <w:r>
        <w:rPr>
          <w:rFonts w:ascii="Times New Roman" w:hAnsi="Times New Roman" w:cs="Times New Roman"/>
          <w:sz w:val="20"/>
          <w:sz-cs w:val="20"/>
          <w:color w:val="222222"/>
        </w:rPr>
        <w:t xml:space="preserve"/>
        <w:tab/>
        <w:t xml:space="preserve">•</w:t>
        <w:tab/>
        <w:t xml:space="preserve">-  Sociálne náklady: 0,- EUR </w:t>
      </w:r>
    </w:p>
    <w:p>
      <w:pPr/>
      <w:r>
        <w:rPr>
          <w:rFonts w:ascii="Times New Roman" w:hAnsi="Times New Roman" w:cs="Times New Roman"/>
          <w:sz w:val="20"/>
          <w:sz-cs w:val="20"/>
          <w:b/>
          <w:color w:val="222222"/>
        </w:rPr>
        <w:t xml:space="preserve">4. Podiel na základnom imaní v iných spoločnostiach: </w:t>
      </w:r>
    </w:p>
    <w:p>
      <w:pPr>
        <w:ind w:left="720" w:first-line="-720"/>
      </w:pPr>
      <w:r>
        <w:rPr>
          <w:rFonts w:ascii="Times New Roman" w:hAnsi="Times New Roman" w:cs="Times New Roman"/>
          <w:sz w:val="20"/>
          <w:sz-cs w:val="20"/>
          <w:color w:val="222222"/>
        </w:rPr>
        <w:t xml:space="preserve"/>
        <w:tab/>
        <w:t xml:space="preserve">•</w:t>
        <w:tab/>
        <w:t xml:space="preserve">-  Spoločnosť nemá podiel na základnom imaní v iných spoločnostiach. </w:t>
      </w:r>
    </w:p>
    <w:p>
      <w:pPr>
        <w:ind w:left="720" w:first-line="-720"/>
      </w:pPr>
      <w:r>
        <w:rPr>
          <w:rFonts w:ascii="Times New Roman" w:hAnsi="Times New Roman" w:cs="Times New Roman"/>
          <w:sz w:val="20"/>
          <w:sz-cs w:val="20"/>
          <w:color w:val="222222"/>
        </w:rPr>
        <w:t xml:space="preserve"/>
        <w:tab/>
        <w:t xml:space="preserve">•</w:t>
        <w:tab/>
        <w:t xml:space="preserve">-  Účtovná jednotka nie je súčasťou konsolidovaného celku. </w:t>
      </w:r>
    </w:p>
    <w:p>
      <w:pPr/>
      <w:r>
        <w:rPr>
          <w:rFonts w:ascii="Times New Roman" w:hAnsi="Times New Roman" w:cs="Times New Roman"/>
          <w:sz w:val="20"/>
          <w:sz-cs w:val="20"/>
          <w:b/>
          <w:color w:val="222222"/>
        </w:rPr>
        <w:t xml:space="preserve">5. Účtovanie zásob: </w:t>
      </w:r>
    </w:p>
    <w:p>
      <w:pPr/>
      <w:r>
        <w:rPr>
          <w:rFonts w:ascii="Times New Roman" w:hAnsi="Times New Roman" w:cs="Times New Roman"/>
          <w:sz w:val="20"/>
          <w:sz-cs w:val="20"/>
          <w:color w:val="222222"/>
        </w:rPr>
        <w:t xml:space="preserve">- spoločnosť neúčtovala o zásobách. </w:t>
      </w:r>
    </w:p>
    <w:p>
      <w:pPr/>
      <w:r>
        <w:rPr>
          <w:rFonts w:ascii="Times New Roman" w:hAnsi="Times New Roman" w:cs="Times New Roman"/>
          <w:sz w:val="20"/>
          <w:sz-cs w:val="20"/>
          <w:b/>
          <w:color w:val="222222"/>
        </w:rPr>
        <w:t xml:space="preserve">6. Účtovanie dlhodobého majetku:</w:t>
        <w:br/>
        <w:t xml:space="preserve"/>
      </w:r>
      <w:r>
        <w:rPr>
          <w:rFonts w:ascii="Times New Roman" w:hAnsi="Times New Roman" w:cs="Times New Roman"/>
          <w:sz w:val="20"/>
          <w:sz-cs w:val="20"/>
          <w:color w:val="222222"/>
        </w:rPr>
        <w:t xml:space="preserve">- spoločnosť v roku 2021 neevidovala dlhodobý majetok -</w:t>
      </w:r>
    </w:p>
    <w:p>
      <w:pPr/>
      <w:r>
        <w:rPr>
          <w:rFonts w:ascii="Times New Roman" w:hAnsi="Times New Roman" w:cs="Times New Roman"/>
          <w:sz w:val="20"/>
          <w:sz-cs w:val="20"/>
          <w:b/>
          <w:color w:val="222222"/>
        </w:rPr>
        <w:t xml:space="preserve">7. Majetok a záväzky v cudzej mene</w:t>
      </w:r>
      <w:r>
        <w:rPr>
          <w:rFonts w:ascii="Times New Roman" w:hAnsi="Times New Roman" w:cs="Times New Roman"/>
          <w:sz w:val="20"/>
          <w:sz-cs w:val="20"/>
          <w:color w:val="222222"/>
        </w:rPr>
        <w:t xml:space="preserve">: </w:t>
      </w:r>
    </w:p>
    <w:p>
      <w:pPr/>
      <w:r>
        <w:rPr>
          <w:rFonts w:ascii="Times New Roman" w:hAnsi="Times New Roman" w:cs="Times New Roman"/>
          <w:sz w:val="20"/>
          <w:sz-cs w:val="20"/>
          <w:color w:val="222222"/>
        </w:rPr>
        <w:t xml:space="preserve">- Spoločnosť majetok a záväzky v cudzej mene nevykazuje. Neboli také účtovné prípady.  </w:t>
      </w:r>
    </w:p>
    <w:p>
      <w:pPr/>
      <w:r>
        <w:rPr>
          <w:rFonts w:ascii="Times New Roman" w:hAnsi="Times New Roman" w:cs="Times New Roman"/>
          <w:sz w:val="20"/>
          <w:sz-cs w:val="20"/>
          <w:b/>
          <w:color w:val="222222"/>
        </w:rPr>
        <w:t xml:space="preserve">8. Pohľadávky po lehote splatnosti: </w:t>
      </w:r>
    </w:p>
    <w:p>
      <w:pPr/>
      <w:r>
        <w:rPr>
          <w:rFonts w:ascii="Times New Roman" w:hAnsi="Times New Roman" w:cs="Times New Roman"/>
          <w:sz w:val="20"/>
          <w:sz-cs w:val="20"/>
          <w:color w:val="222222"/>
        </w:rPr>
        <w:t xml:space="preserve">- Spoločnosť nemá pohľadávky po lehote splatnosti. </w:t>
      </w:r>
    </w:p>
    <w:p>
      <w:pPr/>
      <w:r>
        <w:rPr>
          <w:rFonts w:ascii="Times New Roman" w:hAnsi="Times New Roman" w:cs="Times New Roman"/>
          <w:sz w:val="20"/>
          <w:sz-cs w:val="20"/>
          <w:b/>
          <w:color w:val="222222"/>
        </w:rPr>
        <w:t xml:space="preserve">9. Záväzky po lehote splatnosti</w:t>
      </w:r>
      <w:r>
        <w:rPr>
          <w:rFonts w:ascii="Times New Roman" w:hAnsi="Times New Roman" w:cs="Times New Roman"/>
          <w:sz w:val="20"/>
          <w:sz-cs w:val="20"/>
          <w:color w:val="222222"/>
        </w:rPr>
        <w:t xml:space="preserve">: </w:t>
      </w:r>
    </w:p>
    <w:p>
      <w:pPr/>
      <w:r>
        <w:rPr>
          <w:rFonts w:ascii="Times New Roman" w:hAnsi="Times New Roman" w:cs="Times New Roman"/>
          <w:sz w:val="20"/>
          <w:sz-cs w:val="20"/>
          <w:color w:val="222222"/>
        </w:rPr>
        <w:t xml:space="preserve">- Spoločnosť nemá záväzky po lehote splatnosti. </w:t>
      </w:r>
    </w:p>
    <w:p>
      <w:pPr/>
      <w:r>
        <w:rPr>
          <w:rFonts w:ascii="Times New Roman" w:hAnsi="Times New Roman" w:cs="Times New Roman"/>
          <w:sz w:val="20"/>
          <w:sz-cs w:val="20"/>
          <w:b/>
          <w:color w:val="222222"/>
        </w:rPr>
        <w:t xml:space="preserve">10. Výnosy – významné položky</w:t>
      </w:r>
      <w:r>
        <w:rPr>
          <w:rFonts w:ascii="Times New Roman" w:hAnsi="Times New Roman" w:cs="Times New Roman"/>
          <w:sz w:val="20"/>
          <w:sz-cs w:val="20"/>
          <w:color w:val="222222"/>
        </w:rPr>
        <w:t xml:space="preserve">: </w:t>
      </w:r>
    </w:p>
    <w:p>
      <w:pPr/>
      <w:r>
        <w:rPr>
          <w:rFonts w:ascii="Times New Roman" w:hAnsi="Times New Roman" w:cs="Times New Roman"/>
          <w:sz w:val="20"/>
          <w:sz-cs w:val="20"/>
          <w:color w:val="222222"/>
        </w:rPr>
        <w:t xml:space="preserve">- žiadne. </w:t>
      </w:r>
    </w:p>
    <w:p>
      <w:pPr/>
      <w:r>
        <w:rPr>
          <w:rFonts w:ascii="Times New Roman" w:hAnsi="Times New Roman" w:cs="Times New Roman"/>
          <w:sz w:val="20"/>
          <w:sz-cs w:val="20"/>
          <w:b/>
          <w:color w:val="222222"/>
        </w:rPr>
        <w:t xml:space="preserve">11. Náklady – významné položky</w:t>
      </w:r>
      <w:r>
        <w:rPr>
          <w:rFonts w:ascii="Times New Roman" w:hAnsi="Times New Roman" w:cs="Times New Roman"/>
          <w:sz w:val="20"/>
          <w:sz-cs w:val="20"/>
          <w:color w:val="222222"/>
        </w:rPr>
        <w:t xml:space="preserve">: </w:t>
      </w:r>
    </w:p>
    <w:p>
      <w:pPr/>
      <w:r>
        <w:rPr>
          <w:rFonts w:ascii="Times New Roman" w:hAnsi="Times New Roman" w:cs="Times New Roman"/>
          <w:sz w:val="20"/>
          <w:sz-cs w:val="20"/>
          <w:color w:val="222222"/>
        </w:rPr>
        <w:t xml:space="preserve">- žiadne. </w:t>
      </w:r>
    </w:p>
    <w:p>
      <w:pPr/>
      <w:r>
        <w:rPr>
          <w:rFonts w:ascii="Times New Roman" w:hAnsi="Times New Roman" w:cs="Times New Roman"/>
          <w:sz w:val="20"/>
          <w:sz-cs w:val="20"/>
          <w:b/>
          <w:color w:val="222222"/>
        </w:rPr>
        <w:t xml:space="preserve">12. Rezervy a opravné položky: </w:t>
      </w:r>
    </w:p>
    <w:p>
      <w:pPr/>
      <w:r>
        <w:rPr>
          <w:rFonts w:ascii="Times New Roman" w:hAnsi="Times New Roman" w:cs="Times New Roman"/>
          <w:sz w:val="20"/>
          <w:sz-cs w:val="20"/>
          <w:color w:val="222222"/>
        </w:rPr>
        <w:t xml:space="preserve">- Spoločnosť nevytvorila v roku 2021 žiadne rezervy ani opravné položky. </w:t>
      </w:r>
    </w:p>
    <w:p>
      <w:pPr/>
      <w:r>
        <w:rPr>
          <w:rFonts w:ascii="Times New Roman" w:hAnsi="Times New Roman" w:cs="Times New Roman"/>
          <w:sz w:val="20"/>
          <w:sz-cs w:val="20"/>
          <w:b/>
          <w:color w:val="222222"/>
        </w:rPr>
        <w:t xml:space="preserve">13. Položky zvyšujúce výsledok hospodárenia pre účely stanovenia základu dane z príjmu právnických osôb: </w:t>
      </w:r>
    </w:p>
    <w:p>
      <w:pPr/>
      <w:r>
        <w:rPr>
          <w:rFonts w:ascii="Times New Roman" w:hAnsi="Times New Roman" w:cs="Times New Roman"/>
          <w:sz w:val="20"/>
          <w:sz-cs w:val="20"/>
          <w:color w:val="222222"/>
        </w:rPr>
        <w:t xml:space="preserve">- žiadne </w:t>
      </w:r>
    </w:p>
    <w:p>
      <w:pPr/>
      <w:r>
        <w:rPr>
          <w:rFonts w:ascii="Times New Roman" w:hAnsi="Times New Roman" w:cs="Times New Roman"/>
          <w:sz w:val="20"/>
          <w:sz-cs w:val="20"/>
          <w:b/>
          <w:color w:val="222222"/>
        </w:rPr>
        <w:t xml:space="preserve">14. Položky znižujúce výsledok hospodárenia pre účely stanovenia základu dane z príjmu právnických osôb:</w:t>
        <w:br/>
        <w:t xml:space="preserve"/>
      </w:r>
      <w:r>
        <w:rPr>
          <w:rFonts w:ascii="Times New Roman" w:hAnsi="Times New Roman" w:cs="Times New Roman"/>
          <w:sz w:val="20"/>
          <w:sz-cs w:val="20"/>
          <w:color w:val="222222"/>
        </w:rPr>
        <w:t xml:space="preserve">- žiadne </w:t>
      </w:r>
    </w:p>
    <w:p>
      <w:pPr/>
      <w:r>
        <w:rPr>
          <w:rFonts w:ascii="Times New Roman" w:hAnsi="Times New Roman" w:cs="Times New Roman"/>
          <w:sz w:val="20"/>
          <w:sz-cs w:val="20"/>
          <w:color w:val="222222"/>
        </w:rPr>
        <w:t xml:space="preserve">r.100 Výsledok hospodárenia pred zdanením </w:t>
        <w:tab/>
        <w:t xml:space="preserve">1069,55 Eur </w:t>
      </w:r>
    </w:p>
    <w:p>
      <w:pPr/>
      <w:r>
        <w:rPr>
          <w:rFonts w:ascii="Times New Roman" w:hAnsi="Times New Roman" w:cs="Times New Roman"/>
          <w:sz w:val="20"/>
          <w:sz-cs w:val="20"/>
          <w:color w:val="222222"/>
        </w:rPr>
        <w:t xml:space="preserve"/>
        <w:tab/>
        <w:t xml:space="preserve"/>
      </w:r>
    </w:p>
    <w:p>
      <w:pPr>
        <w:ind w:left="720" w:first-line="-720"/>
      </w:pPr>
      <w:r>
        <w:rPr>
          <w:rFonts w:ascii="Times New Roman" w:hAnsi="Times New Roman" w:cs="Times New Roman"/>
          <w:sz w:val="20"/>
          <w:sz-cs w:val="20"/>
          <w:color w:val="222222"/>
        </w:rPr>
        <w:t xml:space="preserve"/>
        <w:tab/>
        <w:t xml:space="preserve">•</w:t>
        <w:tab/>
        <w:t xml:space="preserve">Účtová trieda: 6 - Tržby - celkom </w:t>
        <w:tab/>
        <w:t xml:space="preserve"/>
        <w:tab/>
        <w:t xml:space="preserve">134417,70Eur</w:t>
      </w:r>
    </w:p>
    <w:p>
      <w:pPr>
        <w:ind w:left="720" w:first-line="-720"/>
      </w:pPr>
      <w:r>
        <w:rPr>
          <w:rFonts w:ascii="Times New Roman" w:hAnsi="Times New Roman" w:cs="Times New Roman"/>
          <w:sz w:val="20"/>
          <w:sz-cs w:val="20"/>
          <w:color w:val="222222"/>
        </w:rPr>
        <w:t xml:space="preserve"/>
        <w:tab/>
        <w:t xml:space="preserve">•</w:t>
        <w:tab/>
        <w:t xml:space="preserve">Účtová trieda: 5 - Náklady - celkom </w:t>
        <w:tab/>
        <w:t xml:space="preserve">133348,15 Eur </w:t>
      </w:r>
    </w:p>
    <w:p>
      <w:pPr>
        <w:ind w:left="720" w:first-line="-720"/>
      </w:pPr>
      <w:r>
        <w:rPr>
          <w:rFonts w:ascii="Times New Roman" w:hAnsi="Times New Roman" w:cs="Times New Roman"/>
          <w:sz w:val="20"/>
          <w:sz-cs w:val="20"/>
          <w:color w:val="222222"/>
        </w:rPr>
        <w:t xml:space="preserve"/>
        <w:tab/>
        <w:t xml:space="preserve">•</w:t>
        <w:tab/>
        <w:t xml:space="preserve">Položky zvyšujúce výsledok hospodárenia - riadok 200 </w:t>
        <w:tab/>
        <w:t xml:space="preserve">0,00</w:t>
        <w:tab/>
        <w:t xml:space="preserve"/>
        <w:tab/>
        <w:t xml:space="preserve"/>
      </w:r>
    </w:p>
    <w:p>
      <w:pPr>
        <w:ind w:left="720" w:first-line="-720"/>
      </w:pPr>
      <w:r>
        <w:rPr>
          <w:rFonts w:ascii="Times New Roman" w:hAnsi="Times New Roman" w:cs="Times New Roman"/>
          <w:sz w:val="20"/>
          <w:sz-cs w:val="20"/>
          <w:color w:val="222222"/>
        </w:rPr>
        <w:t xml:space="preserve"/>
        <w:tab/>
        <w:t xml:space="preserve">•</w:t>
        <w:tab/>
        <w:t xml:space="preserve">Položky znižujúce výsledok hospodárenia - riadok 300 </w:t>
        <w:tab/>
        <w:t xml:space="preserve">0,00</w:t>
      </w:r>
    </w:p>
    <w:p>
      <w:pPr/>
      <w:r>
        <w:rPr>
          <w:rFonts w:ascii="Times New Roman" w:hAnsi="Times New Roman" w:cs="Times New Roman"/>
          <w:sz w:val="20"/>
          <w:sz-cs w:val="20"/>
          <w:color w:val="222222"/>
        </w:rPr>
        <w:t xml:space="preserve">4 . Základ dane</w:t>
        <w:tab/>
        <w:t xml:space="preserve"/>
        <w:tab/>
        <w:t xml:space="preserve"/>
        <w:tab/>
        <w:t xml:space="preserve"/>
        <w:tab/>
        <w:t xml:space="preserve"/>
        <w:tab/>
        <w:t xml:space="preserve">1069,55 Eur</w:t>
        <w:br/>
        <w:t xml:space="preserve">5. Daň - rok 2021</w:t>
        <w:tab/>
        <w:t xml:space="preserve"/>
        <w:tab/>
        <w:t xml:space="preserve"/>
        <w:tab/>
        <w:t xml:space="preserve"/>
        <w:tab/>
        <w:t xml:space="preserve">224,60 Eur </w:t>
      </w:r>
    </w:p>
    <w:p>
      <w:pPr/>
      <w:r>
        <w:rPr>
          <w:rFonts w:ascii="Times New Roman" w:hAnsi="Times New Roman" w:cs="Times New Roman"/>
          <w:sz w:val="20"/>
          <w:sz-cs w:val="20"/>
          <w:color w:val="222222"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  <w:color w:val="222222"/>
        </w:rPr>
        <w:t xml:space="preserve"/>
      </w:r>
    </w:p>
    <w:sectPr>
      <w:pgSz w:w="11900" w:h="16840"/>
      <w:pgMar w:top="1440" w:right="1800" w:bottom="1440" w:left="180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</dc:creator>
</cp:coreProperties>
</file>

<file path=docProps/meta.xml><?xml version="1.0" encoding="utf-8"?>
<meta xmlns="http://schemas.apple.com/cocoa/2006/metadata">
  <generator>CocoaOOXMLWriter/2022.7</generator>
</meta>
</file>