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C4863" w14:textId="77777777" w:rsidR="00C0350B" w:rsidRDefault="00C0350B">
      <w:pPr>
        <w:jc w:val="center"/>
        <w:rPr>
          <w:sz w:val="24"/>
        </w:rPr>
      </w:pPr>
    </w:p>
    <w:p w14:paraId="4D71C333" w14:textId="77777777" w:rsidR="00C0350B" w:rsidRDefault="00C0350B">
      <w:pPr>
        <w:ind w:firstLine="708"/>
        <w:jc w:val="both"/>
        <w:rPr>
          <w:sz w:val="24"/>
        </w:rPr>
      </w:pPr>
    </w:p>
    <w:p w14:paraId="205A4F13" w14:textId="77777777" w:rsidR="00C0350B" w:rsidRDefault="00C0350B">
      <w:pPr>
        <w:ind w:firstLine="708"/>
        <w:jc w:val="both"/>
        <w:rPr>
          <w:sz w:val="24"/>
        </w:rPr>
      </w:pPr>
    </w:p>
    <w:p w14:paraId="439853AF" w14:textId="77777777" w:rsidR="00C0350B" w:rsidRDefault="00C0350B">
      <w:pPr>
        <w:ind w:firstLine="708"/>
        <w:jc w:val="both"/>
        <w:rPr>
          <w:sz w:val="24"/>
        </w:rPr>
      </w:pPr>
    </w:p>
    <w:p w14:paraId="45CF3ADD" w14:textId="77777777" w:rsidR="00C0350B" w:rsidRDefault="00C0350B">
      <w:pPr>
        <w:ind w:firstLine="708"/>
        <w:jc w:val="both"/>
        <w:rPr>
          <w:sz w:val="24"/>
        </w:rPr>
      </w:pPr>
    </w:p>
    <w:p w14:paraId="3A120568" w14:textId="77777777" w:rsidR="00C0350B" w:rsidRDefault="00C0350B">
      <w:pPr>
        <w:ind w:firstLine="708"/>
        <w:jc w:val="both"/>
        <w:rPr>
          <w:sz w:val="24"/>
        </w:rPr>
      </w:pPr>
    </w:p>
    <w:p w14:paraId="60662771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</w:t>
      </w:r>
    </w:p>
    <w:p w14:paraId="4A0410E3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Všeobecné informácie</w:t>
      </w:r>
    </w:p>
    <w:p w14:paraId="1908B174" w14:textId="77777777" w:rsidR="00C0350B" w:rsidRDefault="00C0350B">
      <w:pPr>
        <w:jc w:val="center"/>
        <w:rPr>
          <w:sz w:val="24"/>
        </w:rPr>
      </w:pPr>
    </w:p>
    <w:p w14:paraId="7D8C7293" w14:textId="77777777" w:rsidR="00C0350B" w:rsidRDefault="00C0350B">
      <w:pPr>
        <w:jc w:val="both"/>
        <w:rPr>
          <w:sz w:val="24"/>
        </w:rPr>
      </w:pPr>
    </w:p>
    <w:p w14:paraId="10145D87" w14:textId="77777777" w:rsidR="00C0350B" w:rsidRDefault="003C4D6D">
      <w:pPr>
        <w:jc w:val="both"/>
        <w:rPr>
          <w:b/>
          <w:sz w:val="24"/>
        </w:rPr>
      </w:pPr>
      <w:r>
        <w:rPr>
          <w:b/>
          <w:sz w:val="24"/>
        </w:rPr>
        <w:t xml:space="preserve">1. </w:t>
      </w:r>
      <w:r>
        <w:rPr>
          <w:b/>
          <w:sz w:val="22"/>
          <w:szCs w:val="22"/>
        </w:rPr>
        <w:t>Názov a sídlo právnickej osoby</w:t>
      </w:r>
    </w:p>
    <w:p w14:paraId="7854BBB6" w14:textId="77777777" w:rsidR="00C0350B" w:rsidRDefault="00C0350B">
      <w:pPr>
        <w:jc w:val="both"/>
        <w:rPr>
          <w:sz w:val="24"/>
        </w:rPr>
      </w:pPr>
    </w:p>
    <w:p w14:paraId="65B233BE" w14:textId="77777777" w:rsidR="00C0350B" w:rsidRDefault="003C4D6D">
      <w:pPr>
        <w:jc w:val="both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  <w:t xml:space="preserve">                                                     </w:t>
      </w:r>
      <w:r>
        <w:rPr>
          <w:b/>
          <w:sz w:val="22"/>
        </w:rPr>
        <w:t>MURAT CK ,  s. r. o.</w:t>
      </w:r>
      <w:r>
        <w:rPr>
          <w:sz w:val="22"/>
        </w:rPr>
        <w:tab/>
      </w:r>
    </w:p>
    <w:p w14:paraId="0077FF55" w14:textId="77777777" w:rsidR="00C0350B" w:rsidRDefault="003C4D6D">
      <w:pPr>
        <w:ind w:left="3540" w:firstLine="708"/>
        <w:jc w:val="both"/>
        <w:rPr>
          <w:sz w:val="22"/>
        </w:rPr>
      </w:pPr>
      <w:r>
        <w:rPr>
          <w:sz w:val="22"/>
        </w:rPr>
        <w:t xml:space="preserve">  </w:t>
      </w:r>
      <w:proofErr w:type="spellStart"/>
      <w:r>
        <w:rPr>
          <w:sz w:val="22"/>
        </w:rPr>
        <w:t>Jiráskova</w:t>
      </w:r>
      <w:proofErr w:type="spellEnd"/>
      <w:r>
        <w:rPr>
          <w:sz w:val="22"/>
        </w:rPr>
        <w:t xml:space="preserve"> cesta 12</w:t>
      </w:r>
    </w:p>
    <w:p w14:paraId="168B044C" w14:textId="77777777" w:rsidR="00C0350B" w:rsidRDefault="003C4D6D">
      <w:pPr>
        <w:jc w:val="both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984 01  Lučenec</w:t>
      </w:r>
    </w:p>
    <w:p w14:paraId="6E3095B9" w14:textId="77777777" w:rsidR="00C0350B" w:rsidRDefault="00C0350B">
      <w:pPr>
        <w:jc w:val="both"/>
        <w:rPr>
          <w:sz w:val="22"/>
        </w:rPr>
      </w:pPr>
    </w:p>
    <w:p w14:paraId="58ECD5CD" w14:textId="77777777" w:rsidR="00C0350B" w:rsidRDefault="00C0350B">
      <w:pPr>
        <w:jc w:val="both"/>
        <w:rPr>
          <w:sz w:val="22"/>
        </w:rPr>
      </w:pPr>
    </w:p>
    <w:p w14:paraId="10D2F7D0" w14:textId="77777777" w:rsidR="00C0350B" w:rsidRDefault="003C4D6D">
      <w:pPr>
        <w:jc w:val="both"/>
        <w:rPr>
          <w:sz w:val="22"/>
        </w:rPr>
      </w:pPr>
      <w:r>
        <w:rPr>
          <w:b/>
          <w:sz w:val="22"/>
        </w:rPr>
        <w:t xml:space="preserve">    opis hospodárskej činnosti</w:t>
      </w:r>
      <w:r>
        <w:rPr>
          <w:sz w:val="22"/>
        </w:rPr>
        <w:t xml:space="preserve">: 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hlavným predmetom činnosti je veľkoobchod </w:t>
      </w:r>
    </w:p>
    <w:p w14:paraId="08798DFA" w14:textId="77777777" w:rsidR="00C0350B" w:rsidRDefault="003C4D6D">
      <w:pPr>
        <w:ind w:left="3540" w:firstLine="708"/>
        <w:jc w:val="both"/>
        <w:rPr>
          <w:sz w:val="22"/>
        </w:rPr>
      </w:pPr>
      <w:r>
        <w:rPr>
          <w:sz w:val="22"/>
        </w:rPr>
        <w:t xml:space="preserve"> s káblami a elektroinštalačným  tovarom; </w:t>
      </w:r>
    </w:p>
    <w:p w14:paraId="3A487820" w14:textId="77777777" w:rsidR="00C0350B" w:rsidRDefault="00C0350B">
      <w:pPr>
        <w:ind w:left="3540" w:firstLine="708"/>
        <w:jc w:val="both"/>
        <w:rPr>
          <w:sz w:val="22"/>
        </w:rPr>
      </w:pPr>
    </w:p>
    <w:p w14:paraId="09354855" w14:textId="77777777" w:rsidR="00C0350B" w:rsidRDefault="00C0350B">
      <w:pPr>
        <w:ind w:left="3540" w:firstLine="708"/>
        <w:jc w:val="both"/>
        <w:rPr>
          <w:sz w:val="22"/>
        </w:rPr>
      </w:pPr>
    </w:p>
    <w:p w14:paraId="5C249D26" w14:textId="77777777" w:rsidR="00C0350B" w:rsidRDefault="003C4D6D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ab/>
        <w:t>Činnosť je v súlade s predmetom činnosti uvedeným v obchodnom registri a so živnostenským oprávnením.</w:t>
      </w:r>
    </w:p>
    <w:p w14:paraId="03ADA475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78AD454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(2) Dátum schválenia účtovnej závierky za bezprostredne predchádzajúce účtovné obdobie   príslušným orgánom účtovnej jednotky</w:t>
      </w:r>
      <w:r>
        <w:rPr>
          <w:color w:val="00000A"/>
          <w:sz w:val="22"/>
          <w:szCs w:val="22"/>
        </w:rPr>
        <w:t>.</w:t>
      </w:r>
    </w:p>
    <w:p w14:paraId="64005A5A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7C97259A" w14:textId="397BDD60" w:rsidR="00C0350B" w:rsidRDefault="003C4D6D">
      <w:pPr>
        <w:pStyle w:val="Default"/>
      </w:pPr>
      <w:r>
        <w:rPr>
          <w:color w:val="00000A"/>
          <w:sz w:val="22"/>
          <w:szCs w:val="22"/>
        </w:rPr>
        <w:t xml:space="preserve">     Účtovná závierka za rok 20</w:t>
      </w:r>
      <w:r w:rsidR="00646584">
        <w:rPr>
          <w:color w:val="00000A"/>
          <w:sz w:val="22"/>
          <w:szCs w:val="22"/>
        </w:rPr>
        <w:t>20</w:t>
      </w:r>
      <w:r>
        <w:rPr>
          <w:color w:val="00000A"/>
          <w:sz w:val="22"/>
          <w:szCs w:val="22"/>
        </w:rPr>
        <w:t xml:space="preserve"> schválená VZ  </w:t>
      </w:r>
      <w:r w:rsidR="00646584">
        <w:rPr>
          <w:color w:val="00000A"/>
          <w:sz w:val="22"/>
          <w:szCs w:val="22"/>
        </w:rPr>
        <w:t>26</w:t>
      </w:r>
      <w:r>
        <w:rPr>
          <w:color w:val="00000A"/>
          <w:sz w:val="22"/>
          <w:szCs w:val="22"/>
        </w:rPr>
        <w:t>.</w:t>
      </w:r>
      <w:r w:rsidR="00951339">
        <w:rPr>
          <w:color w:val="00000A"/>
          <w:sz w:val="22"/>
          <w:szCs w:val="22"/>
        </w:rPr>
        <w:t>1</w:t>
      </w:r>
      <w:r w:rsidR="00646584">
        <w:rPr>
          <w:color w:val="00000A"/>
          <w:sz w:val="22"/>
          <w:szCs w:val="22"/>
        </w:rPr>
        <w:t>0</w:t>
      </w:r>
      <w:r>
        <w:rPr>
          <w:color w:val="00000A"/>
          <w:sz w:val="22"/>
          <w:szCs w:val="22"/>
        </w:rPr>
        <w:t>.20</w:t>
      </w:r>
      <w:r w:rsidR="00951339">
        <w:rPr>
          <w:color w:val="00000A"/>
          <w:sz w:val="22"/>
          <w:szCs w:val="22"/>
        </w:rPr>
        <w:t>2</w:t>
      </w:r>
      <w:r w:rsidR="00646584">
        <w:rPr>
          <w:color w:val="00000A"/>
          <w:sz w:val="22"/>
          <w:szCs w:val="22"/>
        </w:rPr>
        <w:t>1</w:t>
      </w:r>
    </w:p>
    <w:p w14:paraId="4D8A8F43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57A6E32B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(3) Právny dôvod na zostavenie účtovnej závierky</w:t>
      </w:r>
    </w:p>
    <w:p w14:paraId="3865BCB1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3204A480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zostavuje účtovnú závierku ako riadnu k poslednému dňu účtovného obdobia, ktorým je </w:t>
      </w:r>
    </w:p>
    <w:p w14:paraId="77277FF0" w14:textId="6A420306" w:rsidR="00C0350B" w:rsidRDefault="003C4D6D">
      <w:pPr>
        <w:jc w:val="both"/>
      </w:pPr>
      <w:r>
        <w:rPr>
          <w:sz w:val="22"/>
          <w:szCs w:val="22"/>
        </w:rPr>
        <w:t>31.12.20</w:t>
      </w:r>
      <w:r w:rsidR="00951339">
        <w:rPr>
          <w:sz w:val="22"/>
          <w:szCs w:val="22"/>
        </w:rPr>
        <w:t>2</w:t>
      </w:r>
      <w:r w:rsidR="00604E1E">
        <w:rPr>
          <w:sz w:val="22"/>
          <w:szCs w:val="22"/>
        </w:rPr>
        <w:t>1</w:t>
      </w:r>
    </w:p>
    <w:p w14:paraId="4164184B" w14:textId="77777777" w:rsidR="00C0350B" w:rsidRDefault="00C0350B">
      <w:pPr>
        <w:jc w:val="both"/>
        <w:rPr>
          <w:sz w:val="22"/>
          <w:szCs w:val="22"/>
        </w:rPr>
      </w:pPr>
    </w:p>
    <w:p w14:paraId="3804C3B2" w14:textId="77777777" w:rsidR="00C0350B" w:rsidRDefault="003C4D6D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(4) Údaje o skupine</w:t>
      </w:r>
      <w:r>
        <w:rPr>
          <w:sz w:val="22"/>
          <w:szCs w:val="22"/>
        </w:rPr>
        <w:t xml:space="preserve">, </w:t>
      </w:r>
    </w:p>
    <w:p w14:paraId="29D46453" w14:textId="77777777" w:rsidR="00C0350B" w:rsidRDefault="00C0350B">
      <w:pPr>
        <w:jc w:val="both"/>
        <w:rPr>
          <w:sz w:val="22"/>
          <w:szCs w:val="22"/>
        </w:rPr>
      </w:pPr>
    </w:p>
    <w:p w14:paraId="541983C4" w14:textId="77777777" w:rsidR="00C0350B" w:rsidRDefault="003C4D6D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MURAT, </w:t>
      </w:r>
      <w:proofErr w:type="spellStart"/>
      <w:r>
        <w:rPr>
          <w:b/>
          <w:sz w:val="22"/>
          <w:szCs w:val="22"/>
        </w:rPr>
        <w:t>s.r.o</w:t>
      </w:r>
      <w:proofErr w:type="spellEnd"/>
      <w:r>
        <w:rPr>
          <w:b/>
          <w:sz w:val="22"/>
          <w:szCs w:val="22"/>
        </w:rPr>
        <w:t>.</w:t>
      </w:r>
      <w:r>
        <w:rPr>
          <w:sz w:val="22"/>
          <w:szCs w:val="22"/>
        </w:rPr>
        <w:t xml:space="preserve"> -      materská spoločnosť</w:t>
      </w:r>
    </w:p>
    <w:p w14:paraId="71E0D835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>Dcérske spoločnosti :</w:t>
      </w:r>
    </w:p>
    <w:p w14:paraId="59D35992" w14:textId="77777777" w:rsidR="00C0350B" w:rsidRDefault="00C0350B">
      <w:pPr>
        <w:jc w:val="both"/>
        <w:rPr>
          <w:sz w:val="22"/>
          <w:szCs w:val="22"/>
        </w:rPr>
      </w:pPr>
    </w:p>
    <w:p w14:paraId="1C201AAC" w14:textId="77777777" w:rsidR="00C0350B" w:rsidRDefault="003C4D6D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 Lučenec   </w:t>
      </w:r>
    </w:p>
    <w:p w14:paraId="16ABE9CA" w14:textId="77777777" w:rsidR="00C0350B" w:rsidRDefault="003C4D6D">
      <w:pPr>
        <w:jc w:val="both"/>
        <w:rPr>
          <w:rStyle w:val="apple-converted-space"/>
          <w:rFonts w:ascii="Arial CE" w:hAnsi="Arial CE" w:cs="Arial CE"/>
          <w:bCs/>
          <w:color w:val="000000"/>
          <w:highlight w:val="white"/>
        </w:rPr>
      </w:pPr>
      <w:proofErr w:type="spellStart"/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Jiráskova</w:t>
      </w:r>
      <w:proofErr w:type="spellEnd"/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 xml:space="preserve"> cesta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12,</w:t>
      </w:r>
      <w:r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Lučenec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984 01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</w:p>
    <w:p w14:paraId="5C34B1CA" w14:textId="77777777" w:rsidR="00C0350B" w:rsidRDefault="00C0350B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14:paraId="6C957031" w14:textId="48D87DF9" w:rsidR="00C0350B" w:rsidRDefault="003C4D6D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highlight w:val="white"/>
        </w:rPr>
      </w:pPr>
      <w:r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 xml:space="preserve">SLOVMONT, </w:t>
      </w:r>
      <w:proofErr w:type="spellStart"/>
      <w:r w:rsidR="00951339"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s.r.o</w:t>
      </w:r>
      <w:proofErr w:type="spellEnd"/>
      <w:r w:rsidR="00951339"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.</w:t>
      </w:r>
      <w:r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14:paraId="3BFDF186" w14:textId="77777777" w:rsidR="00C0350B" w:rsidRDefault="003C4D6D">
      <w:pPr>
        <w:jc w:val="both"/>
        <w:rPr>
          <w:sz w:val="22"/>
        </w:rPr>
      </w:pP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Bratislavská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87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>
        <w:rPr>
          <w:sz w:val="22"/>
        </w:rPr>
        <w:t xml:space="preserve"> 902 01  Pezinok</w:t>
      </w:r>
    </w:p>
    <w:p w14:paraId="182786E9" w14:textId="77777777" w:rsidR="00C0350B" w:rsidRDefault="00C0350B">
      <w:pPr>
        <w:jc w:val="both"/>
        <w:rPr>
          <w:sz w:val="22"/>
        </w:rPr>
      </w:pPr>
    </w:p>
    <w:p w14:paraId="55E2895E" w14:textId="3465A37B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Účtovná závierka celej skupiny  je oslobodená od povinnosti zostaviť konsolidovanú účtovnú závierku a konsolidovanú výročnú správu podľa § 22 zákona ods. 10 </w:t>
      </w:r>
    </w:p>
    <w:p w14:paraId="3A3D8059" w14:textId="6471A7ED" w:rsidR="00951339" w:rsidRDefault="00951339">
      <w:pPr>
        <w:pStyle w:val="Default"/>
        <w:rPr>
          <w:color w:val="00000A"/>
          <w:sz w:val="22"/>
          <w:szCs w:val="22"/>
        </w:rPr>
      </w:pPr>
    </w:p>
    <w:p w14:paraId="774427E1" w14:textId="0CBADB74" w:rsidR="00951339" w:rsidRDefault="00951339">
      <w:pPr>
        <w:pStyle w:val="Default"/>
        <w:rPr>
          <w:color w:val="00000A"/>
          <w:sz w:val="22"/>
          <w:szCs w:val="22"/>
        </w:rPr>
      </w:pPr>
    </w:p>
    <w:p w14:paraId="7781963A" w14:textId="416D2BE7" w:rsidR="00951339" w:rsidRDefault="00951339">
      <w:pPr>
        <w:pStyle w:val="Default"/>
        <w:rPr>
          <w:color w:val="00000A"/>
          <w:sz w:val="22"/>
          <w:szCs w:val="22"/>
        </w:rPr>
      </w:pPr>
    </w:p>
    <w:p w14:paraId="7112929F" w14:textId="708FD5A5" w:rsidR="00951339" w:rsidRDefault="00951339">
      <w:pPr>
        <w:pStyle w:val="Default"/>
        <w:rPr>
          <w:color w:val="00000A"/>
          <w:sz w:val="22"/>
          <w:szCs w:val="22"/>
        </w:rPr>
      </w:pPr>
    </w:p>
    <w:p w14:paraId="58753FB6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(5) Počty  zamestnancov účtovnej jednotky :</w:t>
      </w:r>
    </w:p>
    <w:p w14:paraId="251A06B4" w14:textId="16409EBB" w:rsidR="00C0350B" w:rsidRDefault="00BB0B0A">
      <w:pPr>
        <w:pStyle w:val="Default"/>
        <w:jc w:val="center"/>
        <w:rPr>
          <w:b/>
          <w:color w:val="00000A"/>
          <w:sz w:val="22"/>
          <w:szCs w:val="22"/>
        </w:rPr>
      </w:pPr>
      <w:r w:rsidRPr="00BB0B0A">
        <w:lastRenderedPageBreak/>
        <w:drawing>
          <wp:inline distT="0" distB="0" distL="0" distR="0" wp14:anchorId="6E0500BD" wp14:editId="163F522F">
            <wp:extent cx="4191635" cy="1806575"/>
            <wp:effectExtent l="0" t="0" r="0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635" cy="180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7FFC35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2FB6EC5" w14:textId="77777777" w:rsidR="00C0350B" w:rsidRDefault="00C0350B">
      <w:pPr>
        <w:jc w:val="both"/>
        <w:rPr>
          <w:sz w:val="22"/>
          <w:szCs w:val="22"/>
        </w:rPr>
      </w:pPr>
    </w:p>
    <w:p w14:paraId="72D55C99" w14:textId="77777777" w:rsidR="00C0350B" w:rsidRDefault="00C0350B">
      <w:pPr>
        <w:jc w:val="both"/>
        <w:rPr>
          <w:sz w:val="22"/>
          <w:szCs w:val="22"/>
        </w:rPr>
      </w:pPr>
    </w:p>
    <w:p w14:paraId="7E4E3C09" w14:textId="77777777" w:rsidR="00C0350B" w:rsidRDefault="00C0350B">
      <w:pPr>
        <w:jc w:val="both"/>
        <w:rPr>
          <w:sz w:val="22"/>
          <w:szCs w:val="22"/>
        </w:rPr>
      </w:pPr>
    </w:p>
    <w:p w14:paraId="1A621930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06CF9EA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II</w:t>
      </w:r>
    </w:p>
    <w:p w14:paraId="2FBC57AE" w14:textId="77777777" w:rsidR="00C0350B" w:rsidRDefault="003C4D6D">
      <w:pPr>
        <w:jc w:val="center"/>
        <w:rPr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 o orgánoch spoločnosti</w:t>
      </w:r>
    </w:p>
    <w:p w14:paraId="677C8799" w14:textId="77777777" w:rsidR="00C0350B" w:rsidRDefault="00C0350B">
      <w:pPr>
        <w:jc w:val="both"/>
        <w:rPr>
          <w:sz w:val="22"/>
          <w:szCs w:val="22"/>
        </w:rPr>
      </w:pPr>
    </w:p>
    <w:p w14:paraId="2F6AED2C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34197CBD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Informácie o  </w:t>
      </w:r>
    </w:p>
    <w:p w14:paraId="50D32AA3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a) výške jednotlivých druhov záruk alebo iných zabezpečení poskytnutých pre členov štatutárneho orgánu, dozorného orgánu a iného orgánu účtovnej jednotky,: </w:t>
      </w:r>
    </w:p>
    <w:p w14:paraId="50179019" w14:textId="77777777" w:rsidR="00C0350B" w:rsidRDefault="00C0350B">
      <w:pPr>
        <w:jc w:val="both"/>
        <w:rPr>
          <w:sz w:val="22"/>
          <w:szCs w:val="22"/>
        </w:rPr>
      </w:pPr>
    </w:p>
    <w:p w14:paraId="32FFE39A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neposkytla orgánom spoločnosti žiadne záruky </w:t>
      </w:r>
    </w:p>
    <w:p w14:paraId="1DCB6097" w14:textId="77777777" w:rsidR="00C0350B" w:rsidRDefault="00C0350B">
      <w:pPr>
        <w:jc w:val="both"/>
        <w:rPr>
          <w:sz w:val="22"/>
          <w:szCs w:val="22"/>
        </w:rPr>
      </w:pPr>
    </w:p>
    <w:p w14:paraId="1E454BF0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637EE9D0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pôžičkách poskytnutých členom štatutárneho orgánu, dozorného orgánu a iného orgánu účtovnej jednotky, a to o </w:t>
      </w:r>
    </w:p>
    <w:p w14:paraId="16DCB02D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1. celkovej sume poskytnutých pôžičiek k poslednému dňu účtovného obdobia v členení za jednotlivé orgány, </w:t>
      </w:r>
    </w:p>
    <w:p w14:paraId="2B5F5922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2. celkovej sume splatených pôžičiek k poslednému dňu účtovného obdobia v členení za jednotlivé orgány, </w:t>
      </w:r>
    </w:p>
    <w:p w14:paraId="03EB3C54" w14:textId="77777777" w:rsidR="00C0350B" w:rsidRDefault="00C0350B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72762739" w14:textId="08641DEF" w:rsidR="00C0350B" w:rsidRDefault="003C4D6D">
      <w:r>
        <w:rPr>
          <w:rFonts w:ascii="Arial" w:hAnsi="Arial" w:cs="Arial"/>
          <w:color w:val="000000"/>
          <w:sz w:val="22"/>
          <w:szCs w:val="22"/>
          <w:lang w:eastAsia="sk-SK"/>
        </w:rPr>
        <w:t>Spoločnosť k 31.12.20</w:t>
      </w:r>
      <w:r w:rsidR="00D231B2">
        <w:rPr>
          <w:rFonts w:ascii="Arial" w:hAnsi="Arial" w:cs="Arial"/>
          <w:color w:val="000000"/>
          <w:sz w:val="22"/>
          <w:szCs w:val="22"/>
          <w:lang w:eastAsia="sk-SK"/>
        </w:rPr>
        <w:t>2</w:t>
      </w:r>
      <w:r w:rsidR="007846F0">
        <w:rPr>
          <w:rFonts w:ascii="Arial" w:hAnsi="Arial" w:cs="Arial"/>
          <w:color w:val="000000"/>
          <w:sz w:val="22"/>
          <w:szCs w:val="22"/>
          <w:lang w:eastAsia="sk-SK"/>
        </w:rPr>
        <w:t>1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neeviduje pôžičky voči  štatutárnemu orgánu pôžičky </w:t>
      </w:r>
    </w:p>
    <w:p w14:paraId="39CBA533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48D7A28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2942832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14:paraId="18D6F3F0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</w:p>
    <w:p w14:paraId="0958F5A3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4D43194" w14:textId="77777777" w:rsidR="00C0350B" w:rsidRDefault="003C4D6D">
      <w:pPr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údaje neaktuálne nakoľko spoločnosť neposkytovala záruky ani pôžičky štatutárovi</w:t>
      </w:r>
    </w:p>
    <w:p w14:paraId="4B7EB98E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7A15EAA" w14:textId="77777777" w:rsidR="00C0350B" w:rsidRDefault="00C0350B">
      <w:pPr>
        <w:jc w:val="both"/>
        <w:rPr>
          <w:sz w:val="22"/>
          <w:szCs w:val="22"/>
        </w:rPr>
      </w:pPr>
    </w:p>
    <w:p w14:paraId="64B9970B" w14:textId="77777777" w:rsidR="00C0350B" w:rsidRDefault="00C0350B">
      <w:pPr>
        <w:jc w:val="both"/>
        <w:rPr>
          <w:sz w:val="22"/>
          <w:szCs w:val="22"/>
        </w:rPr>
      </w:pPr>
    </w:p>
    <w:p w14:paraId="3EE4616E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III</w:t>
      </w:r>
    </w:p>
    <w:p w14:paraId="5A7A8A08" w14:textId="77777777" w:rsidR="00C0350B" w:rsidRDefault="003C4D6D">
      <w:pPr>
        <w:pStyle w:val="Default"/>
        <w:jc w:val="center"/>
        <w:rPr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Informácie o prijatých postupoch</w:t>
      </w:r>
    </w:p>
    <w:p w14:paraId="2A0E4347" w14:textId="77777777" w:rsidR="00C0350B" w:rsidRDefault="00C0350B">
      <w:pPr>
        <w:pStyle w:val="Default"/>
        <w:rPr>
          <w:b/>
          <w:bCs/>
          <w:color w:val="00000A"/>
          <w:sz w:val="22"/>
          <w:szCs w:val="22"/>
        </w:rPr>
      </w:pPr>
    </w:p>
    <w:p w14:paraId="0037C3A1" w14:textId="77777777" w:rsidR="00C0350B" w:rsidRDefault="00C0350B">
      <w:pPr>
        <w:pStyle w:val="Default"/>
        <w:rPr>
          <w:b/>
          <w:bCs/>
          <w:color w:val="00000A"/>
          <w:sz w:val="22"/>
          <w:szCs w:val="22"/>
        </w:rPr>
      </w:pPr>
    </w:p>
    <w:p w14:paraId="765899E1" w14:textId="77777777" w:rsidR="00C0350B" w:rsidRDefault="003C4D6D">
      <w:pPr>
        <w:pStyle w:val="Default"/>
      </w:pPr>
      <w:r>
        <w:rPr>
          <w:color w:val="00000A"/>
          <w:sz w:val="22"/>
          <w:szCs w:val="22"/>
        </w:rPr>
        <w:t>(1) Účtovná závierka je  zostavená za splnenia predpokladu, že účtovná jednotka bude nepretržite pokračovať vo svojej činnosti.</w:t>
      </w:r>
    </w:p>
    <w:p w14:paraId="401434E4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623DE31F" w14:textId="77777777" w:rsidR="00C0350B" w:rsidRDefault="00C0350B">
      <w:pPr>
        <w:spacing w:after="14"/>
        <w:contextualSpacing/>
        <w:rPr>
          <w:rFonts w:ascii="Arial" w:hAnsi="Arial"/>
          <w:sz w:val="22"/>
        </w:rPr>
      </w:pPr>
    </w:p>
    <w:p w14:paraId="7B3F035C" w14:textId="53E0C2CC" w:rsidR="00C0350B" w:rsidRDefault="00D231B2">
      <w:pPr>
        <w:spacing w:after="14"/>
        <w:contextualSpacing/>
      </w:pPr>
      <w:r>
        <w:rPr>
          <w:rFonts w:ascii="Arial" w:hAnsi="Arial"/>
          <w:sz w:val="22"/>
        </w:rPr>
        <w:t>V roku</w:t>
      </w:r>
      <w:r w:rsidR="003C4D6D">
        <w:rPr>
          <w:rFonts w:ascii="Arial" w:hAnsi="Arial"/>
          <w:sz w:val="22"/>
        </w:rPr>
        <w:t xml:space="preserve"> 20</w:t>
      </w:r>
      <w:r>
        <w:rPr>
          <w:rFonts w:ascii="Arial" w:hAnsi="Arial"/>
          <w:sz w:val="22"/>
        </w:rPr>
        <w:t>2</w:t>
      </w:r>
      <w:r w:rsidR="007846F0">
        <w:rPr>
          <w:rFonts w:ascii="Arial" w:hAnsi="Arial"/>
          <w:sz w:val="22"/>
        </w:rPr>
        <w:t>1</w:t>
      </w:r>
      <w:r w:rsidR="003C4D6D">
        <w:rPr>
          <w:rFonts w:ascii="Arial" w:hAnsi="Arial"/>
          <w:sz w:val="22"/>
        </w:rPr>
        <w:t xml:space="preserve">  </w:t>
      </w:r>
      <w:r>
        <w:rPr>
          <w:rFonts w:ascii="Arial" w:hAnsi="Arial"/>
          <w:sz w:val="22"/>
        </w:rPr>
        <w:t>bol predaj ovplyvnený krízou z dôvodu pandémie</w:t>
      </w:r>
      <w:r w:rsidR="003C4D6D">
        <w:rPr>
          <w:rFonts w:ascii="Arial" w:hAnsi="Arial"/>
          <w:sz w:val="22"/>
        </w:rPr>
        <w:t xml:space="preserve"> COVID-19 /</w:t>
      </w:r>
      <w:proofErr w:type="spellStart"/>
      <w:r w:rsidR="003C4D6D">
        <w:rPr>
          <w:rFonts w:ascii="Arial" w:hAnsi="Arial"/>
          <w:sz w:val="22"/>
        </w:rPr>
        <w:t>Coronavirus</w:t>
      </w:r>
      <w:proofErr w:type="spellEnd"/>
      <w:r w:rsidR="003C4D6D">
        <w:rPr>
          <w:rFonts w:ascii="Arial" w:hAnsi="Arial"/>
          <w:sz w:val="22"/>
        </w:rPr>
        <w:t xml:space="preserve">/.  </w:t>
      </w:r>
    </w:p>
    <w:p w14:paraId="45E0ADDE" w14:textId="52FA3EA2" w:rsidR="001E2D48" w:rsidRDefault="001E2D48" w:rsidP="001E2D48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</w:t>
      </w:r>
      <w:r w:rsidR="003C4D6D">
        <w:rPr>
          <w:rFonts w:ascii="Arial" w:hAnsi="Arial"/>
          <w:sz w:val="22"/>
        </w:rPr>
        <w:t xml:space="preserve">V čase zverejnenia tejto účtovnej závierky, </w:t>
      </w:r>
      <w:r w:rsidR="00D231B2">
        <w:rPr>
          <w:rFonts w:ascii="Arial" w:hAnsi="Arial"/>
          <w:sz w:val="22"/>
        </w:rPr>
        <w:t>je zaznamenané oživovanie ekonomiky a</w:t>
      </w:r>
      <w:r>
        <w:rPr>
          <w:rFonts w:ascii="Arial" w:hAnsi="Arial"/>
          <w:sz w:val="22"/>
        </w:rPr>
        <w:t xml:space="preserve"> mesačné tržby opäť dosahujú úroveň tržieb z obdobia pred krízou  . </w:t>
      </w:r>
    </w:p>
    <w:p w14:paraId="25133576" w14:textId="23BEA18E" w:rsidR="00C0350B" w:rsidRDefault="003C4D6D">
      <w:r>
        <w:rPr>
          <w:rFonts w:ascii="Arial" w:hAnsi="Arial"/>
          <w:sz w:val="22"/>
        </w:rPr>
        <w:t>.</w:t>
      </w:r>
    </w:p>
    <w:p w14:paraId="4FE1D63D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25E4CBE3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 w14:paraId="556E8241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B87D9B3" w14:textId="3A5B84F3" w:rsidR="00C0350B" w:rsidRDefault="003C4D6D">
      <w:pPr>
        <w:pStyle w:val="Default"/>
      </w:pPr>
      <w:r>
        <w:rPr>
          <w:color w:val="00000A"/>
          <w:sz w:val="22"/>
          <w:szCs w:val="22"/>
        </w:rPr>
        <w:t>Účtovná jednotka aplikuje  účtovné zásady a dôležité na posúdenie majetku, záväzkov, finančnej situácie a výsledku hospodárenia výlučne v súlade so zákonom o účtovníctve a v roku 20</w:t>
      </w:r>
      <w:r w:rsidR="001E2D48">
        <w:rPr>
          <w:color w:val="00000A"/>
          <w:sz w:val="22"/>
          <w:szCs w:val="22"/>
        </w:rPr>
        <w:t>20</w:t>
      </w:r>
      <w:r>
        <w:rPr>
          <w:color w:val="00000A"/>
          <w:sz w:val="22"/>
          <w:szCs w:val="22"/>
        </w:rPr>
        <w:t xml:space="preserve"> neaplikovala žiadnu zmenu oproti roku 201</w:t>
      </w:r>
      <w:r w:rsidR="001E2D48">
        <w:rPr>
          <w:color w:val="00000A"/>
          <w:sz w:val="22"/>
          <w:szCs w:val="22"/>
        </w:rPr>
        <w:t>9</w:t>
      </w:r>
      <w:r>
        <w:rPr>
          <w:color w:val="00000A"/>
          <w:sz w:val="22"/>
          <w:szCs w:val="22"/>
        </w:rPr>
        <w:t>.</w:t>
      </w:r>
    </w:p>
    <w:p w14:paraId="75B75295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14E824EE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28DD693F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511B64DC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22F936FF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Nie sú žiadne transakcie účtovnej jednotky neuvedené v súvahe.</w:t>
      </w:r>
    </w:p>
    <w:p w14:paraId="4DBF9DC4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4B144CD5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(4) Spôsob a určenie ocenenia majetku a záväzkov vrátane určenia rozhodujúcich účtovných odhadov a predpokladov, pričom sa zohľadňuje zásada významnosti. </w:t>
      </w:r>
    </w:p>
    <w:p w14:paraId="64D45F0B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424F16C4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oceňovala majetok a záväzky vždy ku dňu vzniku účtovného prípadu. </w:t>
      </w:r>
    </w:p>
    <w:p w14:paraId="6F293B03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a/</w:t>
      </w:r>
    </w:p>
    <w:p w14:paraId="1BC9CBD1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Obstarávacia cena obsahuje cenu obstarania a</w:t>
      </w:r>
      <w:r>
        <w:rPr>
          <w:i/>
          <w:sz w:val="22"/>
          <w:szCs w:val="22"/>
        </w:rPr>
        <w:t xml:space="preserve"> náklady súvisiace s obstaraním</w:t>
      </w:r>
      <w:r>
        <w:rPr>
          <w:sz w:val="22"/>
          <w:szCs w:val="22"/>
        </w:rPr>
        <w:t xml:space="preserve">, najmä v prípade zásob tovaru. Patria sem predovšetkým náklady na dopravu a rôzne poplatky /clo, poistné a pod./, </w:t>
      </w:r>
    </w:p>
    <w:p w14:paraId="279CCFCB" w14:textId="77777777" w:rsidR="00C0350B" w:rsidRDefault="003C4D6D">
      <w:pPr>
        <w:jc w:val="both"/>
        <w:rPr>
          <w:sz w:val="22"/>
          <w:szCs w:val="22"/>
        </w:rPr>
      </w:pPr>
      <w:r>
        <w:rPr>
          <w:i/>
          <w:sz w:val="22"/>
          <w:szCs w:val="22"/>
        </w:rPr>
        <w:t>Obstarávacou cenou</w:t>
      </w:r>
      <w:r>
        <w:rPr>
          <w:sz w:val="22"/>
          <w:szCs w:val="22"/>
        </w:rPr>
        <w:t xml:space="preserve">  ku dňu uskutočnenia účtovného prípadu boli oceňované:</w:t>
      </w:r>
    </w:p>
    <w:p w14:paraId="45DC616F" w14:textId="77777777" w:rsidR="00C0350B" w:rsidRDefault="00C0350B">
      <w:pPr>
        <w:jc w:val="both"/>
        <w:rPr>
          <w:sz w:val="22"/>
          <w:szCs w:val="22"/>
        </w:rPr>
      </w:pPr>
    </w:p>
    <w:p w14:paraId="3292AC20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dlhodobý nehmotný majetok obstaraný kúpou;</w:t>
      </w:r>
    </w:p>
    <w:p w14:paraId="3FE2286F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dlhodobý hmotný majetok obstaraný kúpou;</w:t>
      </w:r>
    </w:p>
    <w:p w14:paraId="6235F7E0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zásoby obstarané kúpou;</w:t>
      </w:r>
    </w:p>
    <w:p w14:paraId="4B732624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pohľadávky pri odplatnom nadobudnutí;</w:t>
      </w:r>
    </w:p>
    <w:p w14:paraId="1B8AFDC9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záväzky pri ich prevzatí;</w:t>
      </w:r>
    </w:p>
    <w:p w14:paraId="3E36BF2B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krátkodobý finančný majetok obstaraný kúpou  /ceniny/;</w:t>
      </w:r>
    </w:p>
    <w:p w14:paraId="5550A278" w14:textId="77777777" w:rsidR="00C0350B" w:rsidRDefault="00C0350B">
      <w:pPr>
        <w:jc w:val="both"/>
        <w:rPr>
          <w:sz w:val="22"/>
          <w:szCs w:val="22"/>
        </w:rPr>
      </w:pPr>
    </w:p>
    <w:p w14:paraId="1175CB3C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Menovitou hodnotou </w:t>
      </w:r>
      <w:r>
        <w:rPr>
          <w:sz w:val="22"/>
          <w:szCs w:val="22"/>
        </w:rPr>
        <w:t xml:space="preserve"> boli oceňované:  </w:t>
      </w:r>
    </w:p>
    <w:p w14:paraId="6F027703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ceniny;</w:t>
      </w:r>
    </w:p>
    <w:p w14:paraId="4C9CB376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záväzky pri ich vzniku;</w:t>
      </w:r>
    </w:p>
    <w:p w14:paraId="329D9BFF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vzniku.</w:t>
      </w:r>
    </w:p>
    <w:p w14:paraId="63764F37" w14:textId="77777777" w:rsidR="00C0350B" w:rsidRDefault="00C0350B">
      <w:pPr>
        <w:jc w:val="both"/>
        <w:rPr>
          <w:i/>
          <w:sz w:val="22"/>
          <w:szCs w:val="22"/>
        </w:rPr>
      </w:pPr>
    </w:p>
    <w:p w14:paraId="4CC9D90E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b</w:t>
      </w:r>
      <w:r>
        <w:rPr>
          <w:b/>
          <w:color w:val="00000A"/>
          <w:sz w:val="22"/>
          <w:szCs w:val="22"/>
        </w:rPr>
        <w:t xml:space="preserve">) určenie odhadu zníženia hodnoty majetku a tvorba opravnej položky k majetku, </w:t>
      </w:r>
    </w:p>
    <w:p w14:paraId="7698D363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    OP sa určujú na základe predpokladanej hodnoty za ktorú by bol majetok realizovaný,    </w:t>
      </w:r>
    </w:p>
    <w:p w14:paraId="5FF26CFB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     resp. dosiahnutý výťažok z predaja majetku</w:t>
      </w:r>
    </w:p>
    <w:p w14:paraId="724BC84D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</w:p>
    <w:p w14:paraId="60501A1F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c) určenie ocenenia záväzkov, stanovenie odhadu ocenenia rezerv, </w:t>
      </w:r>
    </w:p>
    <w:p w14:paraId="7C0703AE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     </w:t>
      </w:r>
      <w:r>
        <w:rPr>
          <w:color w:val="00000A"/>
          <w:sz w:val="22"/>
          <w:szCs w:val="22"/>
        </w:rPr>
        <w:t xml:space="preserve">záväzky sú ocenené menovitou hodnotou, rezervy sa oceňujú  na základe očakávanej menovitej hodnoty </w:t>
      </w:r>
    </w:p>
    <w:p w14:paraId="3425240C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0FE4A153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účtovná jednotka nemá obsahovú náplň</w:t>
      </w:r>
    </w:p>
    <w:p w14:paraId="510DB322" w14:textId="77777777" w:rsidR="00C0350B" w:rsidRDefault="00C0350B">
      <w:pPr>
        <w:jc w:val="both"/>
        <w:rPr>
          <w:sz w:val="22"/>
          <w:szCs w:val="22"/>
        </w:rPr>
      </w:pPr>
    </w:p>
    <w:p w14:paraId="159E1238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lastRenderedPageBreak/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6C2DB347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 w14:paraId="304388D4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29E5055C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e) určenie ocenenia finančných nástrojov pri oceňovaní obstarávacou cenou alebo vlastnými nákladmi, a to: </w:t>
      </w:r>
    </w:p>
    <w:p w14:paraId="520B53D1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1. pre každý druh derivátových finančných nástrojov sa uvádza reálna hodnota týchto finančných nástrojov, ak sa môže spoľahlivo určiť ako trhová cena a informácia o rozsahu a charaktere týchto nástrojov</w:t>
      </w:r>
      <w:r>
        <w:rPr>
          <w:color w:val="00000A"/>
          <w:sz w:val="22"/>
          <w:szCs w:val="22"/>
        </w:rPr>
        <w:t xml:space="preserve">,  </w:t>
      </w:r>
    </w:p>
    <w:p w14:paraId="179B5803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 w14:paraId="3D8C31D3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4660311C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7348E79E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4EEAA08B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1A1DCFFC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4C0C813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 w14:paraId="72C825FD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36657BF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f) tvorba odpisového plánu pre dlhodobý majetok, pričom sa uvádza doba odpisovania, sadzby odpisov a odpisové metódy pre účtovné odpisy, </w:t>
      </w:r>
    </w:p>
    <w:p w14:paraId="0840DF2E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BBEA24E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  <w:u w:val="single"/>
        </w:rPr>
        <w:t>Nehmotný</w:t>
      </w:r>
      <w:r>
        <w:rPr>
          <w:sz w:val="22"/>
          <w:szCs w:val="22"/>
        </w:rPr>
        <w:t xml:space="preserve"> majetok v hodnote obstarávacej ceny do 170,00 € sa účtuje do nákladov  518  – služby . </w:t>
      </w:r>
      <w:r>
        <w:rPr>
          <w:sz w:val="22"/>
          <w:szCs w:val="22"/>
          <w:u w:val="single"/>
        </w:rPr>
        <w:t>Dlhodobý nehmotný</w:t>
      </w:r>
      <w:r>
        <w:rPr>
          <w:sz w:val="22"/>
          <w:szCs w:val="22"/>
        </w:rPr>
        <w:t xml:space="preserve"> majetok v hodnote 170,00€ až 2 400,00 € je účtovaný na zásoby a pri jeho zaradení do používania  sa zaeviduje do majetku spoločnosti a zúčtuje na účet 013 . </w:t>
      </w:r>
    </w:p>
    <w:p w14:paraId="1B6565D3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>Odpisuje sa najviac 13 mesiacov.</w:t>
      </w:r>
    </w:p>
    <w:p w14:paraId="1C00212D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>Nehmotný majetok v hodnote obstarávacej ceny nad 2 400,00 €  je pri zaradení do používania účtovaný na účte 013  . Odpisuje sa podľa predpokladanej doby použitia max 5 rokov.</w:t>
      </w:r>
    </w:p>
    <w:p w14:paraId="4C0586CD" w14:textId="77777777" w:rsidR="00C0350B" w:rsidRDefault="003C4D6D">
      <w:pPr>
        <w:rPr>
          <w:sz w:val="22"/>
          <w:szCs w:val="22"/>
        </w:rPr>
      </w:pPr>
      <w:r>
        <w:rPr>
          <w:sz w:val="22"/>
          <w:szCs w:val="22"/>
        </w:rPr>
        <w:tab/>
        <w:t>Hmotný majetok, ktorého cena obstarania je nižšia ako 170,00 € sa účtuje pri zaradení do používania do materiálových nákladov účet 501  .</w:t>
      </w:r>
    </w:p>
    <w:p w14:paraId="0B113CF2" w14:textId="77777777" w:rsidR="00C0350B" w:rsidRDefault="003C4D6D">
      <w:pPr>
        <w:pStyle w:val="Default"/>
        <w:rPr>
          <w:sz w:val="22"/>
          <w:szCs w:val="22"/>
        </w:rPr>
      </w:pPr>
      <w:r>
        <w:rPr>
          <w:sz w:val="22"/>
          <w:szCs w:val="22"/>
        </w:rPr>
        <w:tab/>
        <w:t>Dlhodobý hmotný majetok v hodnote ceny obstarania od  170,00 € do 1 700,00 €  je evidovaný v  majetku spoločnosti. Pri jeho zakúpení je účtovaný na obstaranie DHM a pri  zaradení do používania sa neúčtuje v plnom rozsahu do nákladov, ale sa uplatňuje odpisovanie 13 mesiacov</w:t>
      </w:r>
    </w:p>
    <w:p w14:paraId="2F5BB48E" w14:textId="77777777" w:rsidR="00C0350B" w:rsidRDefault="00C0350B">
      <w:pPr>
        <w:pStyle w:val="Default"/>
        <w:rPr>
          <w:sz w:val="22"/>
          <w:szCs w:val="22"/>
        </w:rPr>
      </w:pPr>
    </w:p>
    <w:p w14:paraId="6C2A7E9B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Hmotný majetok v cene obstarania nad 1 700,00 €  je evidovaný v majetku spoločnosti a na jednotlivých analytických účtoch  podľa druhov majetku. Odpisuje sa rovnomerne alebo  zrýchlene v úrovni zodpovedajúcej zákonu o dani z príjmov. V menšom rozsahu bol uplatnený rovnomerný spôsob odpisovania . Počas celého obdobia odpisovania sa však u jedného majetku uplatňuje zásadne rovnaká metóda. </w:t>
      </w:r>
    </w:p>
    <w:p w14:paraId="3547E40A" w14:textId="77777777" w:rsidR="00C0350B" w:rsidRDefault="00C0350B">
      <w:pPr>
        <w:jc w:val="both"/>
        <w:rPr>
          <w:sz w:val="22"/>
          <w:szCs w:val="22"/>
        </w:rPr>
      </w:pPr>
    </w:p>
    <w:p w14:paraId="2204247C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>Spoločnosť používa nasledovné odpisové skupiny:</w:t>
      </w:r>
    </w:p>
    <w:p w14:paraId="13F85C27" w14:textId="77777777" w:rsidR="00C0350B" w:rsidRDefault="00C0350B">
      <w:pPr>
        <w:jc w:val="both"/>
        <w:rPr>
          <w:sz w:val="22"/>
          <w:szCs w:val="22"/>
        </w:rPr>
      </w:pPr>
    </w:p>
    <w:tbl>
      <w:tblPr>
        <w:tblW w:w="4580" w:type="dxa"/>
        <w:jc w:val="center"/>
        <w:tblBorders>
          <w:top w:val="single" w:sz="4" w:space="0" w:color="000001"/>
          <w:left w:val="single" w:sz="4" w:space="0" w:color="000001"/>
          <w:bottom w:val="single" w:sz="4" w:space="0" w:color="00000A"/>
          <w:right w:val="single" w:sz="4" w:space="0" w:color="000001"/>
          <w:insideH w:val="single" w:sz="4" w:space="0" w:color="00000A"/>
          <w:insideV w:val="single" w:sz="4" w:space="0" w:color="000001"/>
        </w:tblBorders>
        <w:tblCellMar>
          <w:left w:w="45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0"/>
      </w:tblGrid>
      <w:tr w:rsidR="00C0350B" w14:paraId="3C442934" w14:textId="77777777">
        <w:trPr>
          <w:trHeight w:val="510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39F3F300" w14:textId="77777777" w:rsidR="00C0350B" w:rsidRDefault="003C4D6D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>
              <w:rPr>
                <w:rFonts w:ascii="Verdana" w:hAnsi="Verdana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5EBE0EA1" w14:textId="77777777" w:rsidR="00C0350B" w:rsidRDefault="003C4D6D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>
              <w:rPr>
                <w:rFonts w:ascii="Verdana" w:hAnsi="Verdana"/>
                <w:b/>
                <w:bCs/>
                <w:color w:val="000000"/>
                <w:lang w:eastAsia="sk-SK"/>
              </w:rPr>
              <w:t>Počet rokov odpisovania</w:t>
            </w:r>
          </w:p>
        </w:tc>
      </w:tr>
      <w:tr w:rsidR="00C0350B" w14:paraId="5C77308F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1DED8D41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3D50B687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</w:t>
            </w:r>
          </w:p>
        </w:tc>
      </w:tr>
      <w:tr w:rsidR="00C0350B" w14:paraId="664A13BA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638EBDC8" w14:textId="77777777" w:rsidR="00C0350B" w:rsidRDefault="003C4D6D">
            <w:pPr>
              <w:jc w:val="center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2.odpisová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761387B5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6</w:t>
            </w:r>
          </w:p>
        </w:tc>
      </w:tr>
      <w:tr w:rsidR="00C0350B" w14:paraId="1AFBC56C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42E3B2D8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3.odpisová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3450CE01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8</w:t>
            </w:r>
          </w:p>
        </w:tc>
      </w:tr>
      <w:tr w:rsidR="00C0350B" w14:paraId="3686DD32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47D17788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49E37831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12</w:t>
            </w:r>
          </w:p>
        </w:tc>
      </w:tr>
      <w:tr w:rsidR="00C0350B" w14:paraId="735110DF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6EE0A87E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5.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3BACE81A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20</w:t>
            </w:r>
          </w:p>
        </w:tc>
      </w:tr>
      <w:tr w:rsidR="00C0350B" w14:paraId="77CC41B8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08013CA4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6.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32801C59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40</w:t>
            </w:r>
          </w:p>
        </w:tc>
      </w:tr>
      <w:tr w:rsidR="00C0350B" w14:paraId="5139B0D4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7202234E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7.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57116417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</w:t>
            </w:r>
          </w:p>
        </w:tc>
      </w:tr>
    </w:tbl>
    <w:p w14:paraId="2D419321" w14:textId="77777777" w:rsidR="00C0350B" w:rsidRDefault="00C0350B">
      <w:pPr>
        <w:jc w:val="both"/>
        <w:rPr>
          <w:sz w:val="22"/>
          <w:szCs w:val="22"/>
        </w:rPr>
      </w:pPr>
    </w:p>
    <w:p w14:paraId="47B611DC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Prvých 6 odpisových skupín zodpovedá z pohľadu zaradenia a doby odpisovania zákonu o dani z príjmov , skupina 7 je  určená na odpisovanie majetku, ktorého obstarávacia cena je nižšia ako 1 700 eur.</w:t>
      </w:r>
    </w:p>
    <w:p w14:paraId="2ED7F998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Majetok je do odpisových skupín zaraďovaný na základe predpokladanej doby životnosti. Na základe rozhodnutia je odpisovaný rovnomerne, alebo zrýchlene. </w:t>
      </w:r>
    </w:p>
    <w:p w14:paraId="2E8EF970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E040086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g) informácia o poskytnutých dotáciách a pri dotáciách na obstaranie majetku sa uvedú zložky majetku a ich ocenenie</w:t>
      </w:r>
      <w:r>
        <w:rPr>
          <w:color w:val="00000A"/>
          <w:sz w:val="22"/>
          <w:szCs w:val="22"/>
        </w:rPr>
        <w:t xml:space="preserve">. </w:t>
      </w:r>
    </w:p>
    <w:p w14:paraId="3A94EF6B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7EB1B46F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Spoločnosť nemá dotácie na  obstaranie majetku</w:t>
      </w:r>
    </w:p>
    <w:p w14:paraId="0263FAFE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50A08EB5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A8F8495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5) Informácia o oprave významných chýb minulých účtovných období účtovaných v bežnom účtovnom období s uvedením sumy vplyvu na nerozdelený zisk minulých rokov alebo na neuhradenú stratu minulých rokov. </w:t>
      </w:r>
    </w:p>
    <w:p w14:paraId="2EDE15E8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18FB2D97" w14:textId="28728B2D" w:rsidR="00C0350B" w:rsidRDefault="003C4D6D">
      <w:pPr>
        <w:pStyle w:val="Default"/>
      </w:pPr>
      <w:r>
        <w:rPr>
          <w:color w:val="00000A"/>
          <w:sz w:val="22"/>
          <w:szCs w:val="22"/>
        </w:rPr>
        <w:t>V účtovnom období 20</w:t>
      </w:r>
      <w:r w:rsidR="00511E34">
        <w:rPr>
          <w:color w:val="00000A"/>
          <w:sz w:val="22"/>
          <w:szCs w:val="22"/>
        </w:rPr>
        <w:t>20</w:t>
      </w:r>
      <w:r>
        <w:rPr>
          <w:color w:val="00000A"/>
          <w:sz w:val="22"/>
          <w:szCs w:val="22"/>
        </w:rPr>
        <w:t xml:space="preserve"> neboli účtované významné chyby minulých období.</w:t>
      </w:r>
    </w:p>
    <w:p w14:paraId="7710B831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577734CC" w14:textId="77777777" w:rsidR="00C0350B" w:rsidRDefault="00C0350B">
      <w:pPr>
        <w:jc w:val="both"/>
        <w:rPr>
          <w:sz w:val="22"/>
          <w:szCs w:val="22"/>
        </w:rPr>
      </w:pPr>
    </w:p>
    <w:p w14:paraId="13315FD6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IV</w:t>
      </w:r>
    </w:p>
    <w:p w14:paraId="68365388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Informácie, ktoré vysvetľujú a doplňujú položky súvahy</w:t>
      </w:r>
    </w:p>
    <w:p w14:paraId="072F6A7E" w14:textId="77777777" w:rsidR="00C0350B" w:rsidRDefault="00C0350B">
      <w:pPr>
        <w:jc w:val="both"/>
        <w:rPr>
          <w:sz w:val="22"/>
          <w:szCs w:val="22"/>
        </w:rPr>
      </w:pPr>
    </w:p>
    <w:p w14:paraId="41150E55" w14:textId="77777777" w:rsidR="00C0350B" w:rsidRDefault="00C0350B">
      <w:pPr>
        <w:jc w:val="both"/>
        <w:rPr>
          <w:sz w:val="22"/>
          <w:szCs w:val="22"/>
        </w:rPr>
      </w:pPr>
    </w:p>
    <w:p w14:paraId="5FD3B34F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792D522" w14:textId="77777777" w:rsidR="00C0350B" w:rsidRDefault="003C4D6D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K dlhodobému nehmotnému majetku, ktorým je </w:t>
      </w:r>
      <w:proofErr w:type="spellStart"/>
      <w:r>
        <w:rPr>
          <w:rFonts w:ascii="Arial" w:hAnsi="Arial" w:cs="Arial"/>
          <w:b/>
          <w:color w:val="000000"/>
          <w:sz w:val="22"/>
          <w:szCs w:val="22"/>
          <w:lang w:eastAsia="sk-SK"/>
        </w:rPr>
        <w:t>goodwill</w:t>
      </w:r>
      <w:proofErr w:type="spellEnd"/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alebo záporný </w:t>
      </w:r>
      <w:proofErr w:type="spellStart"/>
      <w:r>
        <w:rPr>
          <w:rFonts w:ascii="Arial" w:hAnsi="Arial" w:cs="Arial"/>
          <w:b/>
          <w:color w:val="000000"/>
          <w:sz w:val="22"/>
          <w:szCs w:val="22"/>
          <w:lang w:eastAsia="sk-SK"/>
        </w:rPr>
        <w:t>goodwill</w:t>
      </w:r>
      <w:proofErr w:type="spellEnd"/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sa uvádza dôvod jeho vzniku, spôsob výpočtu a prehodnotenie opodstatnenosti jeho výšky a odpisu jeho hodnoty. </w:t>
      </w:r>
    </w:p>
    <w:p w14:paraId="370767B9" w14:textId="77777777" w:rsidR="00C0350B" w:rsidRDefault="003C4D6D">
      <w:pPr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14:paraId="3222ED0A" w14:textId="77777777" w:rsidR="00C0350B" w:rsidRDefault="003C4D6D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Spoločnosť neúčtovala a ani neeviduje </w:t>
      </w:r>
      <w:proofErr w:type="spellStart"/>
      <w:r>
        <w:rPr>
          <w:rFonts w:ascii="Arial" w:hAnsi="Arial" w:cs="Arial"/>
          <w:color w:val="000000"/>
          <w:sz w:val="22"/>
          <w:szCs w:val="22"/>
          <w:lang w:eastAsia="sk-SK"/>
        </w:rPr>
        <w:t>goodwill</w:t>
      </w:r>
      <w:proofErr w:type="spellEnd"/>
    </w:p>
    <w:p w14:paraId="00EC6164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0760FB1E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E8E73CF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14:paraId="29FD9D3C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0185DE81" w14:textId="77777777" w:rsidR="00C0350B" w:rsidRDefault="003C4D6D">
      <w:pPr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neúčtovala o derivátoch</w:t>
      </w:r>
    </w:p>
    <w:p w14:paraId="07B5B294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609079F8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1A41482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(3) Informácie o záväzkoch, a to o </w:t>
      </w:r>
    </w:p>
    <w:p w14:paraId="2EB38AE8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a) celkovej sume záväzkov so zostatkovou dobou splatnosti dlhšou ako päť rokov, </w:t>
      </w:r>
    </w:p>
    <w:p w14:paraId="38E4AB4A" w14:textId="77777777" w:rsidR="00C0350B" w:rsidRDefault="00C0350B">
      <w:pPr>
        <w:spacing w:after="14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378C1AE3" w14:textId="77777777" w:rsidR="00C0350B" w:rsidRDefault="003C4D6D">
      <w:pPr>
        <w:spacing w:after="14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neeviduje záväzky s dobou splatnosti dlhšou ako 5 rokov.</w:t>
      </w:r>
    </w:p>
    <w:p w14:paraId="14F04A9D" w14:textId="77777777" w:rsidR="00C0350B" w:rsidRDefault="00C0350B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616B1BD6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celkovej sume zabezpečených záväzkov, opise a spôsoboch zabezpečenia záväzkov. </w:t>
      </w:r>
    </w:p>
    <w:p w14:paraId="6517C06C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5B3DEDB6" w14:textId="77777777" w:rsidR="00C0350B" w:rsidRDefault="003C4D6D">
      <w:pPr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nemá zabezpečené záväzky</w:t>
      </w:r>
    </w:p>
    <w:p w14:paraId="71D55055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1F77B854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EE73446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(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4) Informácie o vlastných akciách, a to o </w:t>
      </w:r>
    </w:p>
    <w:p w14:paraId="16CD3F65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5B05B0A0" w14:textId="77777777" w:rsidR="00C0350B" w:rsidRDefault="003C4D6D">
      <w:pPr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lang w:eastAsia="sk-SK"/>
        </w:rPr>
        <w:t>Spoločnosť nevlastní vlastné akcie</w:t>
      </w:r>
    </w:p>
    <w:p w14:paraId="0455C70A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69C18719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068BA53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p w14:paraId="0CC0DFBE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E542A7A" w14:textId="77777777" w:rsidR="00C0350B" w:rsidRDefault="003C4D6D">
      <w:pPr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neeviduje výnimočné resp. mimoriadne výnosy ani náklady</w:t>
      </w:r>
    </w:p>
    <w:p w14:paraId="5DEE7BD6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111A1B4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</w:t>
      </w:r>
    </w:p>
    <w:p w14:paraId="3C752B84" w14:textId="77777777" w:rsidR="00C0350B" w:rsidRDefault="003C4D6D">
      <w:pPr>
        <w:jc w:val="center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 o iných aktívach a iných pasívach</w:t>
      </w:r>
    </w:p>
    <w:p w14:paraId="76133879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5A6A6BC6" w14:textId="77777777" w:rsidR="00C0350B" w:rsidRDefault="00C0350B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FB56179" w14:textId="77777777" w:rsidR="00C0350B" w:rsidRDefault="00C0350B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C6930EE" w14:textId="77777777" w:rsidR="00C0350B" w:rsidRDefault="00C0350B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5A86E95C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04B35288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(1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) K iným aktívam a iným pasívam sa uvádzajú tieto informácie: </w:t>
      </w:r>
    </w:p>
    <w:p w14:paraId="6E71D24B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1F9D6B81" w14:textId="77777777" w:rsidR="00C0350B" w:rsidRDefault="003C4D6D">
      <w:pPr>
        <w:pStyle w:val="Odsekzoznamu"/>
        <w:numPr>
          <w:ilvl w:val="0"/>
          <w:numId w:val="3"/>
        </w:num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531E8D6" w14:textId="77777777" w:rsidR="00C0350B" w:rsidRDefault="00C0350B">
      <w:pPr>
        <w:pStyle w:val="Odsekzoznamu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16BE43B2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spoločnosť neeviduje podmienený majetok</w:t>
      </w:r>
    </w:p>
    <w:p w14:paraId="1C37B126" w14:textId="77777777" w:rsidR="00C0350B" w:rsidRDefault="00C0350B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1F93BC19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b) 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01A3D4E4" w14:textId="77777777" w:rsidR="00C0350B" w:rsidRDefault="003C4D6D">
      <w:pPr>
        <w:spacing w:after="1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14:paraId="052ADF16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b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spoločnosť neeviduje podmienené záväzky</w:t>
      </w:r>
    </w:p>
    <w:p w14:paraId="58BD0192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65F21450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13022C96" w14:textId="77777777" w:rsidR="00C0350B" w:rsidRDefault="003C4D6D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14:paraId="55754311" w14:textId="77777777" w:rsidR="00C0350B" w:rsidRDefault="00C0350B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E9AD572" w14:textId="77777777" w:rsidR="00C0350B" w:rsidRDefault="003C4D6D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Pre túto oblasť nemá účtovná jednotka obsahovú náplň</w:t>
      </w:r>
    </w:p>
    <w:p w14:paraId="64FB29F6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285C160" w14:textId="77777777" w:rsidR="00C0350B" w:rsidRDefault="003C4D6D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Skutočnosti sledované na podsúvahových účtoch </w:t>
      </w:r>
    </w:p>
    <w:p w14:paraId="30582EC8" w14:textId="77777777" w:rsidR="00C0350B" w:rsidRDefault="00C0350B">
      <w:pPr>
        <w:pStyle w:val="Odsekzoznamu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42077D42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345D1535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Spoločnosť nemá evidovaný majetok na podsúvahových účtoch.</w:t>
      </w:r>
    </w:p>
    <w:p w14:paraId="72036FFD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8EC1FAB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6587A62E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</w:t>
      </w:r>
    </w:p>
    <w:p w14:paraId="1FFF225B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rFonts w:eastAsia="Times New Roman"/>
          <w:b/>
          <w:bCs/>
          <w:sz w:val="22"/>
          <w:szCs w:val="22"/>
          <w:lang w:eastAsia="sk-SK"/>
        </w:rPr>
        <w:t>Udalosti, ktoré nastali po dni, ku ktorému sa zostavuje účtovná závierka</w:t>
      </w:r>
    </w:p>
    <w:p w14:paraId="19D5C943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996DEC4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Ku dňu zostavenia účtovnej závierky nedošlo k</w:t>
      </w:r>
    </w:p>
    <w:p w14:paraId="6BECCD5B" w14:textId="77777777" w:rsidR="00C0350B" w:rsidRDefault="003C4D6D">
      <w:pPr>
        <w:pStyle w:val="Odsekzoznamu"/>
        <w:numPr>
          <w:ilvl w:val="0"/>
          <w:numId w:val="4"/>
        </w:num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poklesu alebo zvýšeniu trhovej ceny finančného majetku ako dôsledku udalostí, ktoré nastali po dni, ku ktorému sa zostavuje účtovná závierka do dňa zostavenia účtovnej závierky, s uvedením dôvodu týchto zmien, </w:t>
      </w:r>
    </w:p>
    <w:p w14:paraId="768F1930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lastRenderedPageBreak/>
        <w:t xml:space="preserve">b) nenastali dôvody pre zmenu výšky rezerv a opravných položiek, ktoré nastali v dôsledku udalostí po dni, ku ktorému sa zostavuje účtovná závierka do dňa zostavenia účtovnej závierky, </w:t>
      </w:r>
    </w:p>
    <w:p w14:paraId="6AC62D76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c) nedošlo k zmene spoločníkov účtovnej jednotky, </w:t>
      </w:r>
    </w:p>
    <w:p w14:paraId="4FCAFEC7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d) nebolo prijaté   rozhodnutie o predaji účtovnej jednotky alebo jej časti, </w:t>
      </w:r>
    </w:p>
    <w:p w14:paraId="399CFC53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e) nenastali významné zmeny zmenách významných položiek dlhodobého finančného majetku, </w:t>
      </w:r>
    </w:p>
    <w:p w14:paraId="5688C26F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f) neuvažuje sa o začatí alebo ukončení činnosti časti účtovnej jednotky, </w:t>
      </w:r>
    </w:p>
    <w:p w14:paraId="579804B3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g) neboli vydané dlhopisy alebo iné   cenné papiere, </w:t>
      </w:r>
    </w:p>
    <w:p w14:paraId="7DF921D6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h) nedošlo k  zlúčeniu, splynutiu, rozdeleniu a zmene právnej formy účtovnej jednotky, </w:t>
      </w:r>
    </w:p>
    <w:p w14:paraId="599414A3" w14:textId="77777777" w:rsidR="00C0350B" w:rsidRDefault="003C4D6D">
      <w:pPr>
        <w:spacing w:after="14"/>
      </w:pPr>
      <w:r>
        <w:rPr>
          <w:rFonts w:ascii="Arial" w:hAnsi="Arial" w:cs="Arial"/>
          <w:color w:val="000000"/>
          <w:sz w:val="22"/>
          <w:szCs w:val="22"/>
          <w:lang w:eastAsia="sk-SK"/>
        </w:rPr>
        <w:t>i) nastali  udalosti, ktoré začali ovplyvňovať hospodárenie účtovnej jednotky,</w:t>
      </w:r>
    </w:p>
    <w:p w14:paraId="378A402E" w14:textId="56B721BC" w:rsidR="00C0350B" w:rsidRDefault="00C0350B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DCCEAC5" w14:textId="77777777" w:rsidR="00C0350B" w:rsidRDefault="003C4D6D">
      <w:pPr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j) nebola získaná ani  odobratá licencia alebo iné povolenia významné pre činnosť účtovnej jednotky  </w:t>
      </w:r>
    </w:p>
    <w:p w14:paraId="49575B09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74C4F72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590A6D4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VII</w:t>
      </w:r>
    </w:p>
    <w:p w14:paraId="195CC166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Ostatné informácie</w:t>
      </w:r>
    </w:p>
    <w:p w14:paraId="16742A3E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1854B3E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</w:p>
    <w:p w14:paraId="71A43E45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4F5D879" w14:textId="77777777" w:rsidR="00C0350B" w:rsidRDefault="003C4D6D">
      <w:pPr>
        <w:pStyle w:val="Odsekzoznamu"/>
        <w:numPr>
          <w:ilvl w:val="0"/>
          <w:numId w:val="5"/>
        </w:num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Spoločnosti neboli udelené  výlučné práva alebo osobitné práva  poskytovať služby vo verejnom záujme, </w:t>
      </w:r>
    </w:p>
    <w:p w14:paraId="267E85A2" w14:textId="77777777" w:rsidR="00C0350B" w:rsidRDefault="00C0350B">
      <w:pPr>
        <w:ind w:left="36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ED94C00" w14:textId="77777777" w:rsidR="00C0350B" w:rsidRDefault="003C4D6D">
      <w:pPr>
        <w:pStyle w:val="Odsekzoznamu"/>
        <w:numPr>
          <w:ilvl w:val="0"/>
          <w:numId w:val="5"/>
        </w:numPr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Na účtovnú jednotku sa nevzťahuje § 23d ods. 6 zákona, a jej činnosť nie je zaradená do kategórie priemyselnej výroby podľa osobitného predpisu</w:t>
      </w:r>
      <w:r>
        <w:rPr>
          <w:rFonts w:ascii="Arial" w:hAnsi="Arial" w:cs="Arial"/>
          <w:color w:val="000000"/>
          <w:sz w:val="14"/>
          <w:szCs w:val="14"/>
          <w:lang w:eastAsia="sk-SK"/>
        </w:rPr>
        <w:t xml:space="preserve">23)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a jej čistý obrat za bezprostredne predchádzajúce účtovné obdobie nebol väčší ako 250 000 000 eur,  </w:t>
      </w:r>
    </w:p>
    <w:p w14:paraId="51458606" w14:textId="77777777" w:rsidR="00C0350B" w:rsidRDefault="00C0350B">
      <w:pPr>
        <w:pStyle w:val="Odsekzoznamu"/>
        <w:spacing w:after="14"/>
      </w:pPr>
    </w:p>
    <w:p w14:paraId="73336ED7" w14:textId="77777777" w:rsidR="00C0350B" w:rsidRDefault="00C0350B">
      <w:pPr>
        <w:pStyle w:val="Odsekzoznamu"/>
        <w:spacing w:after="14"/>
      </w:pPr>
    </w:p>
    <w:sectPr w:rsidR="00C0350B">
      <w:headerReference w:type="default" r:id="rId8"/>
      <w:footerReference w:type="default" r:id="rId9"/>
      <w:headerReference w:type="first" r:id="rId10"/>
      <w:pgSz w:w="11906" w:h="16838"/>
      <w:pgMar w:top="993" w:right="1417" w:bottom="1417" w:left="1417" w:header="708" w:footer="708" w:gutter="0"/>
      <w:cols w:space="708"/>
      <w:formProt w:val="0"/>
      <w:titlePg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C1D76" w14:textId="77777777" w:rsidR="0093118D" w:rsidRDefault="0093118D">
      <w:r>
        <w:separator/>
      </w:r>
    </w:p>
  </w:endnote>
  <w:endnote w:type="continuationSeparator" w:id="0">
    <w:p w14:paraId="0C2272AA" w14:textId="77777777" w:rsidR="0093118D" w:rsidRDefault="009311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66D37" w14:textId="77777777" w:rsidR="00C0350B" w:rsidRDefault="003C4D6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9" behindDoc="1" locked="0" layoutInCell="1" allowOverlap="1" wp14:anchorId="7E98E198" wp14:editId="4A138E2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6675" cy="292735"/>
              <wp:effectExtent l="0" t="0" r="0" b="0"/>
              <wp:wrapSquare wrapText="largest"/>
              <wp:docPr id="2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880" cy="291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B41A42B" w14:textId="77777777" w:rsidR="00C0350B" w:rsidRDefault="003C4D6D">
                          <w:pPr>
                            <w:pStyle w:val="Pta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7E98E198" id="Rámec1" o:spid="_x0000_s1026" style="position:absolute;margin-left:0;margin-top:.05pt;width:5.25pt;height:23.05pt;z-index:-503316471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" filled="f" stroked="f">
              <v:textbox style="mso-fit-shape-to-text:t" inset="0,0,0,0">
                <w:txbxContent>
                  <w:p w14:paraId="6B41A42B" w14:textId="77777777" w:rsidR="00C0350B" w:rsidRDefault="003C4D6D">
                    <w:pPr>
                      <w:pStyle w:val="Pta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type="square" side="largest" anchorx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F055CF" w14:textId="77777777" w:rsidR="0093118D" w:rsidRDefault="0093118D">
      <w:r>
        <w:separator/>
      </w:r>
    </w:p>
  </w:footnote>
  <w:footnote w:type="continuationSeparator" w:id="0">
    <w:p w14:paraId="2A85A39A" w14:textId="77777777" w:rsidR="0093118D" w:rsidRDefault="009311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C9BEB" w14:textId="77777777" w:rsidR="00C0350B" w:rsidRDefault="003C4D6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            IČO: 31599 061   DIČ:2020465128</w:t>
    </w:r>
  </w:p>
  <w:p w14:paraId="12464637" w14:textId="77777777" w:rsidR="00C0350B" w:rsidRDefault="00C0350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AA7BF" w14:textId="77777777" w:rsidR="00C0350B" w:rsidRDefault="003C4D6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            IČO: 31599 061   DIČ:2020465128</w:t>
    </w:r>
  </w:p>
  <w:p w14:paraId="6F4209F6" w14:textId="77777777" w:rsidR="00C0350B" w:rsidRDefault="00C0350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43E9A"/>
    <w:multiLevelType w:val="multilevel"/>
    <w:tmpl w:val="C2F0E7B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2A8654D"/>
    <w:multiLevelType w:val="multilevel"/>
    <w:tmpl w:val="201ACD34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8E7A21"/>
    <w:multiLevelType w:val="multilevel"/>
    <w:tmpl w:val="2E6E9AB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C76C6D"/>
    <w:multiLevelType w:val="multilevel"/>
    <w:tmpl w:val="CA3ABC6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7F633A"/>
    <w:multiLevelType w:val="multilevel"/>
    <w:tmpl w:val="D902A218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BE11588"/>
    <w:multiLevelType w:val="multilevel"/>
    <w:tmpl w:val="6654126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568347015">
    <w:abstractNumId w:val="4"/>
  </w:num>
  <w:num w:numId="2" w16cid:durableId="1424760811">
    <w:abstractNumId w:val="1"/>
  </w:num>
  <w:num w:numId="3" w16cid:durableId="202645181">
    <w:abstractNumId w:val="5"/>
  </w:num>
  <w:num w:numId="4" w16cid:durableId="1783302443">
    <w:abstractNumId w:val="3"/>
  </w:num>
  <w:num w:numId="5" w16cid:durableId="57284164">
    <w:abstractNumId w:val="2"/>
  </w:num>
  <w:num w:numId="6" w16cid:durableId="882366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50B"/>
    <w:rsid w:val="001E2D48"/>
    <w:rsid w:val="002F1AEC"/>
    <w:rsid w:val="0038013E"/>
    <w:rsid w:val="003C4D6D"/>
    <w:rsid w:val="00511E34"/>
    <w:rsid w:val="00604E1E"/>
    <w:rsid w:val="0061616D"/>
    <w:rsid w:val="00646584"/>
    <w:rsid w:val="007846F0"/>
    <w:rsid w:val="0093118D"/>
    <w:rsid w:val="00951339"/>
    <w:rsid w:val="00BB0B0A"/>
    <w:rsid w:val="00C0350B"/>
    <w:rsid w:val="00D231B2"/>
    <w:rsid w:val="00F94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3AE31"/>
  <w15:docId w15:val="{A8252FA6-82C8-468D-8017-E01B21251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187A"/>
    <w:rPr>
      <w:color w:val="00000A"/>
      <w:lang w:eastAsia="cs-CZ"/>
    </w:rPr>
  </w:style>
  <w:style w:type="paragraph" w:styleId="Nadpis1">
    <w:name w:val="heading 1"/>
    <w:basedOn w:val="Normlny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heading 2"/>
    <w:basedOn w:val="Normlny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heading 4"/>
    <w:basedOn w:val="Normlny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heading 6"/>
    <w:basedOn w:val="Normlny"/>
    <w:qFormat/>
    <w:rsid w:val="007A187A"/>
    <w:pPr>
      <w:keepNext/>
      <w:outlineLvl w:val="5"/>
    </w:pPr>
    <w:rPr>
      <w:b/>
      <w:sz w:val="1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basedOn w:val="Predvolenpsmoodseku"/>
    <w:semiHidden/>
    <w:qFormat/>
    <w:rsid w:val="00A403F7"/>
    <w:rPr>
      <w:vertAlign w:val="superscript"/>
    </w:rPr>
  </w:style>
  <w:style w:type="character" w:customStyle="1" w:styleId="Nadpis1Char">
    <w:name w:val="Nadpis 1 Char"/>
    <w:basedOn w:val="Predvolenpsmoodseku"/>
    <w:link w:val="Nadpis1"/>
    <w:qFormat/>
    <w:rsid w:val="003A436D"/>
    <w:rPr>
      <w:b/>
      <w:sz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qFormat/>
    <w:rsid w:val="003A436D"/>
    <w:rPr>
      <w:b/>
      <w:sz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qFormat/>
    <w:rsid w:val="003A436D"/>
    <w:rPr>
      <w:b/>
      <w:sz w:val="24"/>
      <w:lang w:val="sk-SK" w:eastAsia="cs-CZ" w:bidi="ar-SA"/>
    </w:rPr>
  </w:style>
  <w:style w:type="character" w:styleId="slostrany">
    <w:name w:val="page number"/>
    <w:basedOn w:val="Predvolenpsmoodseku"/>
    <w:qFormat/>
    <w:rsid w:val="00A30FAA"/>
  </w:style>
  <w:style w:type="character" w:customStyle="1" w:styleId="TextbublinyChar">
    <w:name w:val="Text bubliny Char"/>
    <w:basedOn w:val="Predvolenpsmoodseku"/>
    <w:link w:val="Textbubliny"/>
    <w:qFormat/>
    <w:rsid w:val="00BB4478"/>
    <w:rPr>
      <w:rFonts w:ascii="Tahoma" w:hAnsi="Tahoma" w:cs="Tahoma"/>
      <w:sz w:val="16"/>
      <w:szCs w:val="16"/>
      <w:lang w:eastAsia="cs-CZ"/>
    </w:rPr>
  </w:style>
  <w:style w:type="character" w:customStyle="1" w:styleId="ra">
    <w:name w:val="ra"/>
    <w:basedOn w:val="Predvolenpsmoodseku"/>
    <w:qFormat/>
    <w:rsid w:val="00602A1D"/>
  </w:style>
  <w:style w:type="character" w:customStyle="1" w:styleId="apple-converted-space">
    <w:name w:val="apple-converted-space"/>
    <w:basedOn w:val="Predvolenpsmoodseku"/>
    <w:qFormat/>
    <w:rsid w:val="00602A1D"/>
  </w:style>
  <w:style w:type="character" w:customStyle="1" w:styleId="HlavikaChar">
    <w:name w:val="Hlavička Char"/>
    <w:basedOn w:val="Predvolenpsmoodseku"/>
    <w:link w:val="Hlavika"/>
    <w:uiPriority w:val="99"/>
    <w:qFormat/>
    <w:rsid w:val="000115DA"/>
    <w:rPr>
      <w:lang w:eastAsia="cs-CZ"/>
    </w:rPr>
  </w:style>
  <w:style w:type="character" w:customStyle="1" w:styleId="ListLabel1">
    <w:name w:val="ListLabel 1"/>
    <w:qFormat/>
    <w:rPr>
      <w:rFonts w:eastAsia="Times New Roman" w:cs="Times New Roman"/>
      <w:sz w:val="22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b/>
    </w:rPr>
  </w:style>
  <w:style w:type="character" w:customStyle="1" w:styleId="ListLabel4">
    <w:name w:val="ListLabel 4"/>
    <w:qFormat/>
    <w:rPr>
      <w:rFonts w:cs="Times New Roman"/>
      <w:sz w:val="22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Wingdings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Times New Roman"/>
      <w:sz w:val="22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Wingdings"/>
    </w:rPr>
  </w:style>
  <w:style w:type="character" w:customStyle="1" w:styleId="ListLabel11">
    <w:name w:val="ListLabel 11"/>
    <w:qFormat/>
    <w:rPr>
      <w:rFonts w:cs="Symbol"/>
    </w:rPr>
  </w:style>
  <w:style w:type="character" w:customStyle="1" w:styleId="ListLabel12">
    <w:name w:val="ListLabel 12"/>
    <w:qFormat/>
    <w:rPr>
      <w:rFonts w:cs="Times New Roman"/>
      <w:sz w:val="22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Wingdings"/>
    </w:rPr>
  </w:style>
  <w:style w:type="character" w:customStyle="1" w:styleId="ListLabel15">
    <w:name w:val="ListLabel 15"/>
    <w:qFormat/>
    <w:rPr>
      <w:rFonts w:cs="Symbol"/>
    </w:rPr>
  </w:style>
  <w:style w:type="character" w:customStyle="1" w:styleId="ListLabel16">
    <w:name w:val="ListLabel 16"/>
    <w:qFormat/>
    <w:rPr>
      <w:rFonts w:cs="Times New Roman"/>
      <w:sz w:val="22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rsid w:val="007A187A"/>
    <w:rPr>
      <w:sz w:val="18"/>
    </w:r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Zarkazkladnhotextu2">
    <w:name w:val="Body Text Indent 2"/>
    <w:basedOn w:val="Normlny"/>
    <w:qFormat/>
    <w:rsid w:val="00CE44EA"/>
    <w:pPr>
      <w:spacing w:after="120" w:line="480" w:lineRule="auto"/>
      <w:ind w:left="283"/>
    </w:pPr>
  </w:style>
  <w:style w:type="paragraph" w:styleId="Textpoznmkypodiarou">
    <w:name w:val="footnote text"/>
    <w:basedOn w:val="Normlny"/>
    <w:semiHidden/>
    <w:qFormat/>
    <w:rsid w:val="00A403F7"/>
  </w:style>
  <w:style w:type="paragraph" w:customStyle="1" w:styleId="Zkladntext1">
    <w:name w:val="Základní text1"/>
    <w:basedOn w:val="Normlny"/>
    <w:qFormat/>
    <w:rsid w:val="009B41D1"/>
    <w:pPr>
      <w:widowControl w:val="0"/>
    </w:pPr>
    <w:rPr>
      <w:sz w:val="24"/>
    </w:rPr>
  </w:style>
  <w:style w:type="paragraph" w:customStyle="1" w:styleId="Odstavecseseznamem">
    <w:name w:val="Odstavec se seznamem"/>
    <w:basedOn w:val="Normlny"/>
    <w:qFormat/>
    <w:rsid w:val="003A436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A30FA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30FAA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qFormat/>
    <w:rsid w:val="00BB4478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430C9"/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B10E22"/>
    <w:pPr>
      <w:ind w:left="720"/>
      <w:contextualSpacing/>
    </w:pPr>
  </w:style>
  <w:style w:type="paragraph" w:customStyle="1" w:styleId="Obsahrmca">
    <w:name w:val="Obsah rámca"/>
    <w:basedOn w:val="Normlny"/>
    <w:qFormat/>
  </w:style>
  <w:style w:type="table" w:styleId="Mriekatabuky">
    <w:name w:val="Table Grid"/>
    <w:basedOn w:val="Normlnatabuka"/>
    <w:rsid w:val="00385B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943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1908</Words>
  <Characters>10878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MURAT s.r.o.</Company>
  <LinksUpToDate>false</LinksUpToDate>
  <CharactersWithSpaces>12761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senka</dc:creator>
  <cp:lastModifiedBy>svajner</cp:lastModifiedBy>
  <cp:revision>5</cp:revision>
  <cp:lastPrinted>2016-03-17T14:19:00Z</cp:lastPrinted>
  <dcterms:created xsi:type="dcterms:W3CDTF">2022-05-26T08:09:00Z</dcterms:created>
  <dcterms:modified xsi:type="dcterms:W3CDTF">2022-05-26T09:06:00Z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MURAT s.r.o.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