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65" w:type="dxa"/>
        <w:tblInd w:w="2" w:type="dxa"/>
        <w:tblLook w:val="04A0"/>
      </w:tblPr>
      <w:tblGrid>
        <w:gridCol w:w="7107"/>
        <w:gridCol w:w="548"/>
        <w:gridCol w:w="965"/>
        <w:gridCol w:w="756"/>
        <w:gridCol w:w="489"/>
      </w:tblGrid>
      <w:tr w:rsidR="00B73E64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B &amp; P PARIBA, s.r.o.</w:t>
            </w:r>
          </w:p>
          <w:p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:rsidR="00B73E64" w:rsidRDefault="00775552">
            <w:pPr>
              <w:tabs>
                <w:tab w:val="center" w:pos="2243"/>
                <w:tab w:val="center" w:pos="5644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>Stav zamestnancov ku dňu, ku ktorému sa zostavuje účtovná závierka, z toho:</w:t>
      </w:r>
    </w:p>
    <w:p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</w:p>
    <w:p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</w:t>
      </w:r>
      <w:r w:rsidR="00031F63">
        <w:rPr>
          <w:rFonts w:ascii="Arial" w:eastAsia="Arial" w:hAnsi="Arial" w:cs="Arial"/>
          <w:sz w:val="14"/>
        </w:rPr>
        <w:t>2</w:t>
      </w:r>
    </w:p>
    <w:p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 členov orgánov spoločnosti</w:t>
      </w:r>
    </w:p>
    <w:p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poskytnuté</w:t>
      </w:r>
    </w:p>
    <w:p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:rsidR="00B73E64" w:rsidRDefault="00775552">
      <w:pPr>
        <w:pStyle w:val="Nadpis1"/>
        <w:spacing w:after="48"/>
      </w:pPr>
      <w:r>
        <w:lastRenderedPageBreak/>
        <w:t xml:space="preserve">Čl. II d)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II d) Celková suma použitých finančných prostriedkov alebo iného plnenia na súkromné účely členmi štatutárneho,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:rsidR="00B73E64" w:rsidRDefault="00B73E64">
      <w:pPr>
        <w:spacing w:after="0"/>
      </w:pPr>
    </w:p>
    <w:p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hospodárenia a zmeny zásad a m</w:t>
      </w:r>
    </w:p>
    <w:p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súvahe a ich finančný vplyv</w:t>
      </w:r>
    </w:p>
    <w:p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obstarávacia cena, vlastné náklady, menovitá hodnota</w:t>
      </w:r>
    </w:p>
    <w:p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pohľadávky nadobudnuté vkladom do ZI</w:t>
      </w:r>
    </w:p>
    <w:p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vytvorený vlastnou činnosťou</w:t>
      </w:r>
    </w:p>
    <w:p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časti</w:t>
      </w:r>
    </w:p>
    <w:p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vlastného imania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ocenenia záväzkov, odhad ocenenia rezerv</w:t>
      </w:r>
    </w:p>
    <w:p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nástrojom pri oceňovaní reálnou hodnotou</w:t>
      </w:r>
    </w:p>
    <w:p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 xml:space="preserve">Finančný nástroj/majetok, ktorý nie je finančným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d) 3. Rozsah a podstata derivátových finančných nástrojov, vrátane hlavných podmienok a okolností, ktoré môžu ovplyvniť sumu, časový priebeh a mier budúcich peňažných tokov</w:t>
      </w:r>
    </w:p>
    <w:p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nákladmi</w:t>
      </w:r>
    </w:p>
    <w:p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finančnom majetku, ktorý sa vykazuje vo vyššej hodnote ako je jeho reálna hodnota</w:t>
      </w:r>
    </w:p>
    <w:p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:rsidR="00B73E64" w:rsidRDefault="00775552">
      <w:pPr>
        <w:pStyle w:val="Nadpis1"/>
        <w:ind w:left="108"/>
      </w:pPr>
      <w:r>
        <w:t>Čl. III (4) g) Tvorba odpisového plánu</w:t>
      </w:r>
    </w:p>
    <w:p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Look w:val="04A0"/>
      </w:tblPr>
      <w:tblGrid>
        <w:gridCol w:w="7074"/>
        <w:gridCol w:w="2771"/>
      </w:tblGrid>
      <w:tr w:rsidR="00B73E64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:rsidR="00B73E64" w:rsidRDefault="00775552">
            <w:pPr>
              <w:tabs>
                <w:tab w:val="center" w:pos="1642"/>
                <w:tab w:val="right" w:pos="9845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 plán účtovných odpisov sa zostavil interným predpisom, v ktorom sa vychádzalo z metód používaných</w:t>
            </w:r>
          </w:p>
        </w:tc>
      </w:tr>
      <w:tr w:rsidR="00B73E64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:rsidR="00B73E64" w:rsidRDefault="00775552"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tabs>
                <w:tab w:val="center" w:pos="2240"/>
                <w:tab w:val="center" w:pos="6021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3E64" w:rsidRDefault="00775552">
            <w:pPr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:rsidR="00B73E64" w:rsidRDefault="00775552">
      <w:pPr>
        <w:pStyle w:val="Nadpis1"/>
        <w:ind w:left="108" w:right="890"/>
      </w:pPr>
      <w:r>
        <w:t>Čl. III (5) Oprava nevýznamných chýb minulých účtovných období účtovaných v bežnom období</w:t>
      </w:r>
    </w:p>
    <w:p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ziskov a strát</w:t>
      </w:r>
    </w:p>
    <w:p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:rsidR="00B73E64" w:rsidRDefault="00775552">
      <w:pPr>
        <w:pStyle w:val="Nadpis1"/>
        <w:ind w:left="108"/>
      </w:pPr>
      <w:r>
        <w:t>Čl. IV (2) Informácie o významných položkách derivátov</w:t>
      </w:r>
    </w:p>
    <w:p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Hlavné po</w:t>
      </w:r>
    </w:p>
    <w:p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Look w:val="04A0"/>
      </w:tblPr>
      <w:tblGrid>
        <w:gridCol w:w="3128"/>
        <w:gridCol w:w="2182"/>
        <w:gridCol w:w="2050"/>
        <w:gridCol w:w="1343"/>
      </w:tblGrid>
      <w:tr w:rsidR="00B73E64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:rsidR="00B73E64" w:rsidRDefault="00775552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:rsidR="00B73E64" w:rsidRDefault="00775552">
      <w:pPr>
        <w:pStyle w:val="Nadpis1"/>
        <w:ind w:left="108"/>
      </w:pPr>
      <w:r>
        <w:t>Čl. IV (3) b) Informácie o zabezpečených záväzkoch</w:t>
      </w:r>
    </w:p>
    <w:p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 zabezpečenia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nadobudnutých vlastných akcií počas účtovného obdobia</w:t>
      </w:r>
    </w:p>
    <w:p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prevedených vlastných akcií počas účtovného obdobia</w:t>
      </w:r>
    </w:p>
    <w:p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:rsidR="00B73E64" w:rsidRDefault="00775552">
      <w:pPr>
        <w:pStyle w:val="Nadpis1"/>
        <w:ind w:left="108"/>
      </w:pPr>
      <w:r>
        <w:t xml:space="preserve">Čl. IV 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jednotka má v držbe k poslednému dňu účtovného obdobia</w:t>
      </w:r>
    </w:p>
    <w:p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(5) Informácie o sume a dôvodoch vzniku položiek nákladov a výnosov, ktoré majú výnimočný rozsah alebo výskyt</w:t>
      </w:r>
    </w:p>
    <w:p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:rsidR="00B73E64" w:rsidRDefault="00775552">
      <w:pPr>
        <w:pStyle w:val="Nadpis1"/>
        <w:ind w:left="108"/>
      </w:pPr>
      <w:r>
        <w:t>Čl. V (1) a) Opis a hodnota podmieneného majetku</w:t>
      </w:r>
    </w:p>
    <w:p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investovania prostriedkov získaných oslobodením od dane z príjmov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:rsidR="00B73E64" w:rsidRDefault="00775552">
      <w:pPr>
        <w:pStyle w:val="Nadpis1"/>
        <w:ind w:left="108"/>
      </w:pPr>
      <w:r>
        <w:t>Čl. V (1) b) Opis a hodnota podmienených záväzkov</w:t>
      </w:r>
    </w:p>
    <w:p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Look w:val="04A0"/>
      </w:tblPr>
      <w:tblGrid>
        <w:gridCol w:w="3006"/>
        <w:gridCol w:w="1726"/>
        <w:gridCol w:w="2811"/>
        <w:gridCol w:w="938"/>
      </w:tblGrid>
      <w:tr w:rsidR="00B73E64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Look w:val="04A0"/>
      </w:tblPr>
      <w:tblGrid>
        <w:gridCol w:w="8534"/>
        <w:gridCol w:w="1342"/>
      </w:tblGrid>
      <w:tr w:rsidR="00B73E64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:rsidR="00B73E64" w:rsidRDefault="00775552">
            <w:pPr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:rsidR="00B73E64" w:rsidRDefault="00775552">
            <w:pPr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3E64" w:rsidRDefault="00775552">
            <w:pPr>
              <w:tabs>
                <w:tab w:val="center" w:pos="2629"/>
                <w:tab w:val="center" w:pos="715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3E64" w:rsidRDefault="00775552">
            <w:pPr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 závierky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nastali po dni, ku ktorému sa zostavuje účtovná závierka do dňa zostavenia účtovnej závierky</w:t>
      </w:r>
    </w:p>
    <w:p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spoločníkov účtovnej jednotky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iného povolenia významného pre činnosť</w:t>
      </w:r>
    </w:p>
    <w:p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účtovnej jednotke, na ktorú sa vzťahuje § 23d ods. 6 zákona, ktorej činnosť je zaradená do kategórie priemyselnej výroby a ktorej čistý obrat bol väčší ako 250 000 000 eur</w:t>
      </w:r>
    </w:p>
    <w:p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moc a iné osoby</w:t>
      </w:r>
    </w:p>
    <w:p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spojené právo na výmenu za akcie, napríklad konvertibilné dlhopisy</w:t>
      </w:r>
    </w:p>
    <w:p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:rsidR="00B73E64" w:rsidRDefault="00775552">
      <w:pPr>
        <w:pStyle w:val="Nadpis1"/>
        <w:ind w:left="108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jednotkou</w:t>
      </w:r>
    </w:p>
    <w:p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poskytnuté inou účtovnou jednotkou, podmienky poskytnutia a náklady na získanie</w:t>
      </w:r>
    </w:p>
    <w:p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</w:p>
    <w:p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dividendách a výške nerozdeleného zisku</w:t>
      </w:r>
    </w:p>
    <w:p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:rsidR="00B73E64" w:rsidRDefault="00775552">
      <w:pPr>
        <w:pStyle w:val="Nadpis1"/>
        <w:ind w:left="108"/>
      </w:pPr>
      <w:r>
        <w:t>Čl. VII (2) g) Informácie o iných formách prijatej štátnej pomoci</w:t>
      </w:r>
    </w:p>
    <w:p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:rsidR="00B73E64" w:rsidRDefault="00775552">
      <w:pPr>
        <w:pStyle w:val="Nadpis1"/>
        <w:ind w:left="108"/>
      </w:pPr>
      <w:r>
        <w:lastRenderedPageBreak/>
        <w:t>Čl. VII (3) Informácie o finančných vzťahoch medzi orgánom verejnej moci a účtovnou jednotkou</w:t>
      </w:r>
    </w:p>
    <w:p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:rsidR="00B73E64" w:rsidRDefault="00775552">
      <w:r>
        <w:rPr>
          <w:rFonts w:ascii="Arial" w:eastAsia="Arial" w:hAnsi="Arial" w:cs="Arial"/>
          <w:sz w:val="12"/>
        </w:rPr>
        <w:t>Vzdanie sa dividend a podielov na zisku</w:t>
      </w:r>
    </w:p>
    <w:p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>Vytvorené v programe OMEGA - podvojné účtovníctvo a legislatíva bez starostí. © KROS a.s., www.kros.sk/omega</w:t>
      </w:r>
      <w:r>
        <w:br w:type="page"/>
      </w:r>
    </w:p>
    <w:p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:rsidR="00B73E64" w:rsidRDefault="00B73E64">
      <w:pPr>
        <w:spacing w:after="0"/>
      </w:pPr>
    </w:p>
    <w:p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</w:t>
      </w:r>
      <w:proofErr w:type="spellStart"/>
      <w:r>
        <w:t>ci</w:t>
      </w:r>
      <w:proofErr w:type="spellEnd"/>
      <w:r>
        <w:t xml:space="preserve"> </w:t>
      </w:r>
    </w:p>
    <w:p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:rsidR="00B73E64" w:rsidRDefault="00B73E64">
      <w:pPr>
        <w:spacing w:after="0"/>
      </w:pPr>
    </w:p>
    <w:sectPr w:rsidR="00B73E64" w:rsidSect="009B1F20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73E64"/>
    <w:rsid w:val="00031F63"/>
    <w:rsid w:val="00775552"/>
    <w:rsid w:val="009B1F20"/>
    <w:rsid w:val="009B544A"/>
    <w:rsid w:val="00B73E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F2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9B1F20"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B1F20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9B1F2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2920</Words>
  <Characters>16645</Characters>
  <Application>Microsoft Office Word</Application>
  <DocSecurity>0</DocSecurity>
  <Lines>138</Lines>
  <Paragraphs>39</Paragraphs>
  <ScaleCrop>false</ScaleCrop>
  <Company>HP</Company>
  <LinksUpToDate>false</LinksUpToDate>
  <CharactersWithSpaces>19526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Decisions</dc:creator>
  <cp:lastModifiedBy>B</cp:lastModifiedBy>
  <cp:revision>2</cp:revision>
  <dcterms:created xsi:type="dcterms:W3CDTF">2022-06-29T13:54:00Z</dcterms:created>
  <dcterms:modified xsi:type="dcterms:W3CDTF">2022-06-29T13:54:00Z</dcterms:modified>
</cp:coreProperties>
</file>