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8F73D5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B76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  <w:r w:rsidR="008F73D5">
        <w:rPr>
          <w:rFonts w:ascii="Arial" w:hAnsi="Arial" w:cs="Arial"/>
          <w:b/>
          <w:sz w:val="22"/>
          <w:szCs w:val="22"/>
        </w:rPr>
        <w:t xml:space="preserve">, v roku 2021 </w:t>
      </w:r>
      <w:r w:rsidR="008F73D5">
        <w:rPr>
          <w:rFonts w:ascii="Arial" w:hAnsi="Arial" w:cs="Arial"/>
          <w:b/>
          <w:sz w:val="22"/>
          <w:szCs w:val="22"/>
        </w:rPr>
        <w:lastRenderedPageBreak/>
        <w:t>obstarala hmotný majetok za 7800€, ktorý je nezaradený.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C0B87"/>
    <w:rsid w:val="00861175"/>
    <w:rsid w:val="008771A6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B80974C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2022-06-28T11:50:00Z</dcterms:created>
  <dcterms:modified xsi:type="dcterms:W3CDTF">2022-06-28T11:50:00Z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