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82310A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  <w:szCs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82310A">
        <w:rPr>
          <w:b/>
          <w:bCs/>
          <w:sz w:val="20"/>
          <w:szCs w:val="20"/>
          <w:highlight w:val="lightGray"/>
        </w:rPr>
        <w:t>Všeobecné údaje</w:t>
      </w:r>
    </w:p>
    <w:p w:rsidR="006C0F8A" w:rsidRPr="0082310A" w:rsidRDefault="006C0F8A" w:rsidP="004E2926">
      <w:pPr>
        <w:ind w:left="425"/>
        <w:jc w:val="both"/>
        <w:rPr>
          <w:b/>
          <w:bCs/>
          <w:sz w:val="20"/>
          <w:szCs w:val="20"/>
        </w:rPr>
      </w:pPr>
    </w:p>
    <w:tbl>
      <w:tblPr>
        <w:tblW w:w="905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6"/>
        <w:gridCol w:w="7072"/>
      </w:tblGrid>
      <w:tr w:rsidR="00F21F19" w:rsidRPr="0082310A" w:rsidTr="007031A0">
        <w:trPr>
          <w:trHeight w:val="116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82310A" w:rsidRDefault="00F21F19" w:rsidP="005E6063">
            <w:pPr>
              <w:rPr>
                <w:sz w:val="20"/>
                <w:szCs w:val="20"/>
              </w:rPr>
            </w:pPr>
          </w:p>
          <w:p w:rsidR="00F21F19" w:rsidRPr="0082310A" w:rsidRDefault="00F21F19" w:rsidP="005E6063">
            <w:pPr>
              <w:rPr>
                <w:b/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82310A" w:rsidRDefault="00F21F19" w:rsidP="005E6063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 </w:t>
            </w:r>
            <w:r w:rsidR="00E57B69" w:rsidRPr="0082310A">
              <w:rPr>
                <w:sz w:val="20"/>
                <w:szCs w:val="20"/>
              </w:rPr>
              <w:t>FRENKO - FORTE spol. s r.o.</w:t>
            </w:r>
          </w:p>
        </w:tc>
      </w:tr>
      <w:tr w:rsidR="00F21F19" w:rsidRPr="0082310A" w:rsidTr="007031A0">
        <w:trPr>
          <w:trHeight w:val="412"/>
        </w:trPr>
        <w:tc>
          <w:tcPr>
            <w:tcW w:w="1096" w:type="pct"/>
            <w:vAlign w:val="center"/>
          </w:tcPr>
          <w:p w:rsidR="00F21F19" w:rsidRPr="0082310A" w:rsidRDefault="00F21F19" w:rsidP="005E6063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82310A" w:rsidRDefault="00E57B69" w:rsidP="005E6063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Gelnicka 14, 831 06  Bratislava</w:t>
            </w:r>
          </w:p>
        </w:tc>
      </w:tr>
      <w:tr w:rsidR="007031A0" w:rsidRPr="0082310A" w:rsidTr="007031A0">
        <w:trPr>
          <w:trHeight w:val="412"/>
        </w:trPr>
        <w:tc>
          <w:tcPr>
            <w:tcW w:w="10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31A0" w:rsidRPr="0082310A" w:rsidRDefault="007031A0" w:rsidP="0009132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Hospodárska činnosť:</w:t>
            </w:r>
          </w:p>
        </w:tc>
        <w:tc>
          <w:tcPr>
            <w:tcW w:w="39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31A0" w:rsidRPr="007031A0" w:rsidRDefault="007031A0" w:rsidP="007031A0">
            <w:pPr>
              <w:numPr>
                <w:ilvl w:val="0"/>
                <w:numId w:val="10"/>
              </w:numPr>
              <w:tabs>
                <w:tab w:val="clear" w:pos="720"/>
                <w:tab w:val="num" w:pos="318"/>
              </w:tabs>
              <w:ind w:left="318" w:hanging="284"/>
              <w:rPr>
                <w:snapToGrid w:val="0"/>
                <w:sz w:val="20"/>
                <w:szCs w:val="20"/>
              </w:rPr>
            </w:pPr>
            <w:r w:rsidRPr="007031A0">
              <w:rPr>
                <w:snapToGrid w:val="0"/>
                <w:sz w:val="20"/>
                <w:szCs w:val="20"/>
              </w:rPr>
              <w:t>kúpa tovaru za účelom jeho ďalšieho predaja a predaj všetkých druhov tovaru, ktoré nevyžadujú špeciálne licencie,</w:t>
            </w:r>
          </w:p>
          <w:p w:rsidR="007031A0" w:rsidRPr="007031A0" w:rsidRDefault="007031A0" w:rsidP="007031A0">
            <w:pPr>
              <w:numPr>
                <w:ilvl w:val="0"/>
                <w:numId w:val="10"/>
              </w:numPr>
              <w:tabs>
                <w:tab w:val="clear" w:pos="720"/>
                <w:tab w:val="num" w:pos="318"/>
              </w:tabs>
              <w:ind w:left="318" w:hanging="284"/>
              <w:rPr>
                <w:snapToGrid w:val="0"/>
                <w:sz w:val="20"/>
                <w:szCs w:val="20"/>
              </w:rPr>
            </w:pPr>
            <w:r w:rsidRPr="007031A0">
              <w:rPr>
                <w:snapToGrid w:val="0"/>
                <w:sz w:val="20"/>
                <w:szCs w:val="20"/>
              </w:rPr>
              <w:t>poskytovvanie služieb v oblasti opráv motorových vozidiel,</w:t>
            </w:r>
            <w:r>
              <w:rPr>
                <w:snapToGrid w:val="0"/>
                <w:sz w:val="20"/>
                <w:szCs w:val="20"/>
              </w:rPr>
              <w:t xml:space="preserve"> pneuservis</w:t>
            </w:r>
          </w:p>
          <w:p w:rsidR="007031A0" w:rsidRPr="0082310A" w:rsidRDefault="007031A0" w:rsidP="007031A0">
            <w:pPr>
              <w:rPr>
                <w:sz w:val="20"/>
                <w:szCs w:val="20"/>
              </w:rPr>
            </w:pPr>
          </w:p>
        </w:tc>
      </w:tr>
    </w:tbl>
    <w:p w:rsidR="007031A0" w:rsidRPr="0082310A" w:rsidRDefault="007031A0" w:rsidP="00F21F19">
      <w:pPr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82310A" w:rsidTr="005D26AA">
        <w:tblPrEx>
          <w:tblCellMar>
            <w:top w:w="0" w:type="dxa"/>
            <w:bottom w:w="0" w:type="dxa"/>
          </w:tblCellMar>
        </w:tblPrEx>
        <w:trPr>
          <w:trHeight w:val="245"/>
        </w:trPr>
        <w:tc>
          <w:tcPr>
            <w:tcW w:w="9072" w:type="dxa"/>
            <w:gridSpan w:val="4"/>
          </w:tcPr>
          <w:p w:rsidR="004E2926" w:rsidRPr="0082310A" w:rsidRDefault="004E2926" w:rsidP="00AE078E">
            <w:pPr>
              <w:jc w:val="center"/>
              <w:rPr>
                <w:b/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Údaje o konsolidovanom celku</w:t>
            </w:r>
          </w:p>
        </w:tc>
      </w:tr>
      <w:tr w:rsidR="00F355BC" w:rsidRPr="0082310A" w:rsidTr="00F355B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82310A" w:rsidRDefault="007854C2" w:rsidP="005571A2">
            <w:pPr>
              <w:rPr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ÚJ</w:t>
            </w:r>
            <w:r w:rsidR="005571A2" w:rsidRPr="0082310A">
              <w:rPr>
                <w:sz w:val="20"/>
                <w:szCs w:val="20"/>
              </w:rPr>
              <w:t xml:space="preserve">   </w:t>
            </w:r>
            <w:r w:rsidRPr="0082310A">
              <w:rPr>
                <w:b/>
                <w:sz w:val="20"/>
                <w:szCs w:val="20"/>
              </w:rPr>
              <w:t>n</w:t>
            </w:r>
            <w:r w:rsidR="00F355BC" w:rsidRPr="0082310A">
              <w:rPr>
                <w:b/>
                <w:sz w:val="20"/>
                <w:szCs w:val="20"/>
              </w:rPr>
              <w:t>ie je</w:t>
            </w:r>
            <w:r w:rsidR="00F355BC" w:rsidRPr="0082310A">
              <w:rPr>
                <w:sz w:val="20"/>
                <w:szCs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82310A" w:rsidRDefault="00F355BC" w:rsidP="005D26AA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82310A" w:rsidRDefault="007854C2" w:rsidP="007854C2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ÚJ je</w:t>
            </w:r>
            <w:r w:rsidR="00F355BC" w:rsidRPr="0082310A">
              <w:rPr>
                <w:sz w:val="20"/>
                <w:szCs w:val="20"/>
              </w:rPr>
              <w:t xml:space="preserve">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82310A" w:rsidRDefault="00F355BC" w:rsidP="005D26AA">
            <w:pPr>
              <w:ind w:left="56"/>
              <w:rPr>
                <w:sz w:val="20"/>
                <w:szCs w:val="20"/>
              </w:rPr>
            </w:pPr>
          </w:p>
        </w:tc>
      </w:tr>
      <w:tr w:rsidR="007854C2" w:rsidRPr="0082310A" w:rsidTr="007854C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82310A" w:rsidRDefault="007854C2" w:rsidP="005D26AA">
            <w:pPr>
              <w:rPr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ÚJ</w:t>
            </w:r>
            <w:r w:rsidRPr="0082310A">
              <w:rPr>
                <w:sz w:val="20"/>
                <w:szCs w:val="20"/>
              </w:rPr>
              <w:t xml:space="preserve">   </w:t>
            </w:r>
            <w:r w:rsidRPr="0082310A">
              <w:rPr>
                <w:b/>
                <w:sz w:val="20"/>
                <w:szCs w:val="20"/>
              </w:rPr>
              <w:t>nie je</w:t>
            </w:r>
            <w:r w:rsidRPr="0082310A">
              <w:rPr>
                <w:sz w:val="20"/>
                <w:szCs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82310A" w:rsidRDefault="007854C2" w:rsidP="007854C2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82310A" w:rsidRDefault="007854C2" w:rsidP="005D26AA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82310A" w:rsidRDefault="007854C2" w:rsidP="007854C2">
            <w:pPr>
              <w:ind w:left="56"/>
              <w:rPr>
                <w:sz w:val="20"/>
                <w:szCs w:val="20"/>
              </w:rPr>
            </w:pPr>
          </w:p>
        </w:tc>
      </w:tr>
    </w:tbl>
    <w:p w:rsidR="00F355BC" w:rsidRPr="0082310A" w:rsidRDefault="00F355BC" w:rsidP="00F355BC">
      <w:pPr>
        <w:rPr>
          <w:i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82310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82310A" w:rsidRDefault="004E2926" w:rsidP="005D26AA">
            <w:pPr>
              <w:tabs>
                <w:tab w:val="left" w:pos="851"/>
              </w:tabs>
              <w:jc w:val="center"/>
              <w:rPr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82310A" w:rsidRDefault="00C30102" w:rsidP="005D26AA">
            <w:pPr>
              <w:tabs>
                <w:tab w:val="left" w:pos="851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</w:tbl>
    <w:p w:rsidR="007854C2" w:rsidRPr="0082310A" w:rsidRDefault="007854C2" w:rsidP="00A72848">
      <w:pPr>
        <w:tabs>
          <w:tab w:val="left" w:pos="851"/>
        </w:tabs>
        <w:ind w:left="2870"/>
        <w:jc w:val="both"/>
        <w:rPr>
          <w:sz w:val="20"/>
          <w:szCs w:val="20"/>
        </w:rPr>
      </w:pPr>
    </w:p>
    <w:p w:rsidR="00947AC2" w:rsidRPr="0082310A" w:rsidRDefault="00947AC2" w:rsidP="00A72848">
      <w:pPr>
        <w:tabs>
          <w:tab w:val="left" w:pos="851"/>
        </w:tabs>
        <w:ind w:left="2870"/>
        <w:jc w:val="both"/>
        <w:rPr>
          <w:sz w:val="20"/>
          <w:szCs w:val="20"/>
        </w:rPr>
      </w:pPr>
    </w:p>
    <w:p w:rsidR="00931C39" w:rsidRPr="0082310A" w:rsidRDefault="00931C39" w:rsidP="00C13C94">
      <w:pPr>
        <w:jc w:val="center"/>
        <w:rPr>
          <w:b/>
          <w:sz w:val="20"/>
          <w:szCs w:val="20"/>
        </w:rPr>
      </w:pPr>
      <w:r w:rsidRPr="0082310A">
        <w:rPr>
          <w:b/>
          <w:sz w:val="20"/>
          <w:szCs w:val="20"/>
          <w:highlight w:val="lightGray"/>
        </w:rPr>
        <w:t>Informácie o prijatých postupoch</w:t>
      </w:r>
    </w:p>
    <w:p w:rsidR="00A72848" w:rsidRPr="0082310A" w:rsidRDefault="00A72848" w:rsidP="00931C39">
      <w:pPr>
        <w:ind w:left="1121"/>
        <w:jc w:val="both"/>
        <w:rPr>
          <w:b/>
          <w:sz w:val="20"/>
          <w:szCs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82310A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82310A" w:rsidRDefault="007854C2" w:rsidP="00E13CC7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368" w:type="dxa"/>
            <w:vAlign w:val="center"/>
          </w:tcPr>
          <w:p w:rsidR="007854C2" w:rsidRPr="0082310A" w:rsidRDefault="007854C2" w:rsidP="005D26AA">
            <w:pPr>
              <w:rPr>
                <w:b/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709" w:type="dxa"/>
            <w:vAlign w:val="center"/>
          </w:tcPr>
          <w:p w:rsidR="007854C2" w:rsidRPr="0082310A" w:rsidRDefault="007854C2" w:rsidP="005D26AA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82310A" w:rsidRDefault="007854C2" w:rsidP="004E2926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82310A" w:rsidRDefault="007854C2" w:rsidP="005571A2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82310A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7854C2" w:rsidRPr="0082310A" w:rsidRDefault="007854C2" w:rsidP="007854C2">
      <w:pPr>
        <w:ind w:left="709"/>
        <w:jc w:val="both"/>
        <w:rPr>
          <w:sz w:val="20"/>
          <w:szCs w:val="20"/>
        </w:rPr>
      </w:pPr>
    </w:p>
    <w:p w:rsidR="006F74F4" w:rsidRPr="0082310A" w:rsidRDefault="00A72848" w:rsidP="00E13CC7">
      <w:pPr>
        <w:pStyle w:val="Odsekzoznamu"/>
        <w:keepNext/>
        <w:numPr>
          <w:ilvl w:val="0"/>
          <w:numId w:val="2"/>
        </w:numPr>
        <w:ind w:left="357" w:hanging="357"/>
        <w:contextualSpacing/>
        <w:jc w:val="both"/>
        <w:outlineLvl w:val="1"/>
        <w:rPr>
          <w:b/>
          <w:sz w:val="20"/>
          <w:szCs w:val="20"/>
        </w:rPr>
      </w:pPr>
      <w:r w:rsidRPr="0082310A">
        <w:rPr>
          <w:b/>
          <w:sz w:val="20"/>
          <w:szCs w:val="20"/>
        </w:rPr>
        <w:t>Spôsob oceňovania</w:t>
      </w:r>
      <w:r w:rsidR="003213EC" w:rsidRPr="0082310A">
        <w:rPr>
          <w:b/>
          <w:sz w:val="20"/>
          <w:szCs w:val="20"/>
        </w:rPr>
        <w:t xml:space="preserve"> jednotlivých </w:t>
      </w:r>
      <w:r w:rsidRPr="0082310A">
        <w:rPr>
          <w:b/>
          <w:sz w:val="20"/>
          <w:szCs w:val="20"/>
        </w:rPr>
        <w:t>položiek majetku a</w:t>
      </w:r>
      <w:r w:rsidR="00C51B12" w:rsidRPr="0082310A">
        <w:rPr>
          <w:b/>
          <w:sz w:val="20"/>
          <w:szCs w:val="20"/>
        </w:rPr>
        <w:t> </w:t>
      </w:r>
      <w:r w:rsidRPr="0082310A">
        <w:rPr>
          <w:b/>
          <w:sz w:val="20"/>
          <w:szCs w:val="20"/>
        </w:rPr>
        <w:t xml:space="preserve">záväzkov </w:t>
      </w:r>
    </w:p>
    <w:p w:rsidR="00F62946" w:rsidRPr="0082310A" w:rsidRDefault="00F62946" w:rsidP="00F62946">
      <w:pPr>
        <w:rPr>
          <w:b/>
          <w:sz w:val="20"/>
          <w:szCs w:val="20"/>
        </w:rPr>
      </w:pPr>
    </w:p>
    <w:p w:rsidR="00F62946" w:rsidRPr="0082310A" w:rsidRDefault="00F62946" w:rsidP="00F62946">
      <w:pPr>
        <w:rPr>
          <w:sz w:val="20"/>
          <w:szCs w:val="20"/>
        </w:rPr>
      </w:pPr>
      <w:r w:rsidRPr="0082310A">
        <w:rPr>
          <w:sz w:val="20"/>
          <w:szCs w:val="20"/>
        </w:rPr>
        <w:t>Pri obstaraní majetku sa uplatňuje princíp obstarávacích cien (t. j. historických cien). Ocenenie jednotlivých položiek majetku a záväzkov je takéto: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Dlhodobý hmotný a nehmotný majetok obstaraný kúpou – obstarávacou cenou. Obstarávacia cena je cena, za ktorú sa majetok obstaral, a náklady súvisiace s jeho obstaraním (prepravné a clo).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Dlhodobý nehmotný a hmotný majetok obstaraný iným spôsobom – realnou hodnotou v prípade bezodplatného nadobudnutia majetku alebo majetku novo zisteného pri inventarizácii, t. j. cenou, za ktorú by sa majetok obstaral v čase, keď sa o ňom účtuje.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Zásoby obstarané kúpou:</w:t>
      </w:r>
    </w:p>
    <w:p w:rsidR="00F62946" w:rsidRPr="0082310A" w:rsidRDefault="00F62946" w:rsidP="00E13CC7">
      <w:pPr>
        <w:numPr>
          <w:ilvl w:val="0"/>
          <w:numId w:val="4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 xml:space="preserve">Nakupovaný materiál – obstarávacou cenou. Pri úbytku rovnakého druhu zásob sa používa metóda </w:t>
      </w:r>
      <w:r w:rsidRPr="0082310A">
        <w:rPr>
          <w:sz w:val="20"/>
          <w:szCs w:val="20"/>
        </w:rPr>
        <w:t>FIFO</w:t>
      </w:r>
      <w:r w:rsidRPr="0082310A">
        <w:rPr>
          <w:snapToGrid w:val="0"/>
          <w:sz w:val="20"/>
          <w:szCs w:val="20"/>
        </w:rPr>
        <w:t xml:space="preserve">. </w:t>
      </w:r>
    </w:p>
    <w:p w:rsidR="00F62946" w:rsidRPr="00196E9D" w:rsidRDefault="00F62946" w:rsidP="00F62946">
      <w:pPr>
        <w:numPr>
          <w:ilvl w:val="0"/>
          <w:numId w:val="4"/>
        </w:numPr>
        <w:jc w:val="both"/>
        <w:rPr>
          <w:sz w:val="20"/>
          <w:szCs w:val="20"/>
        </w:rPr>
      </w:pPr>
      <w:r w:rsidRPr="00196E9D">
        <w:rPr>
          <w:snapToGrid w:val="0"/>
          <w:sz w:val="20"/>
          <w:szCs w:val="20"/>
        </w:rPr>
        <w:t xml:space="preserve">Nakupovaný tovar – obstarávacou cenou. Pri úbytku rovnakého druhu zásob sa používa metóda </w:t>
      </w:r>
      <w:r w:rsidRPr="00196E9D">
        <w:rPr>
          <w:sz w:val="20"/>
          <w:szCs w:val="20"/>
        </w:rPr>
        <w:t>FIFO</w:t>
      </w:r>
      <w:r w:rsidRPr="00196E9D">
        <w:rPr>
          <w:snapToGrid w:val="0"/>
          <w:sz w:val="20"/>
          <w:szCs w:val="20"/>
        </w:rPr>
        <w:t xml:space="preserve">. </w:t>
      </w: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Zásoby obstarané iným spôsobom – reálnou hodnotou v prípade bezodplatného nadobudnutia zásob alebo zásob novo zistených pri inventarizácii, t. j. cenou, za ktorú by sa majetok obstaral v čase, keď sa o ňom účtuje.</w:t>
      </w:r>
    </w:p>
    <w:p w:rsidR="00F62946" w:rsidRPr="0082310A" w:rsidRDefault="00F62946" w:rsidP="00F62946">
      <w:pPr>
        <w:ind w:left="539"/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Pohľadávky:</w:t>
      </w:r>
    </w:p>
    <w:p w:rsidR="00F62946" w:rsidRPr="0082310A" w:rsidRDefault="00F62946" w:rsidP="00E13CC7">
      <w:pPr>
        <w:numPr>
          <w:ilvl w:val="0"/>
          <w:numId w:val="5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pri ich vzniku alebo bezodplatnom nadobudnutí – menovitou hodnotou,</w:t>
      </w:r>
    </w:p>
    <w:p w:rsidR="00F62946" w:rsidRPr="0082310A" w:rsidRDefault="00F62946" w:rsidP="00E13CC7">
      <w:pPr>
        <w:numPr>
          <w:ilvl w:val="0"/>
          <w:numId w:val="5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pri odplatnom nadobudnutí (postúpení) alebo nadobudnutí vkladom do základného imania – obstarávacou cenou.</w:t>
      </w:r>
    </w:p>
    <w:p w:rsidR="00F62946" w:rsidRPr="0082310A" w:rsidRDefault="00F62946" w:rsidP="00F62946">
      <w:pPr>
        <w:ind w:left="539"/>
        <w:rPr>
          <w:sz w:val="20"/>
          <w:szCs w:val="20"/>
        </w:rPr>
      </w:pPr>
    </w:p>
    <w:p w:rsidR="00F62946" w:rsidRPr="0082310A" w:rsidRDefault="00F62946" w:rsidP="00F62946">
      <w:pPr>
        <w:ind w:left="539"/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Krátkodobý finančný majetok – obstarávacou cenou. Obstarávacia cena je cena, za ktorú sa majetok obstaral, a náklady súvisiace s jeho obstaraním (poplatky a provízie maklérom, poradcom, burzám).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Záväzky:</w:t>
      </w:r>
    </w:p>
    <w:p w:rsidR="00F62946" w:rsidRPr="0082310A" w:rsidRDefault="00F62946" w:rsidP="00E13CC7">
      <w:pPr>
        <w:numPr>
          <w:ilvl w:val="0"/>
          <w:numId w:val="6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pri ich vzniku – menovitou hodnotou,</w:t>
      </w:r>
    </w:p>
    <w:p w:rsidR="00F62946" w:rsidRPr="0082310A" w:rsidRDefault="00F62946" w:rsidP="00E13CC7">
      <w:pPr>
        <w:numPr>
          <w:ilvl w:val="0"/>
          <w:numId w:val="6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pri prevzatí – obstarávacou cenou.</w:t>
      </w:r>
    </w:p>
    <w:p w:rsidR="00F62946" w:rsidRPr="0082310A" w:rsidRDefault="00F62946" w:rsidP="00F62946">
      <w:pPr>
        <w:rPr>
          <w:snapToGrid w:val="0"/>
          <w:sz w:val="20"/>
          <w:szCs w:val="20"/>
        </w:rPr>
      </w:pPr>
    </w:p>
    <w:p w:rsidR="00F62946" w:rsidRPr="0082310A" w:rsidRDefault="00F62946" w:rsidP="00F62946">
      <w:pPr>
        <w:ind w:left="539"/>
        <w:rPr>
          <w:sz w:val="20"/>
          <w:szCs w:val="20"/>
        </w:rPr>
      </w:pP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 xml:space="preserve">Daň z príjmov splatná – podľa slovenského zákona o dani z príjmov sa splatné dane z príjmov určujú z účtovného zisku pred zdanením pri sadzbe </w:t>
      </w:r>
      <w:r w:rsidR="00C30102">
        <w:rPr>
          <w:sz w:val="20"/>
          <w:szCs w:val="20"/>
        </w:rPr>
        <w:t>21</w:t>
      </w:r>
      <w:r w:rsidRPr="0082310A">
        <w:rPr>
          <w:sz w:val="20"/>
          <w:szCs w:val="20"/>
        </w:rPr>
        <w:t>% po úpravách o niektoré položky na daňové účely.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947AC2" w:rsidRPr="0082310A" w:rsidRDefault="00947AC2" w:rsidP="00AC7913">
      <w:pPr>
        <w:jc w:val="both"/>
        <w:rPr>
          <w:sz w:val="20"/>
          <w:szCs w:val="20"/>
        </w:rPr>
      </w:pPr>
    </w:p>
    <w:p w:rsidR="00F62946" w:rsidRPr="0082310A" w:rsidRDefault="00F62946" w:rsidP="00F62946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  <w:r w:rsidRPr="0082310A">
        <w:rPr>
          <w:sz w:val="20"/>
          <w:szCs w:val="20"/>
        </w:rPr>
        <w:t>(3) Spôsob ocenenia jednotlivých zložiek majetku a záväzkov – nasledujúce ocenenie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8"/>
        </w:numPr>
        <w:jc w:val="both"/>
        <w:rPr>
          <w:sz w:val="20"/>
          <w:szCs w:val="20"/>
        </w:rPr>
      </w:pPr>
      <w:bookmarkStart w:id="0" w:name="_Ref150575467"/>
      <w:r w:rsidRPr="0082310A">
        <w:rPr>
          <w:sz w:val="20"/>
          <w:szCs w:val="20"/>
        </w:rPr>
        <w:t>Predpokladané riziká, straty a zníženia hodnoty, ktoré sa týkajú majetku a záväzkov, sa vyjadrujú prostredníctvom rezerv, opravných položiek a odpisov.</w:t>
      </w:r>
      <w:bookmarkEnd w:id="0"/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7"/>
        </w:numPr>
        <w:tabs>
          <w:tab w:val="clear" w:pos="539"/>
          <w:tab w:val="num" w:pos="900"/>
        </w:tabs>
        <w:ind w:left="900" w:hanging="360"/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  <w:u w:val="single"/>
        </w:rPr>
        <w:t xml:space="preserve">Plán odpisov </w:t>
      </w:r>
    </w:p>
    <w:p w:rsidR="00F62946" w:rsidRPr="0082310A" w:rsidRDefault="00F62946" w:rsidP="00F62946">
      <w:pPr>
        <w:ind w:left="900"/>
        <w:rPr>
          <w:snapToGrid w:val="0"/>
          <w:sz w:val="20"/>
          <w:szCs w:val="20"/>
        </w:rPr>
      </w:pPr>
    </w:p>
    <w:p w:rsidR="00F62946" w:rsidRPr="0082310A" w:rsidRDefault="00F62946" w:rsidP="00F62946">
      <w:pPr>
        <w:ind w:left="900"/>
        <w:rPr>
          <w:sz w:val="20"/>
          <w:szCs w:val="20"/>
        </w:rPr>
      </w:pPr>
      <w:r w:rsidRPr="0082310A">
        <w:rPr>
          <w:sz w:val="20"/>
          <w:szCs w:val="20"/>
        </w:rPr>
        <w:t xml:space="preserve">Dlhodobý hmotný a nehmotný majetok sa odpisuje podľa plánu odpisov, ktorý bol stanovený vzhľadom na odhad jeho reálnej ekonomickej životnosti. Majetok sa odpisuje počas predpokladanej doby používania zodpovedajúcej spotrebe budúcich ekonomických úžitkov z majetku. Účtovné odpisy sú rovnomerné. Majetok sa začína odpisovať v mesiaci nasledujúcom po mesiaci zaradenia do používania. 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F62946">
      <w:pPr>
        <w:ind w:left="900"/>
        <w:rPr>
          <w:sz w:val="20"/>
          <w:szCs w:val="20"/>
        </w:rPr>
      </w:pPr>
      <w:r w:rsidRPr="0082310A">
        <w:rPr>
          <w:sz w:val="20"/>
          <w:szCs w:val="20"/>
        </w:rPr>
        <w:t>Priemerné životnosti podľa plánu odpisov sú:</w:t>
      </w:r>
    </w:p>
    <w:p w:rsidR="00F62946" w:rsidRPr="0082310A" w:rsidRDefault="00F62946" w:rsidP="00F62946">
      <w:pPr>
        <w:ind w:left="539"/>
        <w:rPr>
          <w:b/>
          <w:snapToGrid w:val="0"/>
          <w:sz w:val="20"/>
          <w:szCs w:val="20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487"/>
        <w:gridCol w:w="1276"/>
        <w:gridCol w:w="2409"/>
      </w:tblGrid>
      <w:tr w:rsidR="00F62946" w:rsidRPr="0082310A" w:rsidTr="00E13CC7">
        <w:tc>
          <w:tcPr>
            <w:tcW w:w="4487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rPr>
                <w:b/>
                <w:i/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Druh majetku</w:t>
            </w:r>
          </w:p>
        </w:tc>
        <w:tc>
          <w:tcPr>
            <w:tcW w:w="1276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b/>
                <w:i/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Životnosť</w:t>
            </w:r>
          </w:p>
        </w:tc>
        <w:tc>
          <w:tcPr>
            <w:tcW w:w="2409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b/>
                <w:i/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Ročná sadzba odpisov</w:t>
            </w:r>
          </w:p>
        </w:tc>
      </w:tr>
      <w:tr w:rsidR="00F62946" w:rsidRPr="0082310A" w:rsidTr="00E13CC7">
        <w:tc>
          <w:tcPr>
            <w:tcW w:w="4487" w:type="dxa"/>
            <w:tcBorders>
              <w:top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rPr>
                <w:b/>
                <w:snapToGrid w:val="0"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Budovy a stavby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40 rokov</w:t>
            </w:r>
          </w:p>
        </w:tc>
        <w:tc>
          <w:tcPr>
            <w:tcW w:w="2409" w:type="dxa"/>
            <w:tcBorders>
              <w:top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2,5%</w:t>
            </w: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tabs>
                <w:tab w:val="left" w:pos="1920"/>
              </w:tabs>
              <w:rPr>
                <w:b/>
                <w:snapToGrid w:val="0"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Stroje, prístroje a zariadenia</w:t>
            </w: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4 roky</w:t>
            </w: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25%</w:t>
            </w: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rPr>
                <w:b/>
                <w:snapToGrid w:val="0"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Dopravné prostriedky</w:t>
            </w: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4 roky</w:t>
            </w: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25%</w:t>
            </w: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rPr>
                <w:b/>
                <w:snapToGrid w:val="0"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Inventár</w:t>
            </w: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6 rokov</w:t>
            </w: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16,67%</w:t>
            </w: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Drobný dlhodobý hmotný majetok do 1700 EUR</w:t>
            </w: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neodpisuje</w:t>
            </w: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neodpisuje</w:t>
            </w:r>
          </w:p>
        </w:tc>
      </w:tr>
      <w:tr w:rsidR="00F62946" w:rsidRPr="0082310A" w:rsidTr="00E13CC7">
        <w:tc>
          <w:tcPr>
            <w:tcW w:w="4487" w:type="dxa"/>
            <w:tcBorders>
              <w:bottom w:val="single" w:sz="8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Softvér, oceniteľné práva (licencie)</w:t>
            </w:r>
          </w:p>
        </w:tc>
        <w:tc>
          <w:tcPr>
            <w:tcW w:w="1276" w:type="dxa"/>
            <w:tcBorders>
              <w:bottom w:val="single" w:sz="8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5 rokov</w:t>
            </w:r>
          </w:p>
        </w:tc>
        <w:tc>
          <w:tcPr>
            <w:tcW w:w="2409" w:type="dxa"/>
            <w:tcBorders>
              <w:bottom w:val="single" w:sz="8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20%</w:t>
            </w:r>
          </w:p>
        </w:tc>
      </w:tr>
    </w:tbl>
    <w:p w:rsidR="00F62946" w:rsidRPr="0082310A" w:rsidRDefault="00F62946" w:rsidP="00F62946">
      <w:pPr>
        <w:ind w:left="900"/>
        <w:rPr>
          <w:snapToGrid w:val="0"/>
          <w:sz w:val="20"/>
          <w:szCs w:val="20"/>
        </w:rPr>
      </w:pPr>
    </w:p>
    <w:p w:rsidR="00F62946" w:rsidRPr="0082310A" w:rsidRDefault="00F62946" w:rsidP="00F62946">
      <w:pPr>
        <w:ind w:left="900"/>
        <w:rPr>
          <w:sz w:val="20"/>
          <w:szCs w:val="20"/>
        </w:rPr>
      </w:pPr>
      <w:r w:rsidRPr="0082310A">
        <w:rPr>
          <w:snapToGrid w:val="0"/>
          <w:sz w:val="20"/>
          <w:szCs w:val="20"/>
        </w:rPr>
        <w:t>Daňové odpisy sa uplatňujú podľa sadzieb uvedených v zákone o dani z príjmov platných pre rovnomerné</w:t>
      </w:r>
      <w:r w:rsidRPr="0082310A">
        <w:rPr>
          <w:sz w:val="20"/>
          <w:szCs w:val="20"/>
        </w:rPr>
        <w:t xml:space="preserve"> odpisovanie. Drobný dlhodobý hmotný majetok do 1700 EUR sa odpisuje jednorázovo do spotreby.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D334E" w:rsidRPr="0082310A" w:rsidRDefault="00FD334E" w:rsidP="00FD334E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  <w:bookmarkStart w:id="1" w:name="_Ref150575427"/>
      <w:r w:rsidRPr="0082310A">
        <w:rPr>
          <w:rFonts w:cs="Times New Roman"/>
          <w:sz w:val="20"/>
          <w:szCs w:val="20"/>
        </w:rPr>
        <w:t xml:space="preserve">(4) </w:t>
      </w:r>
      <w:r w:rsidR="0082310A" w:rsidRPr="0082310A">
        <w:rPr>
          <w:rFonts w:cs="Times New Roman"/>
          <w:sz w:val="20"/>
          <w:szCs w:val="20"/>
        </w:rPr>
        <w:t xml:space="preserve">Použité účtovné zásady </w:t>
      </w:r>
      <w:r w:rsidR="00196E9D">
        <w:rPr>
          <w:rFonts w:cs="Times New Roman"/>
          <w:sz w:val="20"/>
          <w:szCs w:val="20"/>
        </w:rPr>
        <w:t>a</w:t>
      </w:r>
      <w:r w:rsidR="0082310A" w:rsidRPr="0082310A">
        <w:rPr>
          <w:rFonts w:cs="Times New Roman"/>
          <w:sz w:val="20"/>
          <w:szCs w:val="20"/>
        </w:rPr>
        <w:t xml:space="preserve"> účtovné metódy</w:t>
      </w:r>
    </w:p>
    <w:bookmarkEnd w:id="1"/>
    <w:p w:rsidR="00FD334E" w:rsidRPr="0082310A" w:rsidRDefault="00FD334E" w:rsidP="00FD334E">
      <w:pPr>
        <w:rPr>
          <w:sz w:val="20"/>
          <w:szCs w:val="20"/>
        </w:rPr>
      </w:pPr>
    </w:p>
    <w:p w:rsidR="00FD334E" w:rsidRPr="0082310A" w:rsidRDefault="00FD334E" w:rsidP="00E13CC7">
      <w:pPr>
        <w:numPr>
          <w:ilvl w:val="0"/>
          <w:numId w:val="9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:rsidR="00FD334E" w:rsidRPr="0082310A" w:rsidRDefault="00FD334E" w:rsidP="00FD334E">
      <w:pPr>
        <w:tabs>
          <w:tab w:val="num" w:pos="540"/>
        </w:tabs>
        <w:ind w:left="540" w:hanging="540"/>
        <w:rPr>
          <w:sz w:val="20"/>
          <w:szCs w:val="20"/>
        </w:rPr>
      </w:pPr>
    </w:p>
    <w:p w:rsidR="00FD334E" w:rsidRPr="0082310A" w:rsidRDefault="00FD334E" w:rsidP="00E13CC7">
      <w:pPr>
        <w:numPr>
          <w:ilvl w:val="0"/>
          <w:numId w:val="9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FD334E" w:rsidRPr="0082310A" w:rsidRDefault="00FD334E" w:rsidP="00FD334E">
      <w:pPr>
        <w:tabs>
          <w:tab w:val="num" w:pos="540"/>
        </w:tabs>
        <w:ind w:left="540" w:hanging="540"/>
        <w:rPr>
          <w:sz w:val="20"/>
          <w:szCs w:val="20"/>
        </w:rPr>
      </w:pPr>
    </w:p>
    <w:p w:rsidR="00872349" w:rsidRDefault="00FD334E" w:rsidP="00E13CC7">
      <w:pPr>
        <w:numPr>
          <w:ilvl w:val="0"/>
          <w:numId w:val="9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0524A8" w:rsidRDefault="000524A8" w:rsidP="000524A8">
      <w:pPr>
        <w:ind w:left="539"/>
        <w:jc w:val="both"/>
        <w:rPr>
          <w:sz w:val="20"/>
          <w:szCs w:val="20"/>
        </w:rPr>
      </w:pPr>
    </w:p>
    <w:p w:rsidR="000524A8" w:rsidRPr="000524A8" w:rsidRDefault="000524A8" w:rsidP="000524A8">
      <w:pPr>
        <w:numPr>
          <w:ilvl w:val="0"/>
          <w:numId w:val="9"/>
        </w:numPr>
        <w:rPr>
          <w:sz w:val="20"/>
          <w:szCs w:val="20"/>
        </w:rPr>
      </w:pPr>
      <w:r w:rsidRPr="000524A8">
        <w:rPr>
          <w:sz w:val="20"/>
          <w:szCs w:val="20"/>
        </w:rPr>
        <w:t>V prvých mesiacoch roku 2020 sa vírus COVID-19  rozšíril do celého sveta a negatívne ovplyvnil mnoho krajín. Aj keď v čase zverejnenia tejto účtovnej závierky sa situácia neustále mení, zdá sa, že negatívny vplyv na svetový obchod, na firmy aj na jednotlivcov môže byť vážnejší, ako sa pôvodne očakávalo.  V čase zverejnenia tejto účtovnej závierky vedenie účtovnej jednotky nezaznamenalo významný pokles predaja</w:t>
      </w:r>
      <w:r>
        <w:rPr>
          <w:sz w:val="20"/>
          <w:szCs w:val="20"/>
        </w:rPr>
        <w:t xml:space="preserve"> a dopytu na poskytované služby</w:t>
      </w:r>
      <w:r w:rsidRPr="000524A8">
        <w:rPr>
          <w:sz w:val="20"/>
          <w:szCs w:val="20"/>
        </w:rPr>
        <w:t>. Manažment bude pokračovať v monitorovaní potenciálneho dopadu a podnikne všetky možné kroky na zmiernenie akýchkoľvek negatívnych účinkov na spoločnosť a jej zamestnancov. Akýkoľvek negatívny vplyv resp. straty zahrnie účtovná jednotka do účtovníctva a účtovnej závierky v roku 2022.</w:t>
      </w:r>
    </w:p>
    <w:p w:rsidR="000524A8" w:rsidRPr="000524A8" w:rsidRDefault="000524A8" w:rsidP="000524A8">
      <w:pPr>
        <w:ind w:left="539"/>
        <w:jc w:val="both"/>
        <w:rPr>
          <w:sz w:val="20"/>
          <w:szCs w:val="20"/>
        </w:rPr>
      </w:pPr>
    </w:p>
    <w:p w:rsidR="007031A0" w:rsidRDefault="007031A0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</w:p>
    <w:p w:rsidR="007031A0" w:rsidRDefault="007031A0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</w:p>
    <w:p w:rsidR="007031A0" w:rsidRDefault="007031A0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</w:p>
    <w:p w:rsidR="007031A0" w:rsidRDefault="007031A0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</w:p>
    <w:p w:rsidR="007031A0" w:rsidRDefault="007031A0" w:rsidP="007031A0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</w:p>
    <w:p w:rsidR="00C92F19" w:rsidRPr="007031A0" w:rsidRDefault="00C92F19" w:rsidP="007031A0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  <w:r w:rsidRPr="0082310A">
        <w:rPr>
          <w:rFonts w:cs="Times New Roman"/>
          <w:sz w:val="20"/>
          <w:szCs w:val="20"/>
        </w:rPr>
        <w:t>(</w:t>
      </w:r>
      <w:r w:rsidR="0082310A" w:rsidRPr="0082310A">
        <w:rPr>
          <w:rFonts w:cs="Times New Roman"/>
          <w:sz w:val="20"/>
          <w:szCs w:val="20"/>
        </w:rPr>
        <w:t>5</w:t>
      </w:r>
      <w:r w:rsidRPr="0082310A">
        <w:rPr>
          <w:rFonts w:cs="Times New Roman"/>
          <w:sz w:val="20"/>
          <w:szCs w:val="20"/>
        </w:rPr>
        <w:t>)  Informácie, ktoré vysvetľujú a dopĺňajú súvahu a výkaz ziskov a strát</w:t>
      </w:r>
    </w:p>
    <w:p w:rsidR="007031A0" w:rsidRDefault="007031A0" w:rsidP="00C92F19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</w:p>
    <w:p w:rsidR="00C92F19" w:rsidRPr="0082310A" w:rsidRDefault="00C92F19" w:rsidP="00C92F19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  <w:r w:rsidRPr="0082310A">
        <w:rPr>
          <w:sz w:val="20"/>
          <w:szCs w:val="20"/>
        </w:rPr>
        <w:t xml:space="preserve">Záväzky </w:t>
      </w:r>
    </w:p>
    <w:p w:rsidR="00C92F19" w:rsidRPr="0082310A" w:rsidRDefault="00C92F19" w:rsidP="00FD334E">
      <w:pPr>
        <w:pStyle w:val="Nadpis3"/>
        <w:numPr>
          <w:ilvl w:val="2"/>
          <w:numId w:val="0"/>
        </w:numPr>
        <w:tabs>
          <w:tab w:val="num" w:pos="539"/>
        </w:tabs>
        <w:ind w:left="539" w:hanging="539"/>
        <w:rPr>
          <w:sz w:val="20"/>
          <w:szCs w:val="20"/>
        </w:rPr>
      </w:pPr>
    </w:p>
    <w:p w:rsidR="00FD334E" w:rsidRPr="0082310A" w:rsidRDefault="00FD334E" w:rsidP="00FD334E">
      <w:pPr>
        <w:pStyle w:val="Nadpis3"/>
        <w:numPr>
          <w:ilvl w:val="2"/>
          <w:numId w:val="0"/>
        </w:numPr>
        <w:tabs>
          <w:tab w:val="num" w:pos="539"/>
        </w:tabs>
        <w:ind w:left="539" w:hanging="539"/>
        <w:rPr>
          <w:sz w:val="20"/>
          <w:szCs w:val="20"/>
        </w:rPr>
      </w:pPr>
      <w:r w:rsidRPr="0082310A">
        <w:rPr>
          <w:sz w:val="20"/>
          <w:szCs w:val="20"/>
        </w:rPr>
        <w:t>Výška záväzkov so zostatkovou dobou splatnosti dlhšou ako 1 rokdo lehoty a po lehote splatnosti vrátane skupiny a záväzky podľa zostatkovej doby splatnosti</w:t>
      </w:r>
    </w:p>
    <w:p w:rsidR="00FD334E" w:rsidRPr="0082310A" w:rsidRDefault="00FD334E" w:rsidP="00FD334E">
      <w:pPr>
        <w:rPr>
          <w:snapToGrid w:val="0"/>
          <w:sz w:val="20"/>
          <w:szCs w:val="20"/>
          <w:u w:val="single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6014"/>
        <w:gridCol w:w="842"/>
        <w:gridCol w:w="1376"/>
        <w:gridCol w:w="1376"/>
      </w:tblGrid>
      <w:tr w:rsidR="00FD334E" w:rsidRPr="0082310A" w:rsidTr="00E13CC7">
        <w:tc>
          <w:tcPr>
            <w:tcW w:w="3130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D334E" w:rsidRPr="0082310A" w:rsidRDefault="00FD334E" w:rsidP="00E13CC7">
            <w:pPr>
              <w:rPr>
                <w:b/>
                <w:bCs/>
                <w:i/>
                <w:iCs/>
                <w:sz w:val="20"/>
                <w:szCs w:val="20"/>
              </w:rPr>
            </w:pPr>
            <w:bookmarkStart w:id="2" w:name="RANGE!B9:E18"/>
            <w:r w:rsidRPr="0082310A">
              <w:rPr>
                <w:b/>
                <w:bCs/>
                <w:i/>
                <w:iCs/>
                <w:sz w:val="20"/>
                <w:szCs w:val="20"/>
              </w:rPr>
              <w:t>Položka</w:t>
            </w:r>
            <w:bookmarkEnd w:id="2"/>
          </w:p>
        </w:tc>
        <w:tc>
          <w:tcPr>
            <w:tcW w:w="438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</w:tcPr>
          <w:p w:rsidR="00FD334E" w:rsidRPr="0082310A" w:rsidRDefault="00FD334E" w:rsidP="00E13CC7">
            <w:pPr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hideMark/>
          </w:tcPr>
          <w:p w:rsidR="00FD334E" w:rsidRPr="0082310A" w:rsidRDefault="00FD334E" w:rsidP="00C30102">
            <w:pPr>
              <w:jc w:val="center"/>
              <w:rPr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31. 12. 20</w:t>
            </w:r>
            <w:r w:rsidR="00196E9D">
              <w:rPr>
                <w:b/>
                <w:i/>
                <w:sz w:val="20"/>
                <w:szCs w:val="20"/>
              </w:rPr>
              <w:t>2</w:t>
            </w:r>
            <w:r w:rsidR="00C30102">
              <w:rPr>
                <w:b/>
                <w:i/>
                <w:sz w:val="20"/>
                <w:szCs w:val="20"/>
              </w:rPr>
              <w:t>1</w:t>
            </w: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hideMark/>
          </w:tcPr>
          <w:p w:rsidR="00FD334E" w:rsidRPr="0082310A" w:rsidRDefault="00FD334E" w:rsidP="00C30102">
            <w:pPr>
              <w:jc w:val="center"/>
              <w:rPr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31. 12. 20</w:t>
            </w:r>
            <w:r w:rsidR="00C30102">
              <w:rPr>
                <w:b/>
                <w:i/>
                <w:sz w:val="20"/>
                <w:szCs w:val="20"/>
              </w:rPr>
              <w:t>20</w:t>
            </w:r>
          </w:p>
        </w:tc>
      </w:tr>
      <w:tr w:rsidR="00FD334E" w:rsidRPr="0082310A" w:rsidTr="00E13CC7">
        <w:tc>
          <w:tcPr>
            <w:tcW w:w="3130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D334E" w:rsidRPr="0082310A" w:rsidRDefault="00FD334E" w:rsidP="00E13CC7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82310A">
              <w:rPr>
                <w:b/>
                <w:bCs/>
                <w:i/>
                <w:iCs/>
                <w:sz w:val="20"/>
                <w:szCs w:val="20"/>
              </w:rPr>
              <w:t>Dlhodobé záväzky: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FD334E" w:rsidRPr="0082310A" w:rsidRDefault="00FD334E" w:rsidP="00E13CC7">
            <w:pPr>
              <w:jc w:val="center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:rsidR="00FD334E" w:rsidRPr="0082310A" w:rsidRDefault="00FD334E" w:rsidP="00E13CC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:rsidR="00FD334E" w:rsidRPr="0082310A" w:rsidRDefault="00FD334E" w:rsidP="00E13CC7">
            <w:pPr>
              <w:jc w:val="right"/>
              <w:rPr>
                <w:sz w:val="20"/>
                <w:szCs w:val="20"/>
              </w:rPr>
            </w:pPr>
          </w:p>
        </w:tc>
      </w:tr>
      <w:tr w:rsidR="00FD334E" w:rsidRPr="0082310A" w:rsidTr="00E13CC7">
        <w:tc>
          <w:tcPr>
            <w:tcW w:w="3130" w:type="pct"/>
            <w:vAlign w:val="center"/>
            <w:hideMark/>
          </w:tcPr>
          <w:p w:rsidR="00FD334E" w:rsidRPr="0082310A" w:rsidRDefault="00FD334E" w:rsidP="00E13CC7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438" w:type="pct"/>
            <w:vAlign w:val="center"/>
          </w:tcPr>
          <w:p w:rsidR="00FD334E" w:rsidRPr="0082310A" w:rsidRDefault="00FD334E" w:rsidP="00E13CC7">
            <w:pPr>
              <w:jc w:val="center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716" w:type="pct"/>
            <w:vAlign w:val="bottom"/>
            <w:hideMark/>
          </w:tcPr>
          <w:p w:rsidR="00FD334E" w:rsidRPr="0082310A" w:rsidRDefault="00C30102" w:rsidP="00E13CC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3356</w:t>
            </w:r>
          </w:p>
        </w:tc>
        <w:tc>
          <w:tcPr>
            <w:tcW w:w="716" w:type="pct"/>
            <w:vAlign w:val="bottom"/>
            <w:hideMark/>
          </w:tcPr>
          <w:p w:rsidR="00FD334E" w:rsidRPr="0082310A" w:rsidRDefault="00C30102" w:rsidP="00E13CC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6097</w:t>
            </w:r>
          </w:p>
        </w:tc>
      </w:tr>
      <w:tr w:rsidR="00FD334E" w:rsidRPr="0082310A" w:rsidTr="00E13CC7">
        <w:tc>
          <w:tcPr>
            <w:tcW w:w="3130" w:type="pct"/>
            <w:vAlign w:val="center"/>
            <w:hideMark/>
          </w:tcPr>
          <w:p w:rsidR="00FD334E" w:rsidRPr="0082310A" w:rsidRDefault="00FD334E" w:rsidP="00E13CC7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438" w:type="pct"/>
            <w:vAlign w:val="center"/>
          </w:tcPr>
          <w:p w:rsidR="00FD334E" w:rsidRPr="0082310A" w:rsidRDefault="00FD334E" w:rsidP="00E13CC7">
            <w:pPr>
              <w:jc w:val="center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FD334E" w:rsidRPr="0082310A" w:rsidRDefault="00FD334E" w:rsidP="00E13CC7">
            <w:pPr>
              <w:jc w:val="right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-</w:t>
            </w: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FD334E" w:rsidRPr="0082310A" w:rsidRDefault="00FD334E" w:rsidP="00E13CC7">
            <w:pPr>
              <w:jc w:val="right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-</w:t>
            </w:r>
          </w:p>
        </w:tc>
      </w:tr>
      <w:tr w:rsidR="00FD334E" w:rsidRPr="0082310A" w:rsidTr="00E13CC7">
        <w:tc>
          <w:tcPr>
            <w:tcW w:w="3130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FD334E" w:rsidRPr="0082310A" w:rsidRDefault="00FD334E" w:rsidP="00E13CC7">
            <w:pPr>
              <w:rPr>
                <w:b/>
                <w:bCs/>
                <w:sz w:val="20"/>
                <w:szCs w:val="20"/>
              </w:rPr>
            </w:pPr>
            <w:r w:rsidRPr="0082310A">
              <w:rPr>
                <w:b/>
                <w:bCs/>
                <w:sz w:val="20"/>
                <w:szCs w:val="20"/>
              </w:rPr>
              <w:t>Spolu dlhodobé záväzky</w:t>
            </w:r>
          </w:p>
        </w:tc>
        <w:tc>
          <w:tcPr>
            <w:tcW w:w="438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FD334E" w:rsidRPr="0082310A" w:rsidRDefault="00FD334E" w:rsidP="00E13CC7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872349" w:rsidRPr="0082310A" w:rsidRDefault="00C30102" w:rsidP="00E13CC7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3356</w:t>
            </w: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FD334E" w:rsidRPr="0082310A" w:rsidRDefault="00C30102" w:rsidP="00E13CC7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6097</w:t>
            </w:r>
          </w:p>
        </w:tc>
      </w:tr>
    </w:tbl>
    <w:p w:rsidR="00FD334E" w:rsidRPr="0082310A" w:rsidRDefault="00FD334E" w:rsidP="00FD334E">
      <w:pPr>
        <w:rPr>
          <w:snapToGrid w:val="0"/>
          <w:sz w:val="20"/>
          <w:szCs w:val="20"/>
          <w:u w:val="single"/>
        </w:rPr>
      </w:pPr>
    </w:p>
    <w:p w:rsidR="00FD334E" w:rsidRPr="0082310A" w:rsidRDefault="00FD334E" w:rsidP="00FD334E">
      <w:pPr>
        <w:rPr>
          <w:snapToGrid w:val="0"/>
          <w:sz w:val="20"/>
          <w:szCs w:val="20"/>
          <w:u w:val="single"/>
        </w:rPr>
      </w:pPr>
      <w:r w:rsidRPr="0082310A">
        <w:rPr>
          <w:snapToGrid w:val="0"/>
          <w:sz w:val="20"/>
          <w:szCs w:val="20"/>
        </w:rPr>
        <w:t xml:space="preserve">1.2. </w:t>
      </w:r>
      <w:r w:rsidRPr="0082310A">
        <w:rPr>
          <w:snapToGrid w:val="0"/>
          <w:sz w:val="20"/>
          <w:szCs w:val="20"/>
          <w:u w:val="single"/>
        </w:rPr>
        <w:t xml:space="preserve">Výška krátkodobých záväzkov – veková štruktúra </w:t>
      </w:r>
    </w:p>
    <w:p w:rsidR="00FD334E" w:rsidRPr="0082310A" w:rsidRDefault="00FD334E" w:rsidP="00FD334E">
      <w:pPr>
        <w:rPr>
          <w:snapToGrid w:val="0"/>
          <w:sz w:val="20"/>
          <w:szCs w:val="20"/>
          <w:highlight w:val="yellow"/>
        </w:rPr>
      </w:pPr>
    </w:p>
    <w:tbl>
      <w:tblPr>
        <w:tblW w:w="9322" w:type="dxa"/>
        <w:tblLook w:val="04A0"/>
      </w:tblPr>
      <w:tblGrid>
        <w:gridCol w:w="6487"/>
        <w:gridCol w:w="1418"/>
        <w:gridCol w:w="1417"/>
      </w:tblGrid>
      <w:tr w:rsidR="00FD334E" w:rsidRPr="0082310A" w:rsidTr="00FD334E">
        <w:tc>
          <w:tcPr>
            <w:tcW w:w="6487" w:type="dxa"/>
            <w:tcBorders>
              <w:top w:val="single" w:sz="4" w:space="0" w:color="auto"/>
              <w:bottom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  <w:r w:rsidRPr="0082310A">
              <w:rPr>
                <w:b/>
                <w:bCs/>
                <w:i/>
                <w:iCs/>
                <w:sz w:val="20"/>
                <w:szCs w:val="20"/>
              </w:rPr>
              <w:t>Položka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FD334E" w:rsidRPr="0082310A" w:rsidRDefault="00FD334E" w:rsidP="00C30102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  <w:r w:rsidRPr="0082310A">
              <w:rPr>
                <w:b/>
                <w:bCs/>
                <w:i/>
                <w:sz w:val="20"/>
                <w:szCs w:val="20"/>
              </w:rPr>
              <w:t>31. 12. 20</w:t>
            </w:r>
            <w:r w:rsidR="0065558E">
              <w:rPr>
                <w:b/>
                <w:bCs/>
                <w:i/>
                <w:sz w:val="20"/>
                <w:szCs w:val="20"/>
              </w:rPr>
              <w:t>2</w:t>
            </w:r>
            <w:r w:rsidR="00C30102">
              <w:rPr>
                <w:b/>
                <w:bCs/>
                <w:i/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D334E" w:rsidRPr="0082310A" w:rsidRDefault="00FD334E" w:rsidP="00C30102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  <w:r w:rsidRPr="0082310A">
              <w:rPr>
                <w:b/>
                <w:bCs/>
                <w:i/>
                <w:sz w:val="20"/>
                <w:szCs w:val="20"/>
              </w:rPr>
              <w:t>31. 12. 20</w:t>
            </w:r>
            <w:r w:rsidR="00C30102">
              <w:rPr>
                <w:b/>
                <w:bCs/>
                <w:i/>
                <w:sz w:val="20"/>
                <w:szCs w:val="20"/>
              </w:rPr>
              <w:t>20</w:t>
            </w:r>
          </w:p>
        </w:tc>
      </w:tr>
      <w:tr w:rsidR="00FD334E" w:rsidRPr="0082310A" w:rsidTr="00FD334E">
        <w:tc>
          <w:tcPr>
            <w:tcW w:w="6487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  <w:r w:rsidRPr="0082310A">
              <w:rPr>
                <w:b/>
                <w:bCs/>
                <w:i/>
                <w:iCs/>
                <w:sz w:val="20"/>
                <w:szCs w:val="20"/>
              </w:rPr>
              <w:t>Krátkodobé záväzky z obchodného styku: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</w:tr>
      <w:tr w:rsidR="0065558E" w:rsidRPr="0082310A" w:rsidTr="00FD334E">
        <w:tc>
          <w:tcPr>
            <w:tcW w:w="6487" w:type="dxa"/>
            <w:shd w:val="clear" w:color="auto" w:fill="auto"/>
          </w:tcPr>
          <w:p w:rsidR="0065558E" w:rsidRPr="0082310A" w:rsidRDefault="0065558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</w:rPr>
            </w:pPr>
            <w:r w:rsidRPr="0082310A">
              <w:rPr>
                <w:b/>
                <w:bCs/>
                <w:snapToGrid w:val="0"/>
                <w:sz w:val="20"/>
                <w:szCs w:val="20"/>
              </w:rPr>
              <w:t>Záväzky do lehoty splatnosti</w:t>
            </w:r>
          </w:p>
        </w:tc>
        <w:tc>
          <w:tcPr>
            <w:tcW w:w="1418" w:type="dxa"/>
            <w:shd w:val="clear" w:color="auto" w:fill="auto"/>
          </w:tcPr>
          <w:p w:rsidR="0065558E" w:rsidRPr="0082310A" w:rsidRDefault="00C30102" w:rsidP="00FD334E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23 865</w:t>
            </w:r>
          </w:p>
        </w:tc>
        <w:tc>
          <w:tcPr>
            <w:tcW w:w="1417" w:type="dxa"/>
          </w:tcPr>
          <w:p w:rsidR="0065558E" w:rsidRPr="0082310A" w:rsidRDefault="00C30102" w:rsidP="00AF7569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28 680</w:t>
            </w:r>
          </w:p>
        </w:tc>
      </w:tr>
      <w:tr w:rsidR="0065558E" w:rsidRPr="0082310A" w:rsidTr="00FD334E">
        <w:tc>
          <w:tcPr>
            <w:tcW w:w="6487" w:type="dxa"/>
            <w:shd w:val="clear" w:color="auto" w:fill="auto"/>
          </w:tcPr>
          <w:p w:rsidR="0065558E" w:rsidRPr="0082310A" w:rsidRDefault="0065558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</w:rPr>
            </w:pPr>
            <w:r w:rsidRPr="0082310A">
              <w:rPr>
                <w:b/>
                <w:bCs/>
                <w:snapToGrid w:val="0"/>
                <w:sz w:val="20"/>
                <w:szCs w:val="20"/>
              </w:rPr>
              <w:t>Záväzky po lehote splatnosti</w:t>
            </w:r>
          </w:p>
        </w:tc>
        <w:tc>
          <w:tcPr>
            <w:tcW w:w="1418" w:type="dxa"/>
            <w:shd w:val="clear" w:color="auto" w:fill="auto"/>
          </w:tcPr>
          <w:p w:rsidR="0065558E" w:rsidRPr="0082310A" w:rsidRDefault="00C30102" w:rsidP="00FD334E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98 600</w:t>
            </w:r>
          </w:p>
        </w:tc>
        <w:tc>
          <w:tcPr>
            <w:tcW w:w="1417" w:type="dxa"/>
          </w:tcPr>
          <w:p w:rsidR="0065558E" w:rsidRPr="0082310A" w:rsidRDefault="00C30102" w:rsidP="00AF7569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83</w:t>
            </w:r>
            <w:r w:rsidR="0065558E" w:rsidRPr="0082310A">
              <w:rPr>
                <w:b/>
                <w:bCs/>
                <w:i/>
                <w:snapToGrid w:val="0"/>
                <w:sz w:val="20"/>
                <w:szCs w:val="20"/>
              </w:rPr>
              <w:t xml:space="preserve"> 000</w:t>
            </w:r>
          </w:p>
        </w:tc>
      </w:tr>
      <w:tr w:rsidR="0065558E" w:rsidRPr="0082310A" w:rsidTr="00FD334E">
        <w:trPr>
          <w:trHeight w:val="287"/>
        </w:trPr>
        <w:tc>
          <w:tcPr>
            <w:tcW w:w="6487" w:type="dxa"/>
            <w:shd w:val="clear" w:color="auto" w:fill="auto"/>
          </w:tcPr>
          <w:p w:rsidR="0065558E" w:rsidRPr="0082310A" w:rsidRDefault="0065558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4" w:space="0" w:color="000000"/>
            </w:tcBorders>
            <w:shd w:val="clear" w:color="auto" w:fill="auto"/>
          </w:tcPr>
          <w:p w:rsidR="0065558E" w:rsidRPr="0082310A" w:rsidRDefault="0065558E" w:rsidP="00FD334E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4" w:space="0" w:color="000000"/>
            </w:tcBorders>
          </w:tcPr>
          <w:p w:rsidR="0065558E" w:rsidRPr="0082310A" w:rsidRDefault="0065558E" w:rsidP="00AF7569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</w:p>
        </w:tc>
      </w:tr>
      <w:tr w:rsidR="0065558E" w:rsidRPr="0082310A" w:rsidTr="00FD334E">
        <w:trPr>
          <w:trHeight w:val="237"/>
        </w:trPr>
        <w:tc>
          <w:tcPr>
            <w:tcW w:w="6487" w:type="dxa"/>
            <w:tcBorders>
              <w:bottom w:val="single" w:sz="4" w:space="0" w:color="auto"/>
            </w:tcBorders>
            <w:shd w:val="clear" w:color="auto" w:fill="auto"/>
          </w:tcPr>
          <w:p w:rsidR="0065558E" w:rsidRPr="0082310A" w:rsidRDefault="0065558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</w:rPr>
            </w:pPr>
            <w:r w:rsidRPr="0082310A">
              <w:rPr>
                <w:b/>
                <w:bCs/>
                <w:sz w:val="20"/>
                <w:szCs w:val="20"/>
              </w:rPr>
              <w:t>Spolu krátkodobé záväzky z obchodného styku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</w:tcPr>
          <w:p w:rsidR="0065558E" w:rsidRPr="0082310A" w:rsidRDefault="0065558E" w:rsidP="00C30102">
            <w:pPr>
              <w:ind w:right="-468"/>
              <w:jc w:val="center"/>
              <w:rPr>
                <w:b/>
                <w:bCs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1</w:t>
            </w:r>
            <w:r w:rsidR="00C30102">
              <w:rPr>
                <w:b/>
                <w:bCs/>
                <w:i/>
                <w:snapToGrid w:val="0"/>
                <w:sz w:val="20"/>
                <w:szCs w:val="20"/>
              </w:rPr>
              <w:t>22</w:t>
            </w:r>
            <w:r>
              <w:rPr>
                <w:b/>
                <w:bCs/>
                <w:i/>
                <w:snapToGrid w:val="0"/>
                <w:sz w:val="20"/>
                <w:szCs w:val="20"/>
              </w:rPr>
              <w:t xml:space="preserve"> </w:t>
            </w:r>
            <w:r w:rsidR="00C30102">
              <w:rPr>
                <w:b/>
                <w:bCs/>
                <w:i/>
                <w:snapToGrid w:val="0"/>
                <w:sz w:val="20"/>
                <w:szCs w:val="20"/>
              </w:rPr>
              <w:t>465</w:t>
            </w:r>
          </w:p>
        </w:tc>
        <w:tc>
          <w:tcPr>
            <w:tcW w:w="1417" w:type="dxa"/>
            <w:tcBorders>
              <w:top w:val="single" w:sz="4" w:space="0" w:color="000000"/>
              <w:bottom w:val="single" w:sz="4" w:space="0" w:color="auto"/>
            </w:tcBorders>
          </w:tcPr>
          <w:p w:rsidR="0065558E" w:rsidRPr="0082310A" w:rsidRDefault="00C30102" w:rsidP="00AF7569">
            <w:pPr>
              <w:ind w:right="-468"/>
              <w:jc w:val="center"/>
              <w:rPr>
                <w:b/>
                <w:bCs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111 680</w:t>
            </w:r>
          </w:p>
        </w:tc>
      </w:tr>
      <w:tr w:rsidR="00FD334E" w:rsidRPr="0082310A" w:rsidTr="00FD334E">
        <w:tc>
          <w:tcPr>
            <w:tcW w:w="6487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</w:tr>
    </w:tbl>
    <w:p w:rsidR="00FD334E" w:rsidRPr="0082310A" w:rsidRDefault="0082310A" w:rsidP="00FD334E">
      <w:pPr>
        <w:pStyle w:val="Obyajntext"/>
        <w:rPr>
          <w:rFonts w:ascii="Times New Roman" w:hAnsi="Times New Roman"/>
          <w:b/>
          <w:sz w:val="20"/>
          <w:szCs w:val="20"/>
        </w:rPr>
      </w:pPr>
      <w:r w:rsidRPr="0082310A">
        <w:rPr>
          <w:rFonts w:ascii="Times New Roman" w:hAnsi="Times New Roman"/>
          <w:b/>
          <w:sz w:val="20"/>
          <w:szCs w:val="20"/>
        </w:rPr>
        <w:t>(6) Informácie o nákladoch a výnosoch, ktoré majú výnimočný rozsah alebo výskyt</w:t>
      </w:r>
    </w:p>
    <w:p w:rsidR="0082310A" w:rsidRDefault="0082310A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</w:p>
    <w:p w:rsidR="00C92F19" w:rsidRPr="0082310A" w:rsidRDefault="00C92F19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  <w:r w:rsidRPr="0082310A">
        <w:rPr>
          <w:rFonts w:cs="Times New Roman"/>
          <w:sz w:val="20"/>
          <w:szCs w:val="20"/>
        </w:rPr>
        <w:t>INÉ AKTÍVA A INÉ PASÍVA</w:t>
      </w:r>
    </w:p>
    <w:p w:rsidR="00C92F19" w:rsidRPr="0082310A" w:rsidRDefault="00C92F19" w:rsidP="00C92F19">
      <w:pPr>
        <w:rPr>
          <w:sz w:val="20"/>
          <w:szCs w:val="20"/>
        </w:rPr>
      </w:pPr>
    </w:p>
    <w:p w:rsidR="0065558E" w:rsidRPr="0082310A" w:rsidRDefault="0065558E" w:rsidP="0065558E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  <w:r w:rsidRPr="0082310A">
        <w:rPr>
          <w:sz w:val="20"/>
          <w:szCs w:val="20"/>
        </w:rPr>
        <w:t>Podmienené záväzky</w:t>
      </w:r>
    </w:p>
    <w:p w:rsidR="0065558E" w:rsidRPr="0082310A" w:rsidRDefault="0065558E" w:rsidP="0065558E">
      <w:pPr>
        <w:rPr>
          <w:snapToGrid w:val="0"/>
          <w:sz w:val="20"/>
          <w:szCs w:val="20"/>
        </w:rPr>
      </w:pPr>
    </w:p>
    <w:p w:rsidR="0065558E" w:rsidRPr="003A548C" w:rsidRDefault="0065558E" w:rsidP="0065558E">
      <w:pPr>
        <w:rPr>
          <w:snapToGrid w:val="0"/>
          <w:sz w:val="20"/>
          <w:szCs w:val="20"/>
        </w:rPr>
      </w:pPr>
      <w:r w:rsidRPr="003A548C">
        <w:rPr>
          <w:snapToGrid w:val="0"/>
          <w:sz w:val="20"/>
          <w:szCs w:val="20"/>
        </w:rPr>
        <w:t>Daňové priznania zostávajú otvorené a môžu byť predmetom kontroly počas obdobia piatich rokov. Skutočnosť, že určité obdobie alebo daňové priznanie vzťahujúce sa na toto obdobie bolo kontrolované, nemá vplyv na vylúčenie tohto obdobia z prípadnej ďalšej kontroly počas obdobia piatich rokov. V dôsledku toho sú k 31. decembru 202</w:t>
      </w:r>
      <w:r w:rsidR="00C30102">
        <w:rPr>
          <w:snapToGrid w:val="0"/>
          <w:sz w:val="20"/>
          <w:szCs w:val="20"/>
        </w:rPr>
        <w:t>1</w:t>
      </w:r>
      <w:r w:rsidRPr="003A548C">
        <w:rPr>
          <w:snapToGrid w:val="0"/>
          <w:sz w:val="20"/>
          <w:szCs w:val="20"/>
        </w:rPr>
        <w:t xml:space="preserve"> daňové priznania spoločnosti za roky 201</w:t>
      </w:r>
      <w:r w:rsidR="00C30102">
        <w:rPr>
          <w:snapToGrid w:val="0"/>
          <w:sz w:val="20"/>
          <w:szCs w:val="20"/>
        </w:rPr>
        <w:t>7</w:t>
      </w:r>
      <w:r w:rsidRPr="003A548C">
        <w:rPr>
          <w:snapToGrid w:val="0"/>
          <w:sz w:val="20"/>
          <w:szCs w:val="20"/>
        </w:rPr>
        <w:t xml:space="preserve"> až 202</w:t>
      </w:r>
      <w:r w:rsidR="00C30102">
        <w:rPr>
          <w:snapToGrid w:val="0"/>
          <w:sz w:val="20"/>
          <w:szCs w:val="20"/>
        </w:rPr>
        <w:t>1</w:t>
      </w:r>
      <w:r w:rsidRPr="003A548C">
        <w:rPr>
          <w:snapToGrid w:val="0"/>
          <w:sz w:val="20"/>
          <w:szCs w:val="20"/>
        </w:rPr>
        <w:t xml:space="preserve"> otvorené a môžu sa stať predmetom kontroly.</w:t>
      </w:r>
    </w:p>
    <w:p w:rsidR="0065558E" w:rsidRPr="0082310A" w:rsidRDefault="0065558E" w:rsidP="0065558E">
      <w:pPr>
        <w:ind w:left="360"/>
        <w:rPr>
          <w:sz w:val="20"/>
          <w:szCs w:val="20"/>
        </w:rPr>
      </w:pPr>
    </w:p>
    <w:p w:rsidR="0065558E" w:rsidRPr="0082310A" w:rsidRDefault="0065558E" w:rsidP="0065558E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left"/>
        <w:rPr>
          <w:rFonts w:cs="Times New Roman"/>
          <w:sz w:val="20"/>
          <w:szCs w:val="20"/>
        </w:rPr>
      </w:pPr>
      <w:r w:rsidRPr="0082310A">
        <w:rPr>
          <w:rFonts w:cs="Times New Roman"/>
          <w:sz w:val="20"/>
          <w:szCs w:val="20"/>
        </w:rPr>
        <w:t>SKUTOČNOSTI, KTORÉ NASTALI PO DNI, KU KTORÉMU SA ZOSTAVUJE ÚČTOVNÁ</w:t>
      </w:r>
    </w:p>
    <w:p w:rsidR="0065558E" w:rsidRPr="0082310A" w:rsidRDefault="0065558E" w:rsidP="0065558E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left"/>
        <w:rPr>
          <w:rFonts w:cs="Times New Roman"/>
          <w:sz w:val="20"/>
          <w:szCs w:val="20"/>
        </w:rPr>
      </w:pPr>
      <w:r w:rsidRPr="0082310A">
        <w:rPr>
          <w:rFonts w:cs="Times New Roman"/>
          <w:sz w:val="20"/>
          <w:szCs w:val="20"/>
        </w:rPr>
        <w:t>ZÁVIERKA,A DO DŇA ZOSTAVENIA ÚČTOVNEJ ZÁVIERKY</w:t>
      </w:r>
    </w:p>
    <w:p w:rsidR="0065558E" w:rsidRPr="0082310A" w:rsidRDefault="0065558E" w:rsidP="0065558E">
      <w:pPr>
        <w:pStyle w:val="Obyajntext"/>
        <w:rPr>
          <w:rFonts w:ascii="Times New Roman" w:hAnsi="Times New Roman"/>
          <w:sz w:val="20"/>
          <w:szCs w:val="20"/>
        </w:rPr>
      </w:pPr>
    </w:p>
    <w:p w:rsidR="000524A8" w:rsidRPr="000524A8" w:rsidRDefault="000524A8" w:rsidP="000524A8">
      <w:pPr>
        <w:pStyle w:val="Obyajntext"/>
        <w:rPr>
          <w:rFonts w:ascii="Times New Roman" w:hAnsi="Times New Roman"/>
          <w:sz w:val="20"/>
          <w:szCs w:val="20"/>
        </w:rPr>
      </w:pPr>
      <w:r w:rsidRPr="000524A8">
        <w:rPr>
          <w:rFonts w:ascii="Times New Roman" w:hAnsi="Times New Roman"/>
          <w:sz w:val="20"/>
          <w:szCs w:val="20"/>
        </w:rPr>
        <w:t xml:space="preserve">V súvislosti s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(t.j. počas nasledujúcich 12 mesiacov od dátumu </w:t>
      </w:r>
      <w:r>
        <w:rPr>
          <w:rFonts w:ascii="Times New Roman" w:hAnsi="Times New Roman"/>
          <w:sz w:val="20"/>
          <w:szCs w:val="20"/>
        </w:rPr>
        <w:t>z</w:t>
      </w:r>
      <w:r w:rsidRPr="000524A8">
        <w:rPr>
          <w:rFonts w:ascii="Times New Roman" w:hAnsi="Times New Roman"/>
          <w:sz w:val="20"/>
          <w:szCs w:val="20"/>
        </w:rPr>
        <w:t>ostavenia UZ).</w:t>
      </w:r>
    </w:p>
    <w:p w:rsidR="000524A8" w:rsidRPr="000524A8" w:rsidRDefault="000524A8" w:rsidP="000524A8">
      <w:pPr>
        <w:pStyle w:val="Obyajntext"/>
        <w:rPr>
          <w:rFonts w:ascii="Times New Roman" w:hAnsi="Times New Roman"/>
          <w:sz w:val="20"/>
          <w:szCs w:val="20"/>
        </w:rPr>
      </w:pPr>
    </w:p>
    <w:p w:rsidR="000524A8" w:rsidRPr="000524A8" w:rsidRDefault="000524A8" w:rsidP="000524A8">
      <w:pPr>
        <w:pStyle w:val="Obyajntext"/>
        <w:jc w:val="both"/>
        <w:rPr>
          <w:rFonts w:ascii="Times New Roman" w:hAnsi="Times New Roman"/>
          <w:sz w:val="20"/>
          <w:szCs w:val="20"/>
        </w:rPr>
      </w:pPr>
      <w:r w:rsidRPr="000524A8">
        <w:rPr>
          <w:rFonts w:ascii="Times New Roman" w:hAnsi="Times New Roman"/>
          <w:sz w:val="20"/>
          <w:szCs w:val="20"/>
        </w:rPr>
        <w:t xml:space="preserve">Okrem vyššie spomenutého po 31.12.2021 nenastali také udalosti, ktoré majú vplyv na verné </w:t>
      </w:r>
      <w:r>
        <w:rPr>
          <w:rFonts w:ascii="Times New Roman" w:hAnsi="Times New Roman"/>
          <w:sz w:val="20"/>
          <w:szCs w:val="20"/>
        </w:rPr>
        <w:t>z</w:t>
      </w:r>
      <w:r w:rsidRPr="000524A8">
        <w:rPr>
          <w:rFonts w:ascii="Times New Roman" w:hAnsi="Times New Roman"/>
          <w:sz w:val="20"/>
          <w:szCs w:val="20"/>
        </w:rPr>
        <w:t>obrazenie skutočností uvádzaných v tejto účtovnej závierke.</w:t>
      </w:r>
    </w:p>
    <w:p w:rsidR="00C92F19" w:rsidRPr="000524A8" w:rsidRDefault="00C92F19" w:rsidP="0065558E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</w:p>
    <w:sectPr w:rsidR="00C92F19" w:rsidRPr="000524A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6FA8" w:rsidRDefault="000D6FA8" w:rsidP="001869C8">
      <w:r>
        <w:separator/>
      </w:r>
    </w:p>
  </w:endnote>
  <w:endnote w:type="continuationSeparator" w:id="1">
    <w:p w:rsidR="000D6FA8" w:rsidRDefault="000D6FA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BD7B1C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6FA8" w:rsidRDefault="000D6FA8" w:rsidP="001869C8">
      <w:r>
        <w:separator/>
      </w:r>
    </w:p>
  </w:footnote>
  <w:footnote w:type="continuationSeparator" w:id="1">
    <w:p w:rsidR="000D6FA8" w:rsidRDefault="000D6FA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E57B6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57B6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57B6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57B6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57B6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57B6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57B6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57B6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9"/>
  </w:num>
  <w:num w:numId="2">
    <w:abstractNumId w:val="0"/>
  </w:num>
  <w:num w:numId="3">
    <w:abstractNumId w:val="1"/>
  </w:num>
  <w:num w:numId="4">
    <w:abstractNumId w:val="6"/>
  </w:num>
  <w:num w:numId="5">
    <w:abstractNumId w:val="4"/>
  </w:num>
  <w:num w:numId="6">
    <w:abstractNumId w:val="8"/>
  </w:num>
  <w:num w:numId="7">
    <w:abstractNumId w:val="5"/>
  </w:num>
  <w:num w:numId="8">
    <w:abstractNumId w:val="3"/>
  </w:num>
  <w:num w:numId="9">
    <w:abstractNumId w:val="2"/>
  </w:num>
  <w:num w:numId="10">
    <w:abstractNumId w:val="7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524A8"/>
    <w:rsid w:val="000549FD"/>
    <w:rsid w:val="00057ACB"/>
    <w:rsid w:val="00061DBD"/>
    <w:rsid w:val="00065EAA"/>
    <w:rsid w:val="00073DFA"/>
    <w:rsid w:val="000750CC"/>
    <w:rsid w:val="000863E3"/>
    <w:rsid w:val="00091325"/>
    <w:rsid w:val="00091F5F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6FA8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6E9D"/>
    <w:rsid w:val="00197F6B"/>
    <w:rsid w:val="001B23AC"/>
    <w:rsid w:val="001B3754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1567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43166"/>
    <w:rsid w:val="0065558E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31A0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10A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2349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4545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AF7569"/>
    <w:rsid w:val="00B01A1E"/>
    <w:rsid w:val="00B0336F"/>
    <w:rsid w:val="00B06868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7133B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D7B1C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0102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2F19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3CC7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57B69"/>
    <w:rsid w:val="00E6578B"/>
    <w:rsid w:val="00E92E55"/>
    <w:rsid w:val="00E9535E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2946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D334E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92F19"/>
    <w:rPr>
      <w:sz w:val="24"/>
      <w:szCs w:val="24"/>
    </w:rPr>
  </w:style>
  <w:style w:type="paragraph" w:styleId="Nadpis1">
    <w:name w:val="heading 1"/>
    <w:next w:val="Nadpis2"/>
    <w:link w:val="Nadpis1Char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link w:val="Nadpis2Char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paragraph" w:styleId="Nadpis7">
    <w:name w:val="heading 7"/>
    <w:basedOn w:val="Normlny"/>
    <w:next w:val="Normlny"/>
    <w:link w:val="Nadpis7Char"/>
    <w:qFormat/>
    <w:rsid w:val="00F62946"/>
    <w:pPr>
      <w:tabs>
        <w:tab w:val="num" w:pos="1296"/>
      </w:tabs>
      <w:spacing w:before="240" w:after="60"/>
      <w:ind w:left="1296" w:hanging="1296"/>
      <w:jc w:val="both"/>
      <w:outlineLvl w:val="6"/>
    </w:pPr>
    <w:rPr>
      <w:rFonts w:ascii="Verdana" w:hAnsi="Verdana"/>
      <w:sz w:val="17"/>
      <w:lang w:eastAsia="en-US"/>
    </w:rPr>
  </w:style>
  <w:style w:type="paragraph" w:styleId="Nadpis8">
    <w:name w:val="heading 8"/>
    <w:basedOn w:val="Normlny"/>
    <w:next w:val="Normlny"/>
    <w:link w:val="Nadpis8Char"/>
    <w:qFormat/>
    <w:rsid w:val="00F62946"/>
    <w:pPr>
      <w:tabs>
        <w:tab w:val="num" w:pos="1440"/>
      </w:tabs>
      <w:spacing w:before="240" w:after="60"/>
      <w:ind w:left="1440" w:hanging="1440"/>
      <w:jc w:val="both"/>
      <w:outlineLvl w:val="7"/>
    </w:pPr>
    <w:rPr>
      <w:rFonts w:ascii="Verdana" w:hAnsi="Verdana"/>
      <w:i/>
      <w:iCs/>
      <w:sz w:val="17"/>
      <w:lang w:eastAsia="en-US"/>
    </w:rPr>
  </w:style>
  <w:style w:type="paragraph" w:styleId="Nadpis9">
    <w:name w:val="heading 9"/>
    <w:basedOn w:val="Normlny"/>
    <w:next w:val="Normlny"/>
    <w:link w:val="Nadpis9Char"/>
    <w:qFormat/>
    <w:rsid w:val="00F62946"/>
    <w:pPr>
      <w:tabs>
        <w:tab w:val="num" w:pos="1584"/>
      </w:tabs>
      <w:spacing w:before="240" w:after="60"/>
      <w:ind w:left="1584" w:hanging="1584"/>
      <w:jc w:val="both"/>
      <w:outlineLvl w:val="8"/>
    </w:pPr>
    <w:rPr>
      <w:rFonts w:ascii="Verdana" w:hAnsi="Verdana" w:cs="Arial"/>
      <w:sz w:val="17"/>
      <w:szCs w:val="22"/>
      <w:lang w:eastAsia="en-US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Nadpis7Char">
    <w:name w:val="Nadpis 7 Char"/>
    <w:basedOn w:val="Predvolenpsmoodseku"/>
    <w:link w:val="Nadpis7"/>
    <w:rsid w:val="00F62946"/>
    <w:rPr>
      <w:rFonts w:ascii="Verdana" w:hAnsi="Verdana"/>
      <w:sz w:val="17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rsid w:val="00F62946"/>
    <w:rPr>
      <w:rFonts w:ascii="Verdana" w:hAnsi="Verdana"/>
      <w:i/>
      <w:iCs/>
      <w:sz w:val="17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rsid w:val="00F62946"/>
    <w:rPr>
      <w:rFonts w:ascii="Verdana" w:hAnsi="Verdana" w:cs="Arial"/>
      <w:sz w:val="17"/>
      <w:szCs w:val="22"/>
      <w:lang w:eastAsia="en-US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FD334E"/>
    <w:rPr>
      <w:rFonts w:ascii="Calibri" w:eastAsia="Calibri" w:hAnsi="Calibri"/>
      <w:sz w:val="22"/>
      <w:szCs w:val="21"/>
      <w:lang w:eastAsia="en-US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FD334E"/>
    <w:rPr>
      <w:rFonts w:ascii="Calibri" w:eastAsia="Calibri" w:hAnsi="Calibri" w:cs="Times New Roman"/>
      <w:sz w:val="22"/>
      <w:szCs w:val="21"/>
      <w:lang w:eastAsia="en-US"/>
    </w:rPr>
  </w:style>
  <w:style w:type="character" w:customStyle="1" w:styleId="Nadpis1Char">
    <w:name w:val="Nadpis 1 Char"/>
    <w:basedOn w:val="Predvolenpsmoodseku"/>
    <w:link w:val="Nadpis1"/>
    <w:rsid w:val="00C92F19"/>
    <w:rPr>
      <w:rFonts w:cs="Arial"/>
      <w:b/>
      <w:bCs/>
      <w:kern w:val="32"/>
      <w:sz w:val="24"/>
      <w:szCs w:val="32"/>
      <w:lang w:val="sk-SK" w:eastAsia="sk-SK" w:bidi="ar-SA"/>
    </w:rPr>
  </w:style>
  <w:style w:type="character" w:customStyle="1" w:styleId="Nadpis2Char">
    <w:name w:val="Nadpis 2 Char"/>
    <w:basedOn w:val="Predvolenpsmoodseku"/>
    <w:link w:val="Nadpis2"/>
    <w:rsid w:val="00C92F19"/>
    <w:rPr>
      <w:b/>
      <w:sz w:val="24"/>
      <w:szCs w:val="24"/>
    </w:rPr>
  </w:style>
  <w:style w:type="character" w:styleId="Odkaznakomentr">
    <w:name w:val="annotation reference"/>
    <w:semiHidden/>
    <w:rsid w:val="000524A8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0524A8"/>
    <w:pPr>
      <w:jc w:val="both"/>
    </w:pPr>
    <w:rPr>
      <w:rFonts w:ascii="Verdana" w:hAnsi="Verdana"/>
      <w:sz w:val="20"/>
      <w:szCs w:val="20"/>
      <w:lang w:eastAsia="en-US"/>
    </w:rPr>
  </w:style>
  <w:style w:type="character" w:customStyle="1" w:styleId="TextkomentraChar">
    <w:name w:val="Text komentára Char"/>
    <w:basedOn w:val="Predvolenpsmoodseku"/>
    <w:link w:val="Textkomentra"/>
    <w:semiHidden/>
    <w:rsid w:val="000524A8"/>
    <w:rPr>
      <w:rFonts w:ascii="Verdana" w:hAnsi="Verdana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B6FB51-5D56-4ED9-ABD7-CA9666C896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1072</Words>
  <Characters>6112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7170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Magda</cp:lastModifiedBy>
  <cp:revision>2</cp:revision>
  <cp:lastPrinted>2016-12-18T15:02:00Z</cp:lastPrinted>
  <dcterms:created xsi:type="dcterms:W3CDTF">2022-06-30T10:37:00Z</dcterms:created>
  <dcterms:modified xsi:type="dcterms:W3CDTF">2022-06-30T10:37:00Z</dcterms:modified>
</cp:coreProperties>
</file>