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 I</w:t>
      </w:r>
    </w:p>
    <w:p>
      <w:pPr>
        <w:pStyle w:val="Normal"/>
        <w:jc w:val="center"/>
        <w:rPr/>
      </w:pPr>
      <w:r>
        <w:rPr>
          <w:b/>
        </w:rPr>
        <w:t>Všeobecné údaje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Názov právnickej osoby a jej sídlo.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Matus-Shop s.r.o.</w:t>
      </w:r>
    </w:p>
    <w:p>
      <w:pPr>
        <w:pStyle w:val="Normal"/>
        <w:jc w:val="both"/>
        <w:rPr/>
      </w:pPr>
      <w:r>
        <w:rPr/>
        <w:t>Chmeľnica 95</w:t>
      </w:r>
    </w:p>
    <w:p>
      <w:pPr>
        <w:pStyle w:val="Normal"/>
        <w:jc w:val="both"/>
        <w:rPr/>
      </w:pPr>
      <w:r>
        <w:rPr/>
        <w:t>064 01  Chmeľnica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Údaje o konsolidovanom celku.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Spoločnosť nie je súčasťou žiadneho konsolidovaného celku.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Priemerný prepočítaný počet zamestnancov.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Počet zamestnancov = 0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 II</w:t>
      </w:r>
    </w:p>
    <w:p>
      <w:pPr>
        <w:pStyle w:val="Normal"/>
        <w:jc w:val="center"/>
        <w:rPr/>
      </w:pPr>
      <w:r>
        <w:rPr>
          <w:b/>
        </w:rPr>
        <w:t>Informácie o prijatých postupoch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Účtovná závierka za rok 202</w:t>
      </w:r>
      <w:r>
        <w:rPr/>
        <w:t>1</w:t>
      </w:r>
      <w:r>
        <w:rPr/>
        <w:t xml:space="preserve"> je zostavená za predpokladu nepretržitého pokračovania v činnosti.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Spôsob oceňovania jednotlivých položiek majetku a záväzkov: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účtovná jednotka nedisponuje dlhodobým nehmotným majetkom, dlhodobým hmotným majetkom, ani dlhodobým finančným majetkom,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zásoby obstarané kúpou sú účtované spôsobom B, účtovná jednotka nedisponuje zásobami vytvorenými vlastnou činnosťou,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pohľadávky sú oceňované obstarávacou cenou v čase vzniku,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krátkodobý finančný majetok – stav pokladne a bankového účtu je oceňovaný v menovitej hodnote,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záväzky sú oceňované obstarávacou cenou v čase vzniku,</w:t>
      </w:r>
    </w:p>
    <w:p>
      <w:pPr>
        <w:pStyle w:val="ListParagraph"/>
        <w:numPr>
          <w:ilvl w:val="1"/>
          <w:numId w:val="2"/>
        </w:numPr>
        <w:ind w:left="1134" w:hanging="360"/>
        <w:jc w:val="both"/>
        <w:rPr/>
      </w:pPr>
      <w:r>
        <w:rPr/>
        <w:t>účtovná jednotka nedisponuje derivátovými operáciami.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Spôsob zostavovania odpisového plánu pre jednotlivé druhy dlhodobého hmotného a dlhodobého nehmotného majetku, pričom sa uvádza doba odpisovania, použité sadzby odpisov a odpisové metódy pri určení odpisov.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  <w:t>Účtovná jednotka nedisponuje dlhodobým hmotným majetkom, ani dlhodobým nehmotným majetkom.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  <w:t>Účtovná jednotka nemenila účtovné zásady.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Informácie o dotáciách a ich oceňovanie v účtovníctve.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neúčtuje o dotáciách.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left="426" w:hanging="360"/>
        <w:jc w:val="both"/>
        <w:rPr/>
      </w:pPr>
      <w:r>
        <w:rPr/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  <w:t>Účtovná jednotka neúčtovala významné opravy chýb minulých období.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Normal"/>
        <w:ind w:left="0" w:hanging="0"/>
        <w:jc w:val="center"/>
        <w:rPr>
          <w:b/>
          <w:b/>
        </w:rPr>
      </w:pPr>
      <w:r>
        <w:rPr>
          <w:b/>
        </w:rPr>
        <w:t>Čl. III</w:t>
      </w:r>
    </w:p>
    <w:p>
      <w:pPr>
        <w:pStyle w:val="Normal"/>
        <w:ind w:left="0" w:hanging="0"/>
        <w:jc w:val="center"/>
        <w:rPr/>
      </w:pPr>
      <w:r>
        <w:rPr>
          <w:b/>
        </w:rPr>
        <w:t>Informácie, ktoré vysvetľujú a dopĺňajú súvahu a výkaz ziskov a strát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ind w:left="426" w:hanging="360"/>
        <w:jc w:val="both"/>
        <w:rPr/>
      </w:pPr>
      <w:r>
        <w:rPr/>
        <w:t>Informácie o sume a dôvodoch vzniku jednotlivých položiek nákladov a výnosov, ktoré majú výnimočný rozsah a výskyt.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neúčtovala o nákladoch a výnosoch, ktoré majú výnimočný rozsah a výskyt.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ind w:left="426" w:hanging="360"/>
        <w:jc w:val="both"/>
        <w:rPr/>
      </w:pPr>
      <w:r>
        <w:rPr/>
        <w:t>Informácie o záväzkoch, a to</w:t>
      </w:r>
    </w:p>
    <w:p>
      <w:pPr>
        <w:pStyle w:val="ListParagraph"/>
        <w:numPr>
          <w:ilvl w:val="1"/>
          <w:numId w:val="3"/>
        </w:numPr>
        <w:ind w:left="1134" w:hanging="360"/>
        <w:jc w:val="both"/>
        <w:rPr/>
      </w:pPr>
      <w:r>
        <w:rPr/>
        <w:t>celkovej sume záväzkov so zostatkovou dobu splatnosti dlhšou ako päť rokov,</w:t>
      </w:r>
    </w:p>
    <w:p>
      <w:pPr>
        <w:pStyle w:val="ListParagraph"/>
        <w:numPr>
          <w:ilvl w:val="1"/>
          <w:numId w:val="3"/>
        </w:numPr>
        <w:ind w:left="1134" w:hanging="360"/>
        <w:jc w:val="both"/>
        <w:rPr/>
      </w:pPr>
      <w:r>
        <w:rPr/>
        <w:t>celkovej sume zabezpečených záväzkov, opis a spôsoby zabezpečenia záväzkov.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neúčtuje o záväzkoch so zostatkovou dobou splatnosti dlhšou ako päť rokov.</w:t>
      </w:r>
    </w:p>
    <w:p>
      <w:pPr>
        <w:pStyle w:val="Normal"/>
        <w:jc w:val="both"/>
        <w:rPr/>
      </w:pPr>
      <w:r>
        <w:rPr/>
        <w:t>Účtovná jednotka neúčtuje o zabezpečených záväzkoch.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ind w:left="426" w:hanging="360"/>
        <w:jc w:val="both"/>
        <w:rPr/>
      </w:pPr>
      <w:r>
        <w:rPr/>
        <w:t>Informácie o orgánoch účtovnej jednotky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Konateľ</w:t>
        <w:tab/>
        <w:tab/>
        <w:t>Matúš Kšenžigh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ind w:left="426" w:hanging="360"/>
        <w:jc w:val="both"/>
        <w:rPr/>
      </w:pPr>
      <w:r>
        <w:rPr/>
        <w:t>Informácie o povinnostiach účtovnej jednotky.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  <w:t>Účtovná jednotka nemá žiadne významné finančné povinnosti, ktoré sa nevykazujú v súvahe, ani významné podmienené záväzky.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ind w:left="426" w:hanging="360"/>
        <w:jc w:val="both"/>
        <w:rPr/>
      </w:pPr>
      <w:r>
        <w:rPr/>
        <w:t>Informácie o udelení výlučného práva alebo osobitného práva, ktorým sa udelilo právo poskytovať služby vo verejnom záujme.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hanging="0"/>
        <w:jc w:val="both"/>
        <w:rPr/>
      </w:pPr>
      <w:r>
        <w:rPr/>
        <w:t>Účtovná jednotka nemá udelené výlučné právo ani osobitné právo na poskytovanie služby vo verejnom záujme.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32245772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10064" w:type="dxa"/>
      <w:jc w:val="left"/>
      <w:tblInd w:w="-31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9"/>
      <w:gridCol w:w="600"/>
      <w:gridCol w:w="351"/>
      <w:gridCol w:w="350"/>
      <w:gridCol w:w="350"/>
      <w:gridCol w:w="350"/>
      <w:gridCol w:w="350"/>
      <w:gridCol w:w="352"/>
      <w:gridCol w:w="350"/>
      <w:gridCol w:w="350"/>
      <w:gridCol w:w="600"/>
      <w:gridCol w:w="353"/>
      <w:gridCol w:w="354"/>
      <w:gridCol w:w="355"/>
      <w:gridCol w:w="354"/>
      <w:gridCol w:w="354"/>
      <w:gridCol w:w="354"/>
      <w:gridCol w:w="355"/>
      <w:gridCol w:w="354"/>
      <w:gridCol w:w="353"/>
      <w:gridCol w:w="353"/>
    </w:tblGrid>
    <w:tr>
      <w:trPr/>
      <w:tc>
        <w:tcPr>
          <w:tcW w:w="2519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Poznámky Úč MÚJ 3 – 01</w:t>
          </w:r>
        </w:p>
      </w:tc>
      <w:tc>
        <w:tcPr>
          <w:tcW w:w="600" w:type="dxa"/>
          <w:tcBorders>
            <w:top w:val="nil"/>
            <w:bottom w:val="nil"/>
          </w:tcBorders>
        </w:tcPr>
        <w:p>
          <w:pPr>
            <w:pStyle w:val="Zhlavie"/>
            <w:widowControl/>
            <w:spacing w:before="0" w:after="0"/>
            <w:ind w:left="0" w:hanging="0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IČO</w:t>
          </w:r>
        </w:p>
      </w:tc>
      <w:tc>
        <w:tcPr>
          <w:tcW w:w="351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4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7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4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3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9</w:t>
          </w:r>
        </w:p>
      </w:tc>
      <w:tc>
        <w:tcPr>
          <w:tcW w:w="352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3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0</w:t>
          </w:r>
        </w:p>
      </w:tc>
      <w:tc>
        <w:tcPr>
          <w:tcW w:w="350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1</w:t>
          </w:r>
        </w:p>
      </w:tc>
      <w:tc>
        <w:tcPr>
          <w:tcW w:w="600" w:type="dxa"/>
          <w:tcBorders>
            <w:top w:val="nil"/>
            <w:bottom w:val="nil"/>
          </w:tcBorders>
        </w:tcPr>
        <w:p>
          <w:pPr>
            <w:pStyle w:val="Zhlavie"/>
            <w:widowControl/>
            <w:spacing w:before="0" w:after="0"/>
            <w:ind w:left="0" w:hanging="0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DIČ</w:t>
          </w:r>
        </w:p>
      </w:tc>
      <w:tc>
        <w:tcPr>
          <w:tcW w:w="353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2</w:t>
          </w:r>
        </w:p>
      </w:tc>
      <w:tc>
        <w:tcPr>
          <w:tcW w:w="354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0</w:t>
          </w:r>
        </w:p>
      </w:tc>
      <w:tc>
        <w:tcPr>
          <w:tcW w:w="355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2</w:t>
          </w:r>
        </w:p>
      </w:tc>
      <w:tc>
        <w:tcPr>
          <w:tcW w:w="354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3</w:t>
          </w:r>
        </w:p>
      </w:tc>
      <w:tc>
        <w:tcPr>
          <w:tcW w:w="354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9</w:t>
          </w:r>
        </w:p>
      </w:tc>
      <w:tc>
        <w:tcPr>
          <w:tcW w:w="354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1</w:t>
          </w:r>
        </w:p>
      </w:tc>
      <w:tc>
        <w:tcPr>
          <w:tcW w:w="355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9</w:t>
          </w:r>
        </w:p>
      </w:tc>
      <w:tc>
        <w:tcPr>
          <w:tcW w:w="354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6</w:t>
          </w:r>
        </w:p>
      </w:tc>
      <w:tc>
        <w:tcPr>
          <w:tcW w:w="353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6</w:t>
          </w:r>
        </w:p>
      </w:tc>
      <w:tc>
        <w:tcPr>
          <w:tcW w:w="353" w:type="dxa"/>
          <w:tcBorders/>
        </w:tcPr>
        <w:p>
          <w:pPr>
            <w:pStyle w:val="Zhlavie"/>
            <w:widowControl/>
            <w:spacing w:before="0" w:after="0"/>
            <w:ind w:left="0" w:hanging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sk-SK" w:eastAsia="en-US" w:bidi="ar-SA"/>
            </w:rPr>
            <w:t>7</w:t>
          </w:r>
        </w:p>
      </w:tc>
    </w:tr>
  </w:tbl>
  <w:p>
    <w:pPr>
      <w:pStyle w:val="Zhlavie"/>
      <w:ind w:lef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797f"/>
    <w:pPr>
      <w:widowControl/>
      <w:bidi w:val="0"/>
      <w:spacing w:lineRule="auto" w:line="288" w:before="0" w:after="0"/>
      <w:ind w:left="284" w:hanging="284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995e28"/>
    <w:rPr/>
  </w:style>
  <w:style w:type="character" w:styleId="PtaChar" w:customStyle="1">
    <w:name w:val="Päta Char"/>
    <w:basedOn w:val="DefaultParagraphFont"/>
    <w:link w:val="Pta"/>
    <w:uiPriority w:val="99"/>
    <w:qFormat/>
    <w:rsid w:val="00995e2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95e28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995e28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Pta">
    <w:name w:val="Footer"/>
    <w:basedOn w:val="Normal"/>
    <w:link w:val="PtaChar"/>
    <w:uiPriority w:val="99"/>
    <w:unhideWhenUsed/>
    <w:rsid w:val="00995e28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95e28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e28"/>
    <w:pPr>
      <w:spacing w:before="0" w:after="0"/>
      <w:ind w:left="720" w:hanging="284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8098-7DD0-4982-B158-6236521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LibreOffice/7.0.4.2$Windows_x86 LibreOffice_project/dcf040e67528d9187c66b2379df5ea4407429775</Application>
  <AppVersion>15.0000</AppVersion>
  <Pages>3</Pages>
  <Words>460</Words>
  <Characters>2777</Characters>
  <CharactersWithSpaces>3154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2020-10-13T20:03:00Z</dcterms:created>
  <dc:creator>PC</dc:creator>
  <dc:description/>
  <dc:language>sk-SK</dc:language>
  <cp:lastModifiedBy/>
  <dcterms:modified xsi:type="dcterms:W3CDTF">2022-06-29T21:46:07Z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