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adpis1"/>
        <w:numPr>
          <w:ilvl w:val="0"/>
          <w:numId w:val="2"/>
        </w:numPr>
        <w:shd w:val="clear" w:color="auto" w:fill="FFFFFF" w:themeFill="background1"/>
        <w:spacing w:before="120" w:after="60"/>
        <w:ind w:left="360" w:hanging="360"/>
        <w:rPr/>
      </w:pPr>
      <w:r>
        <w:rPr/>
        <w:t xml:space="preserve"> </w:t>
      </w:r>
      <w:r>
        <w:rPr/>
        <w:t>Všeobecné údaje</w:t>
      </w:r>
    </w:p>
    <w:p>
      <w:pPr>
        <w:pStyle w:val="Telotextu"/>
        <w:shd w:val="clear" w:color="auto" w:fill="FFFFFF" w:themeFill="background1"/>
        <w:rPr/>
      </w:pPr>
      <w:r>
        <w:rPr/>
      </w:r>
    </w:p>
    <w:p>
      <w:pPr>
        <w:pStyle w:val="Nadpis2"/>
        <w:numPr>
          <w:ilvl w:val="0"/>
          <w:numId w:val="3"/>
        </w:numPr>
        <w:shd w:val="clear" w:color="auto" w:fill="FFFFFF" w:themeFill="background1"/>
        <w:rPr/>
      </w:pPr>
      <w:r>
        <w:rPr/>
        <w:t>Názov právnickej osoby a jej sídlo:</w:t>
      </w:r>
    </w:p>
    <w:p>
      <w:pPr>
        <w:pStyle w:val="Telotextu"/>
        <w:shd w:val="clear" w:color="auto" w:fill="FFFFFF" w:themeFill="background1"/>
        <w:rPr/>
      </w:pPr>
      <w:r>
        <w:rPr/>
        <w:t xml:space="preserve">Spoločnosť : </w:t>
      </w:r>
      <w:r>
        <w:rPr/>
        <w:t xml:space="preserve">4Bplus , </w:t>
      </w:r>
      <w:r>
        <w:rPr>
          <w:rFonts w:eastAsia="Times New Roman"/>
          <w:sz w:val="18"/>
          <w:lang w:eastAsia="en-US"/>
        </w:rPr>
        <w:t xml:space="preserve"> s. r. o., </w:t>
      </w:r>
      <w:r>
        <w:rPr>
          <w:rFonts w:eastAsia="Times New Roman"/>
          <w:sz w:val="18"/>
          <w:lang w:eastAsia="en-US"/>
        </w:rPr>
        <w:t>Miloslavov</w:t>
      </w:r>
      <w:r>
        <w:rPr>
          <w:rFonts w:eastAsia="Times New Roman"/>
          <w:sz w:val="18"/>
          <w:lang w:eastAsia="en-US"/>
        </w:rPr>
        <w:t xml:space="preserve"> 1246/187, 90042 Miloslavov</w:t>
      </w:r>
      <w:r>
        <w:rPr/>
        <w:t xml:space="preserve"> (ďalej len Spoločnosť), </w:t>
      </w:r>
    </w:p>
    <w:p>
      <w:pPr>
        <w:pStyle w:val="Normal"/>
        <w:shd w:val="clear" w:color="auto" w:fill="FFFFFF" w:themeFill="background1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adpis2"/>
        <w:numPr>
          <w:ilvl w:val="0"/>
          <w:numId w:val="15"/>
        </w:numPr>
        <w:shd w:val="clear" w:color="auto" w:fill="FFFFFF" w:themeFill="background1"/>
        <w:rPr/>
      </w:pPr>
      <w:r>
        <w:rPr/>
        <w:t>Informácie o konsolidovanom celku</w:t>
      </w:r>
    </w:p>
    <w:p>
      <w:pPr>
        <w:pStyle w:val="Normal"/>
        <w:shd w:val="clear" w:color="auto" w:fill="FFFFFF" w:themeFill="background1"/>
        <w:rPr/>
      </w:pPr>
      <w:r>
        <w:rPr/>
      </w:r>
    </w:p>
    <w:p>
      <w:pPr>
        <w:pStyle w:val="Telotextu"/>
        <w:shd w:val="clear" w:color="auto" w:fill="FFFFFF" w:themeFill="background1"/>
        <w:rPr/>
      </w:pPr>
      <w:r>
        <w:rPr/>
        <w:t xml:space="preserve">Spoločnosť nie je </w:t>
      </w:r>
      <w:r>
        <w:rPr>
          <w:shd w:fill="auto" w:val="clear"/>
        </w:rPr>
        <w:t>súčasťou konsolidovaného celku</w:t>
      </w:r>
      <w:r>
        <w:rPr/>
        <w:t xml:space="preserve">.  </w:t>
      </w:r>
    </w:p>
    <w:p>
      <w:pPr>
        <w:pStyle w:val="Telotextu"/>
        <w:shd w:val="clear" w:color="auto" w:fill="FFFFFF" w:themeFill="background1"/>
        <w:rPr/>
      </w:pPr>
      <w:r>
        <w:rPr/>
      </w:r>
    </w:p>
    <w:p>
      <w:pPr>
        <w:pStyle w:val="Telotextu"/>
        <w:shd w:val="clear" w:color="auto" w:fill="FFFFFF" w:themeFill="background1"/>
        <w:rPr/>
      </w:pPr>
      <w:r>
        <w:rPr/>
      </w:r>
    </w:p>
    <w:p>
      <w:pPr>
        <w:pStyle w:val="Telotextu"/>
        <w:shd w:val="clear" w:color="auto" w:fill="FFFFFF" w:themeFill="background1"/>
        <w:rPr/>
      </w:pPr>
      <w:r>
        <w:rPr/>
      </w:r>
      <w:bookmarkStart w:id="0" w:name="_Toc530739896"/>
      <w:bookmarkStart w:id="1" w:name="_Toc530739896"/>
      <w:bookmarkEnd w:id="1"/>
    </w:p>
    <w:p>
      <w:pPr>
        <w:pStyle w:val="Nadpis2"/>
        <w:numPr>
          <w:ilvl w:val="0"/>
          <w:numId w:val="3"/>
        </w:numPr>
        <w:shd w:val="clear" w:color="auto" w:fill="FFFFFF" w:themeFill="background1"/>
        <w:rPr/>
      </w:pPr>
      <w:r>
        <w:rPr/>
        <w:t xml:space="preserve">Priemerný prepočítaný počet zamestnancov: </w:t>
      </w:r>
    </w:p>
    <w:p>
      <w:pPr>
        <w:pStyle w:val="Telotextu"/>
        <w:shd w:val="clear" w:color="auto" w:fill="FFFFFF" w:themeFill="background1"/>
        <w:rPr/>
      </w:pPr>
      <w:r>
        <w:rPr/>
      </w:r>
    </w:p>
    <w:p>
      <w:pPr>
        <w:pStyle w:val="Telotextu"/>
        <w:shd w:val="clear" w:color="auto" w:fill="FFFFFF" w:themeFill="background1"/>
        <w:rPr>
          <w:highlight w:val="none"/>
          <w:shd w:fill="auto" w:val="clear"/>
        </w:rPr>
      </w:pPr>
      <w:r>
        <w:rPr>
          <w:shd w:fill="auto" w:val="clear"/>
        </w:rPr>
        <w:t xml:space="preserve">Za bežné účtovné obdobie predstavoval priemerný prepočítaný počet bol:  </w:t>
      </w:r>
      <w:r>
        <w:rPr>
          <w:shd w:fill="auto" w:val="clear"/>
        </w:rPr>
        <w:t>9</w:t>
      </w:r>
    </w:p>
    <w:p>
      <w:pPr>
        <w:pStyle w:val="Telotextu"/>
        <w:shd w:val="clear" w:color="auto" w:fill="FFFFFF" w:themeFill="background1"/>
        <w:rPr/>
      </w:pPr>
      <w:r>
        <w:rPr/>
      </w:r>
    </w:p>
    <w:p>
      <w:pPr>
        <w:pStyle w:val="Telotextu"/>
        <w:shd w:val="clear" w:color="auto" w:fill="FFFFFF" w:themeFill="background1"/>
        <w:ind w:left="0" w:hanging="0"/>
        <w:rPr>
          <w:b/>
          <w:b/>
          <w:bCs/>
        </w:rPr>
      </w:pPr>
      <w:r>
        <w:rPr>
          <w:b/>
          <w:bCs/>
        </w:rPr>
        <w:t xml:space="preserve">         </w:t>
      </w:r>
    </w:p>
    <w:p>
      <w:pPr>
        <w:pStyle w:val="Nadpis1"/>
        <w:numPr>
          <w:ilvl w:val="0"/>
          <w:numId w:val="2"/>
        </w:numPr>
        <w:shd w:val="clear" w:color="auto" w:fill="FFFFFF" w:themeFill="background1"/>
        <w:ind w:left="360" w:hanging="360"/>
        <w:rPr/>
      </w:pPr>
      <w:r>
        <w:rPr/>
        <w:t>informácia  o  prijatých  postupoch .</w:t>
      </w:r>
    </w:p>
    <w:p>
      <w:pPr>
        <w:pStyle w:val="Telotextu"/>
        <w:shd w:val="clear" w:color="auto" w:fill="FFFFFF" w:themeFill="background1"/>
        <w:rPr/>
      </w:pPr>
      <w:r>
        <w:rPr/>
      </w:r>
    </w:p>
    <w:p>
      <w:pPr>
        <w:pStyle w:val="Telotextu"/>
        <w:shd w:val="clear" w:color="auto" w:fill="FFFFFF" w:themeFill="background1"/>
        <w:rPr/>
      </w:pPr>
      <w:r>
        <w:rPr/>
      </w:r>
    </w:p>
    <w:p>
      <w:pPr>
        <w:pStyle w:val="Telotextu"/>
        <w:shd w:val="clear" w:color="auto" w:fill="FFFFFF" w:themeFill="background1"/>
        <w:rPr/>
      </w:pPr>
      <w:r>
        <w:rPr/>
      </w:r>
    </w:p>
    <w:p>
      <w:pPr>
        <w:pStyle w:val="Nadpis2"/>
        <w:numPr>
          <w:ilvl w:val="0"/>
          <w:numId w:val="16"/>
        </w:numPr>
        <w:shd w:val="clear" w:color="auto" w:fill="FFFFFF" w:themeFill="background1"/>
        <w:rPr/>
      </w:pPr>
      <w:r>
        <w:rPr/>
        <w:t>Východiská pre zostavenie účtovnej závierky</w:t>
      </w:r>
    </w:p>
    <w:p>
      <w:pPr>
        <w:pStyle w:val="Telotextu"/>
        <w:shd w:val="clear" w:color="auto" w:fill="FFFFFF" w:themeFill="background1"/>
        <w:ind w:left="450" w:hanging="0"/>
        <w:rPr/>
      </w:pPr>
      <w:r>
        <w:rPr/>
        <w:t xml:space="preserve">Účtovná závierka bola zostavená za predpokladu, že Spoločnosť bude nepretržite pokračovať vo svojej činnosti </w:t>
      </w:r>
    </w:p>
    <w:p>
      <w:pPr>
        <w:pStyle w:val="Telotextu"/>
        <w:shd w:val="clear" w:color="auto" w:fill="FFFFFF" w:themeFill="background1"/>
        <w:ind w:left="450" w:hanging="0"/>
        <w:rPr/>
      </w:pPr>
      <w:r>
        <w:rPr/>
      </w:r>
    </w:p>
    <w:p>
      <w:pPr>
        <w:pStyle w:val="Nadpis2"/>
        <w:numPr>
          <w:ilvl w:val="0"/>
          <w:numId w:val="17"/>
        </w:numPr>
        <w:shd w:val="clear" w:color="auto" w:fill="FFFFFF" w:themeFill="background1"/>
        <w:rPr/>
      </w:pPr>
      <w:r>
        <w:rPr/>
        <w:t>Spôsob oceňovania jednotlivých položiek majetku a záväzkov</w:t>
      </w:r>
    </w:p>
    <w:p>
      <w:pPr>
        <w:pStyle w:val="Normal"/>
        <w:shd w:val="clear" w:color="auto" w:fill="FFFFFF" w:themeFill="background1"/>
        <w:rPr/>
      </w:pPr>
      <w:r>
        <w:rPr/>
      </w:r>
    </w:p>
    <w:p>
      <w:pPr>
        <w:pStyle w:val="Pismenka"/>
        <w:numPr>
          <w:ilvl w:val="0"/>
          <w:numId w:val="5"/>
        </w:numPr>
        <w:shd w:val="clear" w:color="auto" w:fill="FFFFFF" w:themeFill="background1"/>
        <w:ind w:left="709" w:hanging="360"/>
        <w:rPr/>
      </w:pPr>
      <w:r>
        <w:rPr/>
        <w:t>Dlhodobý nehmotný majetok a dlhodobý hmotný majetok</w:t>
      </w:r>
    </w:p>
    <w:p>
      <w:pPr>
        <w:pStyle w:val="Telotextu"/>
        <w:shd w:val="clear" w:color="auto" w:fill="FFFFFF" w:themeFill="background1"/>
        <w:ind w:left="720" w:hanging="0"/>
        <w:rPr/>
      </w:pPr>
      <w:r>
        <w:rPr/>
        <w:t xml:space="preserve">Dlhodobý majetok nakupovaný sa oceňuje obstarávacou cenou, ktorá zahŕňa cenu obstarania a náklady súvisiace s obstaraním (clo, prepravu, montáž, poistné a pod.). </w:t>
      </w:r>
    </w:p>
    <w:p>
      <w:pPr>
        <w:pStyle w:val="Telotextu"/>
        <w:shd w:val="clear" w:color="auto" w:fill="FFFFFF" w:themeFill="background1"/>
        <w:rPr/>
      </w:pPr>
      <w:r>
        <w:rPr/>
      </w:r>
    </w:p>
    <w:p>
      <w:pPr>
        <w:pStyle w:val="Telotextu"/>
        <w:shd w:val="clear" w:color="auto" w:fill="FFFFFF" w:themeFill="background1"/>
        <w:ind w:left="720" w:hanging="0"/>
        <w:rPr/>
      </w:pPr>
      <w:r>
        <w:rPr/>
        <w:t>Súčasťou obstarávacej ceny dlhodobého hmotného majetku nie sú úroky z cudzích zdrojov ani realizované kurzové rozdiely, ktoré vznikli do momentu uvedenia dlhodobého majetku do používania.</w:t>
      </w:r>
    </w:p>
    <w:p>
      <w:pPr>
        <w:pStyle w:val="Telotextu"/>
        <w:shd w:val="clear" w:color="auto" w:fill="FFFFFF" w:themeFill="background1"/>
        <w:rPr/>
      </w:pPr>
      <w:r>
        <w:rPr/>
      </w:r>
    </w:p>
    <w:p>
      <w:pPr>
        <w:pStyle w:val="Telotextu"/>
        <w:shd w:val="clear" w:color="auto" w:fill="FFFFFF" w:themeFill="background1"/>
        <w:ind w:left="720" w:hanging="0"/>
        <w:rPr/>
      </w:pPr>
      <w:r>
        <w:rPr/>
        <w:t>Súčasťou obstarávacej ceny dlhodobého nehmotného majetku nie sú úroky z cudzích zdrojov, ktoré vznikli do momentu zaradenia dlhodobého nehmotného majetku do používania.</w:t>
      </w:r>
    </w:p>
    <w:p>
      <w:pPr>
        <w:pStyle w:val="Telotextu"/>
        <w:shd w:val="clear" w:color="auto" w:fill="FFFFFF" w:themeFill="background1"/>
        <w:rPr/>
      </w:pPr>
      <w:r>
        <w:rPr/>
      </w:r>
    </w:p>
    <w:p>
      <w:pPr>
        <w:pStyle w:val="Telotextu"/>
        <w:shd w:val="clear" w:color="auto" w:fill="FFFFFF" w:themeFill="background1"/>
        <w:ind w:left="720" w:hanging="0"/>
        <w:rPr/>
      </w:pPr>
      <w:r>
        <w:rPr/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>
      <w:pPr>
        <w:pStyle w:val="Normal"/>
        <w:shd w:val="clear" w:color="auto" w:fill="FFFFFF" w:themeFill="background1"/>
        <w:rPr/>
      </w:pPr>
      <w:r>
        <w:rPr/>
      </w:r>
    </w:p>
    <w:p>
      <w:pPr>
        <w:pStyle w:val="Pismenka"/>
        <w:numPr>
          <w:ilvl w:val="0"/>
          <w:numId w:val="5"/>
        </w:numPr>
        <w:shd w:val="clear" w:color="auto" w:fill="FFFFFF" w:themeFill="background1"/>
        <w:ind w:left="709" w:hanging="360"/>
        <w:rPr/>
      </w:pPr>
      <w:r>
        <w:rPr/>
        <w:t xml:space="preserve">Zásoby </w:t>
      </w:r>
    </w:p>
    <w:p>
      <w:pPr>
        <w:pStyle w:val="Telotextu"/>
        <w:shd w:val="clear" w:color="auto" w:fill="FFFFFF" w:themeFill="background1"/>
        <w:ind w:left="720" w:hanging="0"/>
        <w:rPr/>
      </w:pPr>
      <w:r>
        <w:rPr/>
        <w:t>Zásoby sa oceňujú obstarávacou cenou.</w:t>
      </w:r>
    </w:p>
    <w:p>
      <w:pPr>
        <w:pStyle w:val="Telotextu"/>
        <w:shd w:val="clear" w:color="auto" w:fill="FFFFFF" w:themeFill="background1"/>
        <w:rPr/>
      </w:pPr>
      <w:r>
        <w:rPr/>
      </w:r>
    </w:p>
    <w:p>
      <w:pPr>
        <w:pStyle w:val="Telotextu"/>
        <w:shd w:val="clear" w:color="auto" w:fill="FFFFFF" w:themeFill="background1"/>
        <w:ind w:left="720" w:hanging="0"/>
        <w:rPr/>
      </w:pPr>
      <w:r>
        <w:rPr/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>
      <w:pPr>
        <w:pStyle w:val="Telotextu"/>
        <w:shd w:val="clear" w:color="auto" w:fill="FFFFFF" w:themeFill="background1"/>
        <w:rPr/>
      </w:pPr>
      <w:r>
        <w:rPr/>
      </w:r>
    </w:p>
    <w:p>
      <w:pPr>
        <w:pStyle w:val="Telotextu"/>
        <w:shd w:val="clear" w:color="auto" w:fill="FFFFFF" w:themeFill="background1"/>
        <w:ind w:left="720" w:hanging="0"/>
        <w:rPr/>
      </w:pPr>
      <w:r>
        <w:rPr/>
        <w:t>Zníženie hodnoty zásob sa zohľadňuje vytvorením opravnej položky.</w:t>
      </w:r>
    </w:p>
    <w:p>
      <w:pPr>
        <w:pStyle w:val="Telotextu"/>
        <w:shd w:val="clear" w:color="auto" w:fill="FFFFFF" w:themeFill="background1"/>
        <w:ind w:left="720" w:hanging="0"/>
        <w:rPr/>
      </w:pPr>
      <w:r>
        <w:rPr/>
      </w:r>
    </w:p>
    <w:p>
      <w:pPr>
        <w:pStyle w:val="Telotextu"/>
        <w:shd w:val="clear" w:color="auto" w:fill="FFFFFF" w:themeFill="background1"/>
        <w:ind w:left="720" w:hanging="0"/>
        <w:rPr/>
      </w:pPr>
      <w:r>
        <w:rPr/>
      </w:r>
    </w:p>
    <w:p>
      <w:pPr>
        <w:pStyle w:val="Pismenka"/>
        <w:numPr>
          <w:ilvl w:val="0"/>
          <w:numId w:val="5"/>
        </w:numPr>
        <w:shd w:val="clear" w:color="auto" w:fill="FFFFFF" w:themeFill="background1"/>
        <w:ind w:left="709" w:hanging="360"/>
        <w:rPr/>
      </w:pPr>
      <w:r>
        <w:rPr/>
        <w:t>Pohľadávky</w:t>
      </w:r>
    </w:p>
    <w:p>
      <w:pPr>
        <w:pStyle w:val="Telotextu"/>
        <w:shd w:val="clear" w:color="auto" w:fill="FFFFFF" w:themeFill="background1"/>
        <w:ind w:left="720" w:hanging="0"/>
        <w:rPr/>
      </w:pPr>
      <w:r>
        <w:rPr/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>
      <w:pPr>
        <w:pStyle w:val="Telotextu"/>
        <w:shd w:val="clear" w:color="auto" w:fill="FFFFFF" w:themeFill="background1"/>
        <w:ind w:left="720" w:hanging="0"/>
        <w:rPr/>
      </w:pPr>
      <w:r>
        <w:rPr/>
      </w:r>
    </w:p>
    <w:p>
      <w:pPr>
        <w:pStyle w:val="Pismenka"/>
        <w:numPr>
          <w:ilvl w:val="0"/>
          <w:numId w:val="5"/>
        </w:numPr>
        <w:shd w:val="clear" w:color="auto" w:fill="FFFFFF" w:themeFill="background1"/>
        <w:ind w:left="709" w:hanging="360"/>
        <w:rPr/>
      </w:pPr>
      <w:r>
        <w:rPr/>
        <w:t>Krátkodobý finančný majetok</w:t>
      </w:r>
    </w:p>
    <w:p>
      <w:pPr>
        <w:pStyle w:val="Telotextu"/>
        <w:shd w:val="clear" w:color="auto" w:fill="FFFFFF" w:themeFill="background1"/>
        <w:ind w:left="720" w:hanging="0"/>
        <w:rPr/>
      </w:pPr>
      <w:r>
        <w:rPr/>
        <w:t>Peňažné prostriedky a ceniny sa oceňujú ich menovitou hodnotou. Zníženie ich hodnoty sa vyjadruje opravnou položkou.</w:t>
      </w:r>
    </w:p>
    <w:p>
      <w:pPr>
        <w:pStyle w:val="Pismenka"/>
        <w:numPr>
          <w:ilvl w:val="0"/>
          <w:numId w:val="0"/>
        </w:numPr>
        <w:shd w:val="clear" w:color="auto" w:fill="FFFFFF" w:themeFill="background1"/>
        <w:ind w:left="360" w:hanging="0"/>
        <w:rPr/>
      </w:pPr>
      <w:r>
        <w:rPr/>
      </w:r>
    </w:p>
    <w:p>
      <w:pPr>
        <w:pStyle w:val="Pismenka"/>
        <w:numPr>
          <w:ilvl w:val="0"/>
          <w:numId w:val="5"/>
        </w:numPr>
        <w:shd w:val="clear" w:color="auto" w:fill="FFFFFF" w:themeFill="background1"/>
        <w:ind w:left="709" w:hanging="360"/>
        <w:rPr/>
      </w:pPr>
      <w:r>
        <w:rPr/>
        <w:t>Záväzky vrátane rezerv, dlhopisov, pôžičiek a úverov</w:t>
      </w:r>
    </w:p>
    <w:p>
      <w:pPr>
        <w:pStyle w:val="Pismenka"/>
        <w:numPr>
          <w:ilvl w:val="0"/>
          <w:numId w:val="0"/>
        </w:numPr>
        <w:shd w:val="clear" w:color="auto" w:fill="FFFFFF" w:themeFill="background1"/>
        <w:ind w:left="720" w:hanging="0"/>
        <w:rPr>
          <w:b w:val="false"/>
          <w:b w:val="false"/>
        </w:rPr>
      </w:pPr>
      <w:r>
        <w:rPr>
          <w:b w:val="false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>
      <w:pPr>
        <w:pStyle w:val="Telotextu"/>
        <w:shd w:val="clear" w:color="auto" w:fill="FFFFFF" w:themeFill="background1"/>
        <w:ind w:left="720" w:hanging="0"/>
        <w:rPr/>
      </w:pPr>
      <w:r>
        <w:rPr/>
        <w:t>Rezervy sú záväzky s neurčitým časovým vymedzením alebo výškou; tvoria sa na krytie známych rizík alebo strát z podnikania. Oceňujú sa v očakávanej výške záväzku.</w:t>
      </w:r>
    </w:p>
    <w:p>
      <w:pPr>
        <w:pStyle w:val="Telotextu"/>
        <w:shd w:val="clear" w:color="auto" w:fill="FFFFFF" w:themeFill="background1"/>
        <w:ind w:left="720" w:hanging="0"/>
        <w:rPr>
          <w:sz w:val="24"/>
        </w:rPr>
      </w:pPr>
      <w:r>
        <w:rPr>
          <w:sz w:val="24"/>
        </w:rPr>
      </w:r>
    </w:p>
    <w:p>
      <w:pPr>
        <w:pStyle w:val="Telotextu"/>
        <w:shd w:val="clear" w:color="auto" w:fill="FFFFFF" w:themeFill="background1"/>
        <w:ind w:left="450" w:hanging="0"/>
        <w:rPr/>
      </w:pPr>
      <w:r>
        <w:rPr/>
      </w:r>
    </w:p>
    <w:p>
      <w:pPr>
        <w:pStyle w:val="Nadpis2"/>
        <w:numPr>
          <w:ilvl w:val="0"/>
          <w:numId w:val="18"/>
        </w:numPr>
        <w:shd w:val="clear" w:color="auto" w:fill="FFFFFF" w:themeFill="background1"/>
        <w:rPr/>
      </w:pPr>
      <w:r>
        <w:rPr/>
        <w:t>Tvorba odpisovaného plánu</w:t>
      </w:r>
    </w:p>
    <w:p>
      <w:pPr>
        <w:pStyle w:val="Telotextu"/>
        <w:shd w:val="clear" w:color="auto" w:fill="FFFFFF" w:themeFill="background1"/>
        <w:rPr/>
      </w:pPr>
      <w:r>
        <w:rPr/>
      </w:r>
    </w:p>
    <w:p>
      <w:pPr>
        <w:pStyle w:val="Telotextu"/>
        <w:shd w:val="clear" w:color="auto" w:fill="FFFFFF" w:themeFill="background1"/>
        <w:rPr/>
      </w:pPr>
      <w:r>
        <w:rPr/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2 400 EUR a nižšia, sa odpisuje jednorazovo pri uvedení do používania. </w:t>
      </w:r>
    </w:p>
    <w:p>
      <w:pPr>
        <w:pStyle w:val="Telotextu"/>
        <w:shd w:val="clear" w:color="auto" w:fill="FFFFFF" w:themeFill="background1"/>
        <w:rPr/>
      </w:pPr>
      <w:r>
        <w:rPr/>
      </w:r>
    </w:p>
    <w:p>
      <w:pPr>
        <w:pStyle w:val="Telotextu"/>
        <w:shd w:val="clear" w:color="auto" w:fill="FFFFFF" w:themeFill="background1"/>
        <w:rPr/>
      </w:pPr>
      <w:r>
        <w:rPr/>
        <w:t>Odpisy dlhodobého hmotného majetku sú stanovené vychádzajúc z predpokladanej doby jeho používania a predpokladaného priebehu jeho opotrebenia. Odpisovať sa začína prvým dňom mesiaca uvedení dlhodobého majetku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>
      <w:pPr>
        <w:pStyle w:val="Telotextu"/>
        <w:shd w:val="clear" w:color="auto" w:fill="FFFFFF" w:themeFill="background1"/>
        <w:rPr/>
      </w:pPr>
      <w:r>
        <w:rPr/>
      </w:r>
    </w:p>
    <w:tbl>
      <w:tblPr>
        <w:tblW w:w="8789" w:type="dxa"/>
        <w:jc w:val="left"/>
        <w:tblInd w:w="456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firstRow="0" w:noVBand="0" w:lastRow="0" w:firstColumn="0" w:lastColumn="0" w:noHBand="0" w:val="0000"/>
      </w:tblPr>
      <w:tblGrid>
        <w:gridCol w:w="2975"/>
        <w:gridCol w:w="143"/>
        <w:gridCol w:w="1985"/>
        <w:gridCol w:w="141"/>
        <w:gridCol w:w="1701"/>
        <w:gridCol w:w="142"/>
        <w:gridCol w:w="1701"/>
      </w:tblGrid>
      <w:tr>
        <w:trPr>
          <w:trHeight w:val="250" w:hRule="atLeast"/>
        </w:trPr>
        <w:tc>
          <w:tcPr>
            <w:tcW w:w="3118" w:type="dxa"/>
            <w:gridSpan w:val="2"/>
            <w:tcBorders/>
          </w:tcPr>
          <w:p>
            <w:pPr>
              <w:pStyle w:val="Tabulka"/>
              <w:widowControl w:val="false"/>
              <w:shd w:val="clear" w:color="auto" w:fill="FFFFFF" w:themeFill="background1"/>
              <w:rPr/>
            </w:pPr>
            <w:r>
              <w:rPr/>
            </w:r>
          </w:p>
        </w:tc>
        <w:tc>
          <w:tcPr>
            <w:tcW w:w="1985" w:type="dxa"/>
            <w:tcBorders/>
          </w:tcPr>
          <w:p>
            <w:pPr>
              <w:pStyle w:val="Tabulka"/>
              <w:widowControl w:val="false"/>
              <w:shd w:val="clear" w:color="auto" w:fill="FFFFFF" w:themeFill="background1"/>
              <w:jc w:val="center"/>
              <w:rPr/>
            </w:pPr>
            <w:r>
              <w:rPr/>
              <w:t>Predpokladaná</w:t>
            </w:r>
          </w:p>
        </w:tc>
        <w:tc>
          <w:tcPr>
            <w:tcW w:w="141" w:type="dxa"/>
            <w:tcBorders/>
          </w:tcPr>
          <w:p>
            <w:pPr>
              <w:pStyle w:val="Tabulka"/>
              <w:widowControl w:val="false"/>
              <w:shd w:val="clear" w:color="auto" w:fill="FFFFFF" w:themeFill="background1"/>
              <w:jc w:val="center"/>
              <w:rPr/>
            </w:pPr>
            <w:r>
              <w:rPr/>
            </w:r>
          </w:p>
        </w:tc>
        <w:tc>
          <w:tcPr>
            <w:tcW w:w="1701" w:type="dxa"/>
            <w:tcBorders/>
          </w:tcPr>
          <w:p>
            <w:pPr>
              <w:pStyle w:val="Tabulka"/>
              <w:widowControl w:val="false"/>
              <w:shd w:val="clear" w:color="auto" w:fill="FFFFFF" w:themeFill="background1"/>
              <w:jc w:val="center"/>
              <w:rPr/>
            </w:pPr>
            <w:r>
              <w:rPr/>
              <w:t>Metóda</w:t>
            </w:r>
          </w:p>
        </w:tc>
        <w:tc>
          <w:tcPr>
            <w:tcW w:w="142" w:type="dxa"/>
            <w:tcBorders/>
          </w:tcPr>
          <w:p>
            <w:pPr>
              <w:pStyle w:val="Tabulka"/>
              <w:widowControl w:val="false"/>
              <w:shd w:val="clear" w:color="auto" w:fill="FFFFFF" w:themeFill="background1"/>
              <w:jc w:val="center"/>
              <w:rPr/>
            </w:pPr>
            <w:r>
              <w:rPr/>
            </w:r>
          </w:p>
        </w:tc>
        <w:tc>
          <w:tcPr>
            <w:tcW w:w="1701" w:type="dxa"/>
            <w:tcBorders/>
          </w:tcPr>
          <w:p>
            <w:pPr>
              <w:pStyle w:val="Tabulka"/>
              <w:widowControl w:val="false"/>
              <w:shd w:val="clear" w:color="auto" w:fill="FFFFFF" w:themeFill="background1"/>
              <w:jc w:val="center"/>
              <w:rPr/>
            </w:pPr>
            <w:r>
              <w:rPr/>
              <w:t>Ročná odpisová</w:t>
            </w:r>
          </w:p>
        </w:tc>
      </w:tr>
      <w:tr>
        <w:trPr>
          <w:trHeight w:val="250" w:hRule="atLeast"/>
        </w:trPr>
        <w:tc>
          <w:tcPr>
            <w:tcW w:w="2975" w:type="dxa"/>
            <w:tcBorders>
              <w:bottom w:val="single" w:sz="4" w:space="0" w:color="000000"/>
            </w:tcBorders>
          </w:tcPr>
          <w:p>
            <w:pPr>
              <w:pStyle w:val="Tabulka"/>
              <w:widowControl w:val="false"/>
              <w:shd w:val="clear" w:color="auto" w:fill="FFFFFF" w:themeFill="background1"/>
              <w:rPr/>
            </w:pPr>
            <w:r>
              <w:rPr/>
            </w:r>
          </w:p>
        </w:tc>
        <w:tc>
          <w:tcPr>
            <w:tcW w:w="143" w:type="dxa"/>
            <w:tcBorders>
              <w:bottom w:val="single" w:sz="4" w:space="0" w:color="000000"/>
            </w:tcBorders>
          </w:tcPr>
          <w:p>
            <w:pPr>
              <w:pStyle w:val="Tabulka"/>
              <w:widowControl w:val="false"/>
              <w:shd w:val="clear" w:color="auto" w:fill="FFFFFF" w:themeFill="background1"/>
              <w:rPr/>
            </w:pPr>
            <w:r>
              <w:rPr/>
            </w:r>
          </w:p>
        </w:tc>
        <w:tc>
          <w:tcPr>
            <w:tcW w:w="1985" w:type="dxa"/>
            <w:tcBorders>
              <w:bottom w:val="single" w:sz="4" w:space="0" w:color="000000"/>
            </w:tcBorders>
          </w:tcPr>
          <w:p>
            <w:pPr>
              <w:pStyle w:val="Tabulka"/>
              <w:widowControl w:val="false"/>
              <w:shd w:val="clear" w:color="auto" w:fill="FFFFFF" w:themeFill="background1"/>
              <w:jc w:val="center"/>
              <w:rPr/>
            </w:pPr>
            <w:r>
              <w:rPr/>
              <w:t>doba používania v rokoch</w:t>
            </w:r>
          </w:p>
        </w:tc>
        <w:tc>
          <w:tcPr>
            <w:tcW w:w="141" w:type="dxa"/>
            <w:tcBorders>
              <w:bottom w:val="single" w:sz="4" w:space="0" w:color="000000"/>
            </w:tcBorders>
          </w:tcPr>
          <w:p>
            <w:pPr>
              <w:pStyle w:val="Tabulka"/>
              <w:widowControl w:val="false"/>
              <w:shd w:val="clear" w:color="auto" w:fill="FFFFFF" w:themeFill="background1"/>
              <w:jc w:val="center"/>
              <w:rPr/>
            </w:pPr>
            <w:r>
              <w:rPr/>
            </w:r>
          </w:p>
        </w:tc>
        <w:tc>
          <w:tcPr>
            <w:tcW w:w="1701" w:type="dxa"/>
            <w:tcBorders>
              <w:bottom w:val="single" w:sz="4" w:space="0" w:color="000000"/>
            </w:tcBorders>
          </w:tcPr>
          <w:p>
            <w:pPr>
              <w:pStyle w:val="Tabulka"/>
              <w:widowControl w:val="false"/>
              <w:shd w:val="clear" w:color="auto" w:fill="FFFFFF" w:themeFill="background1"/>
              <w:jc w:val="center"/>
              <w:rPr/>
            </w:pPr>
            <w:r>
              <w:rPr/>
              <w:t>odpisovania</w:t>
            </w:r>
          </w:p>
        </w:tc>
        <w:tc>
          <w:tcPr>
            <w:tcW w:w="142" w:type="dxa"/>
            <w:tcBorders>
              <w:bottom w:val="single" w:sz="4" w:space="0" w:color="000000"/>
            </w:tcBorders>
          </w:tcPr>
          <w:p>
            <w:pPr>
              <w:pStyle w:val="Tabulka"/>
              <w:widowControl w:val="false"/>
              <w:shd w:val="clear" w:color="auto" w:fill="FFFFFF" w:themeFill="background1"/>
              <w:jc w:val="center"/>
              <w:rPr/>
            </w:pPr>
            <w:r>
              <w:rPr/>
            </w:r>
          </w:p>
        </w:tc>
        <w:tc>
          <w:tcPr>
            <w:tcW w:w="1701" w:type="dxa"/>
            <w:tcBorders>
              <w:bottom w:val="single" w:sz="4" w:space="0" w:color="000000"/>
            </w:tcBorders>
          </w:tcPr>
          <w:p>
            <w:pPr>
              <w:pStyle w:val="Tabulka"/>
              <w:widowControl w:val="false"/>
              <w:shd w:val="clear" w:color="auto" w:fill="FFFFFF" w:themeFill="background1"/>
              <w:jc w:val="center"/>
              <w:rPr/>
            </w:pPr>
            <w:r>
              <w:rPr/>
              <w:t>sadzba v %</w:t>
            </w:r>
          </w:p>
        </w:tc>
      </w:tr>
      <w:tr>
        <w:trPr>
          <w:trHeight w:val="250" w:hRule="atLeast"/>
        </w:trPr>
        <w:tc>
          <w:tcPr>
            <w:tcW w:w="3118" w:type="dxa"/>
            <w:gridSpan w:val="2"/>
            <w:tcBorders>
              <w:top w:val="single" w:sz="4" w:space="0" w:color="000000"/>
            </w:tcBorders>
            <w:shd w:color="auto" w:fill="FFFFFF" w:themeFill="background1" w:val="clear"/>
          </w:tcPr>
          <w:p>
            <w:pPr>
              <w:pStyle w:val="Tabulka"/>
              <w:widowControl w:val="false"/>
              <w:shd w:val="clear" w:color="auto" w:fill="FFFFFF" w:themeFill="background1"/>
              <w:rPr>
                <w:highlight w:val="none"/>
                <w:shd w:fill="auto" w:val="clear"/>
              </w:rPr>
            </w:pPr>
            <w:r>
              <w:rPr>
                <w:shd w:fill="auto" w:val="clear"/>
              </w:rPr>
              <w:t>Stavby</w:t>
            </w:r>
          </w:p>
        </w:tc>
        <w:tc>
          <w:tcPr>
            <w:tcW w:w="1985" w:type="dxa"/>
            <w:tcBorders>
              <w:top w:val="single" w:sz="4" w:space="0" w:color="000000"/>
            </w:tcBorders>
            <w:shd w:color="auto" w:fill="FFFFFF" w:themeFill="background1" w:val="clear"/>
          </w:tcPr>
          <w:p>
            <w:pPr>
              <w:pStyle w:val="Tabulka"/>
              <w:widowControl w:val="false"/>
              <w:shd w:val="clear" w:color="auto" w:fill="FFFFFF" w:themeFill="background1"/>
              <w:jc w:val="center"/>
              <w:rPr>
                <w:highlight w:val="none"/>
                <w:shd w:fill="auto" w:val="clear"/>
              </w:rPr>
            </w:pPr>
            <w:r>
              <w:rPr>
                <w:shd w:fill="auto" w:val="clear"/>
              </w:rPr>
              <w:t>20</w:t>
            </w:r>
          </w:p>
        </w:tc>
        <w:tc>
          <w:tcPr>
            <w:tcW w:w="141" w:type="dxa"/>
            <w:tcBorders>
              <w:top w:val="single" w:sz="4" w:space="0" w:color="000000"/>
            </w:tcBorders>
            <w:shd w:color="auto" w:fill="FFFFFF" w:themeFill="background1" w:val="clear"/>
          </w:tcPr>
          <w:p>
            <w:pPr>
              <w:pStyle w:val="Tabulka"/>
              <w:widowControl w:val="false"/>
              <w:shd w:val="clear" w:color="auto" w:fill="FFFFFF" w:themeFill="background1"/>
              <w:jc w:val="center"/>
              <w:rPr>
                <w:highlight w:val="none"/>
                <w:shd w:fill="auto" w:val="clear"/>
              </w:rPr>
            </w:pPr>
            <w:r>
              <w:rPr>
                <w:shd w:fill="auto" w:val="clear"/>
              </w:rPr>
            </w:r>
          </w:p>
        </w:tc>
        <w:tc>
          <w:tcPr>
            <w:tcW w:w="1701" w:type="dxa"/>
            <w:tcBorders>
              <w:top w:val="single" w:sz="4" w:space="0" w:color="000000"/>
            </w:tcBorders>
            <w:shd w:color="auto" w:fill="FFFFFF" w:themeFill="background1" w:val="clear"/>
          </w:tcPr>
          <w:p>
            <w:pPr>
              <w:pStyle w:val="Tabulka"/>
              <w:widowControl w:val="false"/>
              <w:shd w:val="clear" w:color="auto" w:fill="FFFFFF" w:themeFill="background1"/>
              <w:jc w:val="center"/>
              <w:rPr>
                <w:highlight w:val="none"/>
                <w:shd w:fill="auto" w:val="clear"/>
              </w:rPr>
            </w:pPr>
            <w:r>
              <w:rPr>
                <w:shd w:fill="auto" w:val="clear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000000"/>
            </w:tcBorders>
            <w:shd w:color="auto" w:fill="FFFFFF" w:themeFill="background1" w:val="clear"/>
          </w:tcPr>
          <w:p>
            <w:pPr>
              <w:pStyle w:val="Tabulka"/>
              <w:widowControl w:val="false"/>
              <w:shd w:val="clear" w:color="auto" w:fill="FFFFFF" w:themeFill="background1"/>
              <w:jc w:val="center"/>
              <w:rPr>
                <w:highlight w:val="none"/>
                <w:shd w:fill="auto" w:val="clear"/>
              </w:rPr>
            </w:pPr>
            <w:r>
              <w:rPr>
                <w:shd w:fill="auto" w:val="clear"/>
              </w:rPr>
            </w:r>
          </w:p>
        </w:tc>
        <w:tc>
          <w:tcPr>
            <w:tcW w:w="1701" w:type="dxa"/>
            <w:tcBorders>
              <w:top w:val="single" w:sz="4" w:space="0" w:color="000000"/>
            </w:tcBorders>
            <w:shd w:color="auto" w:fill="FFFFFF" w:themeFill="background1" w:val="clear"/>
          </w:tcPr>
          <w:p>
            <w:pPr>
              <w:pStyle w:val="Tabulka"/>
              <w:widowControl w:val="false"/>
              <w:shd w:val="clear" w:color="auto" w:fill="FFFFFF" w:themeFill="background1"/>
              <w:jc w:val="center"/>
              <w:rPr>
                <w:highlight w:val="none"/>
                <w:shd w:fill="auto" w:val="clear"/>
              </w:rPr>
            </w:pPr>
            <w:r>
              <w:rPr>
                <w:shd w:fill="auto" w:val="clear"/>
              </w:rPr>
              <w:t>5</w:t>
            </w:r>
          </w:p>
        </w:tc>
      </w:tr>
      <w:tr>
        <w:trPr>
          <w:trHeight w:val="250" w:hRule="atLeast"/>
        </w:trPr>
        <w:tc>
          <w:tcPr>
            <w:tcW w:w="3118" w:type="dxa"/>
            <w:gridSpan w:val="2"/>
            <w:tcBorders/>
            <w:shd w:color="auto" w:fill="FFFFFF" w:themeFill="background1" w:val="clear"/>
          </w:tcPr>
          <w:p>
            <w:pPr>
              <w:pStyle w:val="Tabulka"/>
              <w:widowControl w:val="false"/>
              <w:shd w:val="clear" w:color="auto" w:fill="FFFFFF" w:themeFill="background1"/>
              <w:rPr>
                <w:highlight w:val="none"/>
                <w:shd w:fill="auto" w:val="clear"/>
              </w:rPr>
            </w:pPr>
            <w:r>
              <w:rPr>
                <w:shd w:fill="auto" w:val="clear"/>
              </w:rPr>
              <w:t>Stroje, prístroje a zariadenia</w:t>
            </w:r>
          </w:p>
        </w:tc>
        <w:tc>
          <w:tcPr>
            <w:tcW w:w="1985" w:type="dxa"/>
            <w:tcBorders/>
            <w:shd w:color="auto" w:fill="FFFFFF" w:themeFill="background1" w:val="clear"/>
          </w:tcPr>
          <w:p>
            <w:pPr>
              <w:pStyle w:val="Tabulka"/>
              <w:widowControl w:val="false"/>
              <w:shd w:val="clear" w:color="auto" w:fill="FFFFFF" w:themeFill="background1"/>
              <w:jc w:val="center"/>
              <w:rPr>
                <w:highlight w:val="none"/>
                <w:shd w:fill="auto" w:val="clear"/>
              </w:rPr>
            </w:pPr>
            <w:r>
              <w:rPr>
                <w:shd w:fill="auto" w:val="clear"/>
              </w:rPr>
              <w:t>4 až 6</w:t>
            </w:r>
          </w:p>
        </w:tc>
        <w:tc>
          <w:tcPr>
            <w:tcW w:w="141" w:type="dxa"/>
            <w:tcBorders/>
            <w:shd w:color="auto" w:fill="FFFFFF" w:themeFill="background1" w:val="clear"/>
          </w:tcPr>
          <w:p>
            <w:pPr>
              <w:pStyle w:val="Tabulka"/>
              <w:widowControl w:val="false"/>
              <w:shd w:val="clear" w:color="auto" w:fill="FFFFFF" w:themeFill="background1"/>
              <w:jc w:val="center"/>
              <w:rPr>
                <w:highlight w:val="none"/>
                <w:shd w:fill="auto" w:val="clear"/>
              </w:rPr>
            </w:pPr>
            <w:r>
              <w:rPr>
                <w:shd w:fill="auto" w:val="clear"/>
              </w:rPr>
            </w:r>
          </w:p>
        </w:tc>
        <w:tc>
          <w:tcPr>
            <w:tcW w:w="1701" w:type="dxa"/>
            <w:tcBorders/>
            <w:shd w:color="auto" w:fill="FFFFFF" w:themeFill="background1" w:val="clear"/>
          </w:tcPr>
          <w:p>
            <w:pPr>
              <w:pStyle w:val="Tabulka"/>
              <w:widowControl w:val="false"/>
              <w:shd w:val="clear" w:color="auto" w:fill="FFFFFF" w:themeFill="background1"/>
              <w:jc w:val="center"/>
              <w:rPr>
                <w:highlight w:val="none"/>
                <w:shd w:fill="auto" w:val="clear"/>
              </w:rPr>
            </w:pPr>
            <w:r>
              <w:rPr>
                <w:shd w:fill="auto" w:val="clear"/>
              </w:rPr>
              <w:t>lineárna</w:t>
            </w:r>
          </w:p>
        </w:tc>
        <w:tc>
          <w:tcPr>
            <w:tcW w:w="142" w:type="dxa"/>
            <w:tcBorders/>
            <w:shd w:color="auto" w:fill="FFFFFF" w:themeFill="background1" w:val="clear"/>
          </w:tcPr>
          <w:p>
            <w:pPr>
              <w:pStyle w:val="Tabulka"/>
              <w:widowControl w:val="false"/>
              <w:shd w:val="clear" w:color="auto" w:fill="FFFFFF" w:themeFill="background1"/>
              <w:jc w:val="center"/>
              <w:rPr>
                <w:highlight w:val="none"/>
                <w:shd w:fill="auto" w:val="clear"/>
              </w:rPr>
            </w:pPr>
            <w:r>
              <w:rPr>
                <w:shd w:fill="auto" w:val="clear"/>
              </w:rPr>
            </w:r>
          </w:p>
        </w:tc>
        <w:tc>
          <w:tcPr>
            <w:tcW w:w="1701" w:type="dxa"/>
            <w:tcBorders/>
            <w:shd w:color="auto" w:fill="FFFFFF" w:themeFill="background1" w:val="clear"/>
          </w:tcPr>
          <w:p>
            <w:pPr>
              <w:pStyle w:val="Tabulka"/>
              <w:widowControl w:val="false"/>
              <w:shd w:val="clear" w:color="auto" w:fill="FFFFFF" w:themeFill="background1"/>
              <w:jc w:val="center"/>
              <w:rPr>
                <w:highlight w:val="none"/>
                <w:shd w:fill="auto" w:val="clear"/>
              </w:rPr>
            </w:pPr>
            <w:r>
              <w:rPr>
                <w:shd w:fill="auto" w:val="clear"/>
              </w:rPr>
              <w:t>16 až 25</w:t>
            </w:r>
          </w:p>
        </w:tc>
      </w:tr>
      <w:tr>
        <w:trPr>
          <w:trHeight w:val="250" w:hRule="atLeast"/>
        </w:trPr>
        <w:tc>
          <w:tcPr>
            <w:tcW w:w="3118" w:type="dxa"/>
            <w:gridSpan w:val="2"/>
            <w:tcBorders/>
            <w:shd w:color="auto" w:fill="FFFFFF" w:themeFill="background1" w:val="clear"/>
          </w:tcPr>
          <w:p>
            <w:pPr>
              <w:pStyle w:val="Tabulka"/>
              <w:widowControl w:val="false"/>
              <w:shd w:val="clear" w:color="auto" w:fill="FFFFFF" w:themeFill="background1"/>
              <w:rPr>
                <w:highlight w:val="none"/>
                <w:shd w:fill="auto" w:val="clear"/>
              </w:rPr>
            </w:pPr>
            <w:r>
              <w:rPr>
                <w:shd w:fill="auto" w:val="clear"/>
              </w:rPr>
              <w:t>Dopravné prostriedky</w:t>
            </w:r>
          </w:p>
        </w:tc>
        <w:tc>
          <w:tcPr>
            <w:tcW w:w="1985" w:type="dxa"/>
            <w:tcBorders/>
            <w:shd w:color="auto" w:fill="FFFFFF" w:themeFill="background1" w:val="clear"/>
          </w:tcPr>
          <w:p>
            <w:pPr>
              <w:pStyle w:val="Tabulka"/>
              <w:widowControl w:val="false"/>
              <w:shd w:val="clear" w:color="auto" w:fill="FFFFFF" w:themeFill="background1"/>
              <w:jc w:val="center"/>
              <w:rPr>
                <w:highlight w:val="none"/>
                <w:shd w:fill="auto" w:val="clear"/>
              </w:rPr>
            </w:pPr>
            <w:r>
              <w:rPr>
                <w:shd w:fill="auto" w:val="clear"/>
              </w:rPr>
              <w:t>3 až 4</w:t>
            </w:r>
          </w:p>
        </w:tc>
        <w:tc>
          <w:tcPr>
            <w:tcW w:w="141" w:type="dxa"/>
            <w:tcBorders/>
            <w:shd w:color="auto" w:fill="FFFFFF" w:themeFill="background1" w:val="clear"/>
          </w:tcPr>
          <w:p>
            <w:pPr>
              <w:pStyle w:val="Tabulka"/>
              <w:widowControl w:val="false"/>
              <w:shd w:val="clear" w:color="auto" w:fill="FFFFFF" w:themeFill="background1"/>
              <w:jc w:val="center"/>
              <w:rPr>
                <w:highlight w:val="none"/>
                <w:shd w:fill="auto" w:val="clear"/>
              </w:rPr>
            </w:pPr>
            <w:r>
              <w:rPr>
                <w:shd w:fill="auto" w:val="clear"/>
              </w:rPr>
            </w:r>
          </w:p>
        </w:tc>
        <w:tc>
          <w:tcPr>
            <w:tcW w:w="1701" w:type="dxa"/>
            <w:tcBorders/>
            <w:shd w:color="auto" w:fill="FFFFFF" w:themeFill="background1" w:val="clear"/>
          </w:tcPr>
          <w:p>
            <w:pPr>
              <w:pStyle w:val="Tabulka"/>
              <w:widowControl w:val="false"/>
              <w:shd w:val="clear" w:color="auto" w:fill="FFFFFF" w:themeFill="background1"/>
              <w:jc w:val="center"/>
              <w:rPr>
                <w:highlight w:val="none"/>
                <w:shd w:fill="auto" w:val="clear"/>
              </w:rPr>
            </w:pPr>
            <w:r>
              <w:rPr>
                <w:shd w:fill="auto" w:val="clear"/>
              </w:rPr>
              <w:t>lineárna</w:t>
            </w:r>
          </w:p>
        </w:tc>
        <w:tc>
          <w:tcPr>
            <w:tcW w:w="142" w:type="dxa"/>
            <w:tcBorders/>
            <w:shd w:color="auto" w:fill="FFFFFF" w:themeFill="background1" w:val="clear"/>
          </w:tcPr>
          <w:p>
            <w:pPr>
              <w:pStyle w:val="Tabulka"/>
              <w:widowControl w:val="false"/>
              <w:shd w:val="clear" w:color="auto" w:fill="FFFFFF" w:themeFill="background1"/>
              <w:jc w:val="center"/>
              <w:rPr>
                <w:highlight w:val="none"/>
                <w:shd w:fill="auto" w:val="clear"/>
              </w:rPr>
            </w:pPr>
            <w:r>
              <w:rPr>
                <w:shd w:fill="auto" w:val="clear"/>
              </w:rPr>
            </w:r>
          </w:p>
        </w:tc>
        <w:tc>
          <w:tcPr>
            <w:tcW w:w="1701" w:type="dxa"/>
            <w:tcBorders/>
            <w:shd w:color="auto" w:fill="FFFFFF" w:themeFill="background1" w:val="clear"/>
          </w:tcPr>
          <w:p>
            <w:pPr>
              <w:pStyle w:val="Tabulka"/>
              <w:widowControl w:val="false"/>
              <w:shd w:val="clear" w:color="auto" w:fill="FFFFFF" w:themeFill="background1"/>
              <w:jc w:val="center"/>
              <w:rPr>
                <w:highlight w:val="none"/>
                <w:shd w:fill="auto" w:val="clear"/>
              </w:rPr>
            </w:pPr>
            <w:r>
              <w:rPr>
                <w:shd w:fill="auto" w:val="clear"/>
              </w:rPr>
              <w:t>25 až 33</w:t>
            </w:r>
          </w:p>
        </w:tc>
      </w:tr>
      <w:tr>
        <w:trPr>
          <w:trHeight w:val="250" w:hRule="atLeast"/>
        </w:trPr>
        <w:tc>
          <w:tcPr>
            <w:tcW w:w="3118" w:type="dxa"/>
            <w:gridSpan w:val="2"/>
            <w:tcBorders/>
            <w:shd w:color="auto" w:fill="FFFFFF" w:themeFill="background1" w:val="clear"/>
          </w:tcPr>
          <w:p>
            <w:pPr>
              <w:pStyle w:val="Tabulka"/>
              <w:widowControl w:val="false"/>
              <w:shd w:val="clear" w:color="auto" w:fill="FFFFFF" w:themeFill="background1"/>
              <w:rPr>
                <w:highlight w:val="none"/>
                <w:shd w:fill="auto" w:val="clear"/>
              </w:rPr>
            </w:pPr>
            <w:r>
              <w:rPr>
                <w:shd w:fill="auto" w:val="clear"/>
              </w:rPr>
              <w:t>Drobný dlhodobý hmotný majetok</w:t>
            </w:r>
          </w:p>
        </w:tc>
        <w:tc>
          <w:tcPr>
            <w:tcW w:w="1985" w:type="dxa"/>
            <w:tcBorders/>
            <w:shd w:color="auto" w:fill="FFFFFF" w:themeFill="background1" w:val="clear"/>
          </w:tcPr>
          <w:p>
            <w:pPr>
              <w:pStyle w:val="Tabulka"/>
              <w:widowControl w:val="false"/>
              <w:shd w:val="clear" w:color="auto" w:fill="FFFFFF" w:themeFill="background1"/>
              <w:jc w:val="center"/>
              <w:rPr>
                <w:highlight w:val="none"/>
                <w:shd w:fill="auto" w:val="clear"/>
              </w:rPr>
            </w:pPr>
            <w:r>
              <w:rPr>
                <w:shd w:fill="auto" w:val="clear"/>
              </w:rPr>
              <w:t>rôzna</w:t>
            </w:r>
          </w:p>
        </w:tc>
        <w:tc>
          <w:tcPr>
            <w:tcW w:w="141" w:type="dxa"/>
            <w:tcBorders/>
            <w:shd w:color="auto" w:fill="FFFFFF" w:themeFill="background1" w:val="clear"/>
          </w:tcPr>
          <w:p>
            <w:pPr>
              <w:pStyle w:val="Tabulka"/>
              <w:widowControl w:val="false"/>
              <w:shd w:val="clear" w:color="auto" w:fill="FFFFFF" w:themeFill="background1"/>
              <w:jc w:val="center"/>
              <w:rPr>
                <w:highlight w:val="none"/>
                <w:shd w:fill="auto" w:val="clear"/>
              </w:rPr>
            </w:pPr>
            <w:r>
              <w:rPr>
                <w:shd w:fill="auto" w:val="clear"/>
              </w:rPr>
            </w:r>
          </w:p>
        </w:tc>
        <w:tc>
          <w:tcPr>
            <w:tcW w:w="1701" w:type="dxa"/>
            <w:tcBorders/>
            <w:shd w:color="auto" w:fill="FFFFFF" w:themeFill="background1" w:val="clear"/>
          </w:tcPr>
          <w:p>
            <w:pPr>
              <w:pStyle w:val="Tabulka"/>
              <w:widowControl w:val="false"/>
              <w:shd w:val="clear" w:color="auto" w:fill="FFFFFF" w:themeFill="background1"/>
              <w:jc w:val="center"/>
              <w:rPr>
                <w:highlight w:val="none"/>
                <w:shd w:fill="auto" w:val="clear"/>
              </w:rPr>
            </w:pPr>
            <w:r>
              <w:rPr>
                <w:shd w:fill="auto" w:val="clear"/>
              </w:rPr>
              <w:t>jednorazový odpis</w:t>
            </w:r>
          </w:p>
        </w:tc>
        <w:tc>
          <w:tcPr>
            <w:tcW w:w="142" w:type="dxa"/>
            <w:tcBorders/>
            <w:shd w:color="auto" w:fill="FFFFFF" w:themeFill="background1" w:val="clear"/>
          </w:tcPr>
          <w:p>
            <w:pPr>
              <w:pStyle w:val="Tabulka"/>
              <w:widowControl w:val="false"/>
              <w:shd w:val="clear" w:color="auto" w:fill="FFFFFF" w:themeFill="background1"/>
              <w:jc w:val="center"/>
              <w:rPr>
                <w:highlight w:val="none"/>
                <w:shd w:fill="auto" w:val="clear"/>
              </w:rPr>
            </w:pPr>
            <w:r>
              <w:rPr>
                <w:shd w:fill="auto" w:val="clear"/>
              </w:rPr>
            </w:r>
          </w:p>
        </w:tc>
        <w:tc>
          <w:tcPr>
            <w:tcW w:w="1701" w:type="dxa"/>
            <w:tcBorders/>
            <w:shd w:color="auto" w:fill="FFFFFF" w:themeFill="background1" w:val="clear"/>
          </w:tcPr>
          <w:p>
            <w:pPr>
              <w:pStyle w:val="Tabulka"/>
              <w:widowControl w:val="false"/>
              <w:shd w:val="clear" w:color="auto" w:fill="FFFFFF" w:themeFill="background1"/>
              <w:jc w:val="center"/>
              <w:rPr>
                <w:highlight w:val="none"/>
                <w:shd w:fill="auto" w:val="clear"/>
              </w:rPr>
            </w:pPr>
            <w:r>
              <w:rPr>
                <w:shd w:fill="auto" w:val="clear"/>
              </w:rPr>
              <w:t>100</w:t>
            </w:r>
          </w:p>
        </w:tc>
      </w:tr>
      <w:tr>
        <w:trPr>
          <w:trHeight w:val="250" w:hRule="atLeast"/>
        </w:trPr>
        <w:tc>
          <w:tcPr>
            <w:tcW w:w="3118" w:type="dxa"/>
            <w:gridSpan w:val="2"/>
            <w:tcBorders/>
          </w:tcPr>
          <w:p>
            <w:pPr>
              <w:pStyle w:val="Tabulka"/>
              <w:widowControl w:val="false"/>
              <w:shd w:val="clear" w:color="auto" w:fill="FFFFFF" w:themeFill="background1"/>
              <w:rPr>
                <w:highlight w:val="yellow"/>
              </w:rPr>
            </w:pPr>
            <w:r>
              <w:rPr>
                <w:highlight w:val="yellow"/>
              </w:rPr>
            </w:r>
          </w:p>
        </w:tc>
        <w:tc>
          <w:tcPr>
            <w:tcW w:w="1985" w:type="dxa"/>
            <w:tcBorders/>
          </w:tcPr>
          <w:p>
            <w:pPr>
              <w:pStyle w:val="Tabulka"/>
              <w:widowControl w:val="false"/>
              <w:shd w:val="clear" w:color="auto" w:fill="FFFFFF" w:themeFill="background1"/>
              <w:jc w:val="center"/>
              <w:rPr>
                <w:highlight w:val="yellow"/>
              </w:rPr>
            </w:pPr>
            <w:r>
              <w:rPr>
                <w:highlight w:val="yellow"/>
              </w:rPr>
            </w:r>
          </w:p>
        </w:tc>
        <w:tc>
          <w:tcPr>
            <w:tcW w:w="141" w:type="dxa"/>
            <w:tcBorders/>
          </w:tcPr>
          <w:p>
            <w:pPr>
              <w:pStyle w:val="Tabulka"/>
              <w:widowControl w:val="false"/>
              <w:shd w:val="clear" w:color="auto" w:fill="FFFFFF" w:themeFill="background1"/>
              <w:jc w:val="center"/>
              <w:rPr>
                <w:highlight w:val="yellow"/>
              </w:rPr>
            </w:pPr>
            <w:r>
              <w:rPr>
                <w:highlight w:val="yellow"/>
              </w:rPr>
            </w:r>
          </w:p>
        </w:tc>
        <w:tc>
          <w:tcPr>
            <w:tcW w:w="1701" w:type="dxa"/>
            <w:tcBorders/>
          </w:tcPr>
          <w:p>
            <w:pPr>
              <w:pStyle w:val="Tabulka"/>
              <w:widowControl w:val="false"/>
              <w:shd w:val="clear" w:color="auto" w:fill="FFFFFF" w:themeFill="background1"/>
              <w:jc w:val="center"/>
              <w:rPr>
                <w:highlight w:val="yellow"/>
              </w:rPr>
            </w:pPr>
            <w:r>
              <w:rPr>
                <w:highlight w:val="yellow"/>
              </w:rPr>
            </w:r>
          </w:p>
        </w:tc>
        <w:tc>
          <w:tcPr>
            <w:tcW w:w="142" w:type="dxa"/>
            <w:tcBorders/>
          </w:tcPr>
          <w:p>
            <w:pPr>
              <w:pStyle w:val="Tabulka"/>
              <w:widowControl w:val="false"/>
              <w:shd w:val="clear" w:color="auto" w:fill="FFFFFF" w:themeFill="background1"/>
              <w:jc w:val="center"/>
              <w:rPr>
                <w:highlight w:val="yellow"/>
              </w:rPr>
            </w:pPr>
            <w:r>
              <w:rPr>
                <w:highlight w:val="yellow"/>
              </w:rPr>
            </w:r>
          </w:p>
        </w:tc>
        <w:tc>
          <w:tcPr>
            <w:tcW w:w="1701" w:type="dxa"/>
            <w:tcBorders/>
          </w:tcPr>
          <w:p>
            <w:pPr>
              <w:pStyle w:val="Tabulka"/>
              <w:widowControl w:val="false"/>
              <w:shd w:val="clear" w:color="auto" w:fill="FFFFFF" w:themeFill="background1"/>
              <w:jc w:val="center"/>
              <w:rPr>
                <w:highlight w:val="yellow"/>
              </w:rPr>
            </w:pPr>
            <w:r>
              <w:rPr>
                <w:highlight w:val="yellow"/>
              </w:rPr>
            </w:r>
          </w:p>
        </w:tc>
      </w:tr>
    </w:tbl>
    <w:p>
      <w:pPr>
        <w:pStyle w:val="Nadpis2"/>
        <w:numPr>
          <w:ilvl w:val="0"/>
          <w:numId w:val="19"/>
        </w:numPr>
        <w:shd w:val="clear" w:color="auto" w:fill="FFFFFF" w:themeFill="background1"/>
        <w:rPr/>
      </w:pPr>
      <w:r>
        <w:rPr/>
        <w:t>Počas účtovného obdobia neboli prijaté zmeny účtovných zásad a účtovných metód</w:t>
      </w:r>
    </w:p>
    <w:p>
      <w:pPr>
        <w:pStyle w:val="Telotextu"/>
        <w:shd w:val="clear" w:color="auto" w:fill="FFFFFF" w:themeFill="background1"/>
        <w:ind w:left="0" w:hanging="0"/>
        <w:rPr/>
      </w:pPr>
      <w:r>
        <w:rPr/>
      </w:r>
    </w:p>
    <w:p>
      <w:pPr>
        <w:pStyle w:val="Telotextu"/>
        <w:shd w:val="clear" w:color="auto" w:fill="FFFFFF" w:themeFill="background1"/>
        <w:ind w:left="450" w:hanging="0"/>
        <w:rPr/>
      </w:pPr>
      <w:r>
        <w:rPr/>
      </w:r>
    </w:p>
    <w:p>
      <w:pPr>
        <w:pStyle w:val="Nadpis2"/>
        <w:numPr>
          <w:ilvl w:val="0"/>
          <w:numId w:val="20"/>
        </w:numPr>
        <w:shd w:val="clear" w:color="auto" w:fill="FFFFFF" w:themeFill="background1"/>
        <w:rPr/>
      </w:pPr>
      <w:r>
        <w:rPr/>
        <w:t>Informácie o dotáciách a ich oceňovanie v účtovníctve</w:t>
      </w:r>
    </w:p>
    <w:p>
      <w:pPr>
        <w:pStyle w:val="Normal"/>
        <w:shd w:val="clear" w:color="auto" w:fill="FFFFFF" w:themeFill="background1"/>
        <w:rPr/>
      </w:pPr>
      <w:r>
        <w:rPr/>
      </w:r>
    </w:p>
    <w:p>
      <w:pPr>
        <w:pStyle w:val="Normal"/>
        <w:shd w:val="clear" w:color="auto" w:fill="FFFFFF" w:themeFill="background1"/>
        <w:ind w:left="450" w:hanging="0"/>
        <w:jc w:val="both"/>
        <w:rPr>
          <w:sz w:val="18"/>
        </w:rPr>
      </w:pPr>
      <w:r>
        <w:rPr>
          <w:sz w:val="18"/>
        </w:rPr>
        <w:t xml:space="preserve">O nároku na dotácie zo štátneho rozpočtu sa účtuje, ak je takmer isté, že sa splnia všetky podmienky súvisiace s dotáciou a súčasne, že sa dotácia poskytne. </w:t>
      </w:r>
    </w:p>
    <w:p>
      <w:pPr>
        <w:pStyle w:val="Normal"/>
        <w:shd w:val="clear" w:color="auto" w:fill="FFFFFF" w:themeFill="background1"/>
        <w:ind w:left="450" w:hanging="0"/>
        <w:jc w:val="both"/>
        <w:rPr>
          <w:sz w:val="18"/>
        </w:rPr>
      </w:pPr>
      <w:r>
        <w:rPr>
          <w:sz w:val="18"/>
        </w:rPr>
      </w:r>
    </w:p>
    <w:p>
      <w:pPr>
        <w:pStyle w:val="Normal"/>
        <w:shd w:val="clear" w:color="auto" w:fill="FFFFFF" w:themeFill="background1"/>
        <w:ind w:left="450" w:hanging="0"/>
        <w:jc w:val="both"/>
        <w:rPr>
          <w:sz w:val="18"/>
        </w:rPr>
      </w:pPr>
      <w:r>
        <w:rPr>
          <w:sz w:val="18"/>
        </w:rPr>
        <w:t>Dotácie na hospodársku činnosť Spoločnosti sa najskôr vykazujú ako výnosy budúcich období a do výkazu ziskov a strát sa rozpúšťajú ako výnosy z hospodárskej činnosti v časovej a vecnej súvislosti s vynaložením nákladov na príslušný účel.</w:t>
      </w:r>
    </w:p>
    <w:p>
      <w:pPr>
        <w:pStyle w:val="Normal"/>
        <w:shd w:val="clear" w:color="auto" w:fill="FFFFFF" w:themeFill="background1"/>
        <w:ind w:left="450" w:hanging="0"/>
        <w:jc w:val="both"/>
        <w:rPr>
          <w:sz w:val="18"/>
        </w:rPr>
      </w:pPr>
      <w:r>
        <w:rPr>
          <w:sz w:val="18"/>
        </w:rPr>
      </w:r>
    </w:p>
    <w:p>
      <w:pPr>
        <w:pStyle w:val="Normal"/>
        <w:shd w:val="clear" w:color="auto" w:fill="FFFFFF" w:themeFill="background1"/>
        <w:ind w:left="450" w:hanging="0"/>
        <w:jc w:val="both"/>
        <w:rPr>
          <w:sz w:val="18"/>
        </w:rPr>
      </w:pPr>
      <w:r>
        <w:rPr>
          <w:sz w:val="18"/>
        </w:rPr>
        <w:t>Dotácie na obstaranie dlhodobého hmotného majetku a dlhodobého nehmotného majetku sa najskôr vykazujú ako výnosy budúcich období a do výkazu ziskov a strát sa rozpúšťajú v časovej a vecnej súvislosti so zaúčtovaním odpisov</w:t>
        <w:br/>
        <w:t xml:space="preserve">z tohto dlhodobého majetku. </w:t>
      </w:r>
    </w:p>
    <w:p>
      <w:pPr>
        <w:pStyle w:val="Normal"/>
        <w:shd w:val="clear" w:color="auto" w:fill="FFFFFF" w:themeFill="background1"/>
        <w:ind w:left="450" w:hanging="0"/>
        <w:jc w:val="both"/>
        <w:rPr>
          <w:sz w:val="18"/>
        </w:rPr>
      </w:pPr>
      <w:r>
        <w:rPr>
          <w:sz w:val="18"/>
        </w:rPr>
      </w:r>
    </w:p>
    <w:p>
      <w:pPr>
        <w:pStyle w:val="Normal"/>
        <w:shd w:val="clear" w:color="auto" w:fill="FFFFFF" w:themeFill="background1"/>
        <w:ind w:left="450" w:hanging="0"/>
        <w:jc w:val="both"/>
        <w:rPr>
          <w:sz w:val="18"/>
        </w:rPr>
      </w:pPr>
      <w:r>
        <w:rPr>
          <w:sz w:val="18"/>
        </w:rPr>
      </w:r>
    </w:p>
    <w:p>
      <w:pPr>
        <w:pStyle w:val="Nadpis2"/>
        <w:numPr>
          <w:ilvl w:val="0"/>
          <w:numId w:val="21"/>
        </w:numPr>
        <w:shd w:val="clear" w:color="auto" w:fill="FFFFFF" w:themeFill="background1"/>
        <w:rPr/>
      </w:pPr>
      <w:r>
        <w:rPr/>
        <w:t>Informácia o opravách významných chýb minulých účtovných období</w:t>
      </w:r>
    </w:p>
    <w:p>
      <w:pPr>
        <w:pStyle w:val="Normal"/>
        <w:shd w:val="clear" w:color="auto" w:fill="FFFFFF" w:themeFill="background1"/>
        <w:rPr/>
      </w:pPr>
      <w:r>
        <w:rPr/>
      </w:r>
    </w:p>
    <w:p>
      <w:pPr>
        <w:pStyle w:val="Normal"/>
        <w:shd w:val="clear" w:color="auto" w:fill="FFFFFF" w:themeFill="background1"/>
        <w:ind w:left="450" w:hanging="0"/>
        <w:jc w:val="both"/>
        <w:rPr>
          <w:sz w:val="18"/>
        </w:rPr>
      </w:pPr>
      <w:r>
        <w:rPr>
          <w:sz w:val="18"/>
        </w:rPr>
        <w:t xml:space="preserve">Významné chyby minulých účtovných období sa účtujú prostredníctvom účtu 428 – Nerozdelený zisk minulých rokov alebo účtu 429 – Neuhradená strata minulých rokov a to na príslušný analytický účet za daný rok, na ktorý sa významná chyba vzťahuje. </w:t>
      </w:r>
    </w:p>
    <w:p>
      <w:pPr>
        <w:pStyle w:val="Normal"/>
        <w:shd w:val="clear" w:color="auto" w:fill="FFFFFF" w:themeFill="background1"/>
        <w:ind w:left="450" w:hanging="0"/>
        <w:jc w:val="both"/>
        <w:rPr>
          <w:sz w:val="18"/>
        </w:rPr>
      </w:pPr>
      <w:r>
        <w:rPr>
          <w:sz w:val="18"/>
        </w:rPr>
      </w:r>
    </w:p>
    <w:p>
      <w:pPr>
        <w:pStyle w:val="Nadpis1"/>
        <w:numPr>
          <w:ilvl w:val="0"/>
          <w:numId w:val="2"/>
        </w:numPr>
        <w:shd w:val="clear" w:color="auto" w:fill="FFFFFF" w:themeFill="background1"/>
        <w:ind w:left="360" w:hanging="360"/>
        <w:rPr/>
      </w:pPr>
      <w:bookmarkStart w:id="2" w:name="_Toc530739900"/>
      <w:r>
        <w:rPr/>
        <w:t xml:space="preserve">informácie, ktoré vysvetľujú a dopĺňajú súvahu a výkaz ziskov a strát </w:t>
      </w:r>
      <w:bookmarkEnd w:id="2"/>
    </w:p>
    <w:p>
      <w:pPr>
        <w:pStyle w:val="Nadpis1"/>
        <w:numPr>
          <w:ilvl w:val="0"/>
          <w:numId w:val="0"/>
        </w:numPr>
        <w:shd w:val="clear" w:color="auto" w:fill="FFFFFF" w:themeFill="background1"/>
        <w:ind w:left="360" w:hanging="0"/>
        <w:rPr/>
      </w:pPr>
      <w:r>
        <w:rPr/>
      </w:r>
      <w:bookmarkStart w:id="3" w:name="_Toc530739901"/>
      <w:bookmarkStart w:id="4" w:name="_Toc530739901"/>
      <w:bookmarkEnd w:id="4"/>
    </w:p>
    <w:p>
      <w:pPr>
        <w:pStyle w:val="Nadpis1"/>
        <w:numPr>
          <w:ilvl w:val="0"/>
          <w:numId w:val="0"/>
        </w:numPr>
        <w:shd w:val="clear" w:color="auto" w:fill="FFFFFF" w:themeFill="background1"/>
        <w:ind w:left="360" w:hanging="360"/>
        <w:rPr/>
      </w:pPr>
      <w:r>
        <w:rPr/>
      </w:r>
    </w:p>
    <w:p>
      <w:pPr>
        <w:pStyle w:val="Telotextu"/>
        <w:shd w:val="clear" w:color="auto" w:fill="FFFFFF" w:themeFill="background1"/>
        <w:rPr>
          <w:szCs w:val="18"/>
        </w:rPr>
      </w:pPr>
      <w:r>
        <w:rPr>
          <w:szCs w:val="18"/>
        </w:rPr>
      </w:r>
    </w:p>
    <w:p>
      <w:pPr>
        <w:pStyle w:val="Nadpis2"/>
        <w:numPr>
          <w:ilvl w:val="0"/>
          <w:numId w:val="0"/>
        </w:numPr>
        <w:shd w:val="clear" w:color="auto" w:fill="FFFFFF" w:themeFill="background1"/>
        <w:ind w:left="360" w:hanging="0"/>
        <w:rPr>
          <w:rFonts w:eastAsia="Calibri"/>
          <w:lang w:eastAsia="sk-SK"/>
        </w:rPr>
      </w:pPr>
      <w:r>
        <w:rPr>
          <w:rFonts w:eastAsia="Calibri"/>
          <w:lang w:eastAsia="sk-SK"/>
        </w:rPr>
      </w:r>
    </w:p>
    <w:p>
      <w:pPr>
        <w:pStyle w:val="Nadpis2"/>
        <w:numPr>
          <w:ilvl w:val="0"/>
          <w:numId w:val="22"/>
        </w:numPr>
        <w:shd w:val="clear" w:color="auto" w:fill="FFFFFF" w:themeFill="background1"/>
        <w:rPr>
          <w:rFonts w:eastAsia="Calibri"/>
          <w:lang w:eastAsia="sk-SK"/>
        </w:rPr>
      </w:pPr>
      <w:r>
        <w:rPr>
          <w:rFonts w:eastAsia="Calibri"/>
          <w:lang w:eastAsia="sk-SK"/>
        </w:rPr>
        <w:t>Informácia o sume a dôvodoch vzniku jednotlivých položiek nákladov alebo výnosov, ktoré majú výnimočný rozsah alebo výskyt</w:t>
      </w:r>
    </w:p>
    <w:p>
      <w:pPr>
        <w:pStyle w:val="Normal"/>
        <w:shd w:val="clear" w:color="auto" w:fill="FFFFFF" w:themeFill="background1"/>
        <w:rPr>
          <w:sz w:val="18"/>
        </w:rPr>
      </w:pPr>
      <w:r>
        <w:rPr>
          <w:sz w:val="18"/>
        </w:rPr>
      </w:r>
    </w:p>
    <w:p>
      <w:pPr>
        <w:pStyle w:val="Normal"/>
        <w:shd w:val="clear" w:color="auto" w:fill="FFFFFF" w:themeFill="background1"/>
        <w:ind w:left="426" w:hanging="0"/>
        <w:jc w:val="both"/>
        <w:rPr>
          <w:sz w:val="18"/>
        </w:rPr>
      </w:pPr>
      <w:r>
        <w:rPr>
          <w:sz w:val="18"/>
        </w:rPr>
        <w:t>Spoločnosť nedosiahla náklady a výnosy, ktoré by mali výnimočný rozsah a výskyt ako napríklad výnosy z predaja podniku alebo časti podniku, náklady z dôvodu predaja podniku alebo časti podniku, škody z dôvodu živelných pohrôm.</w:t>
      </w:r>
    </w:p>
    <w:p>
      <w:pPr>
        <w:pStyle w:val="Normal"/>
        <w:shd w:val="clear" w:color="auto" w:fill="FFFFFF" w:themeFill="background1"/>
        <w:ind w:left="426" w:hanging="0"/>
        <w:rPr>
          <w:rFonts w:eastAsia="Calibri"/>
          <w:lang w:eastAsia="sk-SK"/>
        </w:rPr>
      </w:pPr>
      <w:r>
        <w:rPr>
          <w:rFonts w:eastAsia="Calibri"/>
          <w:lang w:eastAsia="sk-SK"/>
        </w:rPr>
      </w:r>
    </w:p>
    <w:p>
      <w:pPr>
        <w:pStyle w:val="Nadpis2"/>
        <w:numPr>
          <w:ilvl w:val="0"/>
          <w:numId w:val="3"/>
        </w:numPr>
        <w:shd w:val="clear" w:color="auto" w:fill="FFFFFF" w:themeFill="background1"/>
        <w:rPr/>
      </w:pPr>
      <w:r>
        <w:rPr/>
        <w:t>Informácie o záväzkoch</w:t>
      </w:r>
    </w:p>
    <w:p>
      <w:pPr>
        <w:pStyle w:val="Telotextu"/>
        <w:shd w:val="clear" w:color="auto" w:fill="FFFFFF" w:themeFill="background1"/>
        <w:rPr/>
      </w:pPr>
      <w:r>
        <w:rPr/>
      </w:r>
    </w:p>
    <w:p>
      <w:pPr>
        <w:pStyle w:val="Telotextu"/>
        <w:shd w:val="clear" w:color="auto" w:fill="FFFFFF" w:themeFill="background1"/>
        <w:ind w:left="786" w:hanging="0"/>
        <w:rPr>
          <w:highlight w:val="none"/>
          <w:shd w:fill="auto" w:val="clear"/>
        </w:rPr>
      </w:pPr>
      <w:r>
        <w:rPr>
          <w:shd w:fill="auto" w:val="clear"/>
        </w:rPr>
        <w:t>Spoločnosť nemá  zabezpečené záväzky</w:t>
      </w:r>
    </w:p>
    <w:p>
      <w:pPr>
        <w:pStyle w:val="Telotextu"/>
        <w:shd w:val="clear" w:color="auto" w:fill="FFFFFF" w:themeFill="background1"/>
        <w:rPr/>
      </w:pPr>
      <w:r>
        <w:rPr/>
      </w:r>
    </w:p>
    <w:p>
      <w:pPr>
        <w:pStyle w:val="Normal"/>
        <w:shd w:val="clear" w:color="auto" w:fill="FFFFFF" w:themeFill="background1"/>
        <w:rPr/>
      </w:pPr>
      <w:r>
        <w:rPr/>
      </w:r>
    </w:p>
    <w:p>
      <w:pPr>
        <w:pStyle w:val="Telotextu"/>
        <w:shd w:val="clear" w:color="auto" w:fill="FFFFFF" w:themeFill="background1"/>
        <w:rPr/>
      </w:pPr>
      <w:r>
        <w:rPr/>
      </w:r>
    </w:p>
    <w:p>
      <w:pPr>
        <w:pStyle w:val="Nadpis2"/>
        <w:numPr>
          <w:ilvl w:val="0"/>
          <w:numId w:val="3"/>
        </w:numPr>
        <w:shd w:val="clear" w:color="auto" w:fill="FFFFFF" w:themeFill="background1"/>
        <w:rPr/>
      </w:pPr>
      <w:r>
        <w:rPr/>
        <w:t>Informácie o vlastných akciách:</w:t>
      </w:r>
    </w:p>
    <w:p>
      <w:pPr>
        <w:pStyle w:val="Telotextu"/>
        <w:shd w:val="clear" w:color="auto" w:fill="FFFFFF" w:themeFill="background1"/>
        <w:rPr/>
      </w:pPr>
      <w:r>
        <w:rPr/>
      </w:r>
    </w:p>
    <w:p>
      <w:pPr>
        <w:pStyle w:val="Telotextu"/>
        <w:shd w:val="clear" w:color="auto" w:fill="FFFFFF" w:themeFill="background1"/>
        <w:rPr/>
      </w:pPr>
      <w:r>
        <w:rPr/>
        <w:t>Spoločnosť nemá vlastné akcie</w:t>
      </w:r>
    </w:p>
    <w:p>
      <w:pPr>
        <w:pStyle w:val="Telotextu"/>
        <w:shd w:val="clear" w:color="auto" w:fill="FFFFFF" w:themeFill="background1"/>
        <w:rPr/>
      </w:pPr>
      <w:r>
        <w:rPr/>
      </w:r>
    </w:p>
    <w:p>
      <w:pPr>
        <w:pStyle w:val="Normal"/>
        <w:shd w:val="clear" w:color="auto" w:fill="FFFFFF" w:themeFill="background1"/>
        <w:spacing w:lineRule="auto" w:line="276" w:before="0" w:after="200"/>
        <w:rPr>
          <w:b/>
          <w:b/>
          <w:bCs/>
          <w:sz w:val="18"/>
          <w:szCs w:val="18"/>
        </w:rPr>
      </w:pPr>
      <w:r>
        <w:rPr>
          <w:b/>
          <w:bCs/>
          <w:sz w:val="18"/>
          <w:szCs w:val="18"/>
        </w:rPr>
      </w:r>
      <w:bookmarkStart w:id="5" w:name="_MON_1453793569"/>
      <w:bookmarkStart w:id="6" w:name="_MON_1453793569"/>
      <w:bookmarkEnd w:id="6"/>
    </w:p>
    <w:p>
      <w:pPr>
        <w:pStyle w:val="Nadpis2"/>
        <w:numPr>
          <w:ilvl w:val="0"/>
          <w:numId w:val="3"/>
        </w:numPr>
        <w:shd w:val="clear" w:color="auto" w:fill="FFFFFF" w:themeFill="background1"/>
        <w:rPr/>
      </w:pPr>
      <w:r>
        <w:rPr/>
        <w:t>Informácie o orgánoch účtovnej jednotky</w:t>
      </w:r>
    </w:p>
    <w:p>
      <w:pPr>
        <w:pStyle w:val="Telotextu"/>
        <w:shd w:val="clear" w:color="auto" w:fill="FFFFFF" w:themeFill="background1"/>
        <w:rPr/>
      </w:pPr>
      <w:r>
        <w:rPr/>
      </w:r>
    </w:p>
    <w:p>
      <w:pPr>
        <w:pStyle w:val="Telotextu"/>
        <w:numPr>
          <w:ilvl w:val="0"/>
          <w:numId w:val="6"/>
        </w:numPr>
        <w:shd w:val="clear" w:color="auto" w:fill="FFFFFF" w:themeFill="background1"/>
        <w:rPr/>
      </w:pPr>
      <w:r>
        <w:rPr/>
        <w:t>Výška jednotlivých druhov záruk alebo iných zabezpečení poskytnutých pre členov štatutárneho orgánu, dozorného orgánu a iného orgánu ÚJ:</w:t>
      </w:r>
    </w:p>
    <w:p>
      <w:pPr>
        <w:pStyle w:val="Telotextu"/>
        <w:numPr>
          <w:ilvl w:val="0"/>
          <w:numId w:val="6"/>
        </w:numPr>
        <w:shd w:val="clear" w:color="auto" w:fill="FFFFFF" w:themeFill="background1"/>
        <w:rPr/>
      </w:pPr>
      <w:r>
        <w:rPr/>
        <w:t>Informácia o pôžičkách:</w:t>
      </w:r>
    </w:p>
    <w:p>
      <w:pPr>
        <w:pStyle w:val="Telotextu"/>
        <w:shd w:val="clear" w:color="auto" w:fill="FFFFFF" w:themeFill="background1"/>
        <w:ind w:left="786" w:hanging="0"/>
        <w:rPr/>
      </w:pPr>
      <w:r>
        <w:rPr/>
        <w:t>Celková suma poskytnutých pôžičiek k 31.12. bežného obdobia podľa jednotlivých orgánov:</w:t>
      </w:r>
    </w:p>
    <w:p>
      <w:pPr>
        <w:pStyle w:val="Telotextu"/>
        <w:shd w:val="clear" w:color="auto" w:fill="FFFFFF" w:themeFill="background1"/>
        <w:ind w:left="786" w:hanging="0"/>
        <w:rPr/>
      </w:pPr>
      <w:r>
        <w:rPr/>
        <w:tab/>
        <w:t>Konateľ:</w:t>
      </w:r>
    </w:p>
    <w:p>
      <w:pPr>
        <w:pStyle w:val="Telotextu"/>
        <w:shd w:val="clear" w:color="auto" w:fill="FFFFFF" w:themeFill="background1"/>
        <w:ind w:left="786" w:hanging="0"/>
        <w:rPr/>
      </w:pPr>
      <w:r>
        <w:rPr/>
        <w:tab/>
        <w:t>Predseda predstavenstva:</w:t>
      </w:r>
    </w:p>
    <w:p>
      <w:pPr>
        <w:pStyle w:val="Telotextu"/>
        <w:shd w:val="clear" w:color="auto" w:fill="FFFFFF" w:themeFill="background1"/>
        <w:ind w:left="786" w:hanging="0"/>
        <w:rPr/>
      </w:pPr>
      <w:r>
        <w:rPr/>
        <w:tab/>
        <w:t>Člen predstavenstva:</w:t>
      </w:r>
    </w:p>
    <w:p>
      <w:pPr>
        <w:pStyle w:val="Telotextu"/>
        <w:shd w:val="clear" w:color="auto" w:fill="FFFFFF" w:themeFill="background1"/>
        <w:ind w:left="786" w:hanging="0"/>
        <w:rPr/>
      </w:pPr>
      <w:r>
        <w:rPr/>
        <w:t>Celková suma splatených pôžičiek za posledné účtovné obdobie:</w:t>
      </w:r>
    </w:p>
    <w:p>
      <w:pPr>
        <w:pStyle w:val="Telotextu"/>
        <w:shd w:val="clear" w:color="auto" w:fill="FFFFFF" w:themeFill="background1"/>
        <w:ind w:left="786" w:firstLine="630"/>
        <w:rPr/>
      </w:pPr>
      <w:r>
        <w:rPr/>
        <w:t>Konateľ:</w:t>
      </w:r>
    </w:p>
    <w:p>
      <w:pPr>
        <w:pStyle w:val="Telotextu"/>
        <w:shd w:val="clear" w:color="auto" w:fill="FFFFFF" w:themeFill="background1"/>
        <w:ind w:left="786" w:hanging="0"/>
        <w:rPr/>
      </w:pPr>
      <w:r>
        <w:rPr/>
        <w:tab/>
        <w:t>Predseda predstavenstva:</w:t>
      </w:r>
    </w:p>
    <w:p>
      <w:pPr>
        <w:pStyle w:val="Telotextu"/>
        <w:shd w:val="clear" w:color="auto" w:fill="FFFFFF" w:themeFill="background1"/>
        <w:ind w:left="786" w:hanging="0"/>
        <w:rPr/>
      </w:pPr>
      <w:r>
        <w:rPr/>
        <w:tab/>
        <w:t>Člen predstavenstva:</w:t>
      </w:r>
    </w:p>
    <w:p>
      <w:pPr>
        <w:pStyle w:val="Telotextu"/>
        <w:shd w:val="clear" w:color="auto" w:fill="FFFFFF" w:themeFill="background1"/>
        <w:ind w:left="786" w:hanging="0"/>
        <w:rPr/>
      </w:pPr>
      <w:r>
        <w:rPr/>
        <w:t>Celková suma odpustených pôžičiek a odpísaných pôžičiek k 31.12. bežného obdobia:</w:t>
      </w:r>
    </w:p>
    <w:p>
      <w:pPr>
        <w:pStyle w:val="Telotextu"/>
        <w:shd w:val="clear" w:color="auto" w:fill="FFFFFF" w:themeFill="background1"/>
        <w:ind w:left="786" w:hanging="0"/>
        <w:rPr/>
      </w:pPr>
      <w:r>
        <w:rPr/>
        <w:t>V roku 2021 nebola odpustené ani odpísané žiadne pôžičky</w:t>
      </w:r>
    </w:p>
    <w:p>
      <w:pPr>
        <w:pStyle w:val="Telotextu"/>
        <w:shd w:val="clear" w:color="auto" w:fill="FFFFFF" w:themeFill="background1"/>
        <w:ind w:left="786" w:hanging="0"/>
        <w:rPr>
          <w:highlight w:val="yellow"/>
        </w:rPr>
      </w:pPr>
      <w:r>
        <w:rPr>
          <w:highlight w:val="yellow"/>
        </w:rPr>
      </w:r>
    </w:p>
    <w:p>
      <w:pPr>
        <w:pStyle w:val="Nadpis2"/>
        <w:numPr>
          <w:ilvl w:val="0"/>
          <w:numId w:val="3"/>
        </w:numPr>
        <w:shd w:val="clear" w:color="auto" w:fill="FFFFFF" w:themeFill="background1"/>
        <w:rPr/>
      </w:pPr>
      <w:r>
        <w:rPr/>
        <w:t xml:space="preserve">Informácie o povinnostiach účtovnej jednotky </w:t>
      </w:r>
    </w:p>
    <w:p>
      <w:pPr>
        <w:pStyle w:val="Telotextu"/>
        <w:shd w:val="clear" w:color="auto" w:fill="FFFFFF" w:themeFill="background1"/>
        <w:ind w:left="766" w:hanging="0"/>
        <w:rPr/>
      </w:pPr>
      <w:r>
        <w:rPr/>
      </w:r>
    </w:p>
    <w:p>
      <w:pPr>
        <w:pStyle w:val="Telotextu"/>
        <w:shd w:val="clear" w:color="auto" w:fill="FFFFFF" w:themeFill="background1"/>
        <w:ind w:left="0" w:hanging="0"/>
        <w:rPr/>
      </w:pPr>
      <w:r>
        <w:rPr/>
      </w:r>
    </w:p>
    <w:p>
      <w:pPr>
        <w:pStyle w:val="Telotextu"/>
        <w:shd w:val="clear" w:color="auto" w:fill="FFFFFF" w:themeFill="background1"/>
        <w:ind w:left="0" w:hanging="0"/>
        <w:rPr/>
      </w:pPr>
      <w:r>
        <w:rPr>
          <w:shd w:fill="auto" w:val="clear"/>
        </w:rPr>
        <w:t xml:space="preserve">Spoločnosť neeviduje iné aktíva a iné pasíva </w:t>
      </w:r>
      <w:r>
        <w:rPr/>
        <w:t>ani ostatné významné povinnosti a významné podmienené záväzky</w:t>
      </w:r>
    </w:p>
    <w:p>
      <w:pPr>
        <w:pStyle w:val="Telotextu"/>
        <w:shd w:val="clear" w:color="auto" w:fill="FFFFFF" w:themeFill="background1"/>
        <w:ind w:left="0" w:hanging="0"/>
        <w:rPr/>
      </w:pPr>
      <w:r>
        <w:rPr/>
      </w:r>
      <w:bookmarkStart w:id="7" w:name="_GoBack"/>
      <w:bookmarkStart w:id="8" w:name="_GoBack"/>
      <w:bookmarkEnd w:id="8"/>
    </w:p>
    <w:p>
      <w:pPr>
        <w:pStyle w:val="Telotextu"/>
        <w:shd w:val="clear" w:color="auto" w:fill="FFFFFF" w:themeFill="background1"/>
        <w:ind w:left="0" w:hanging="0"/>
        <w:rPr/>
      </w:pPr>
      <w:r>
        <w:rPr/>
      </w:r>
    </w:p>
    <w:p>
      <w:pPr>
        <w:pStyle w:val="Telotextu"/>
        <w:shd w:val="clear" w:color="auto" w:fill="FFFFFF" w:themeFill="background1"/>
        <w:rPr/>
      </w:pPr>
      <w:r>
        <w:rPr/>
      </w:r>
    </w:p>
    <w:p>
      <w:pPr>
        <w:pStyle w:val="Telotextu"/>
        <w:shd w:val="clear" w:color="auto" w:fill="FFFFFF" w:themeFill="background1"/>
        <w:rPr/>
      </w:pPr>
      <w:r>
        <w:rPr/>
      </w:r>
    </w:p>
    <w:p>
      <w:pPr>
        <w:pStyle w:val="Telotextu"/>
        <w:shd w:val="clear" w:color="auto" w:fill="FFFFFF" w:themeFill="background1"/>
        <w:rPr/>
      </w:pPr>
      <w:r>
        <w:rPr/>
      </w:r>
    </w:p>
    <w:p>
      <w:pPr>
        <w:pStyle w:val="Nadpis1"/>
        <w:numPr>
          <w:ilvl w:val="0"/>
          <w:numId w:val="0"/>
        </w:numPr>
        <w:shd w:val="clear" w:color="auto" w:fill="FFFFFF" w:themeFill="background1"/>
        <w:ind w:left="360" w:hanging="360"/>
        <w:rPr>
          <w:spacing w:val="20"/>
        </w:rPr>
      </w:pPr>
      <w:r>
        <w:rPr>
          <w:spacing w:val="20"/>
        </w:rPr>
        <w:t xml:space="preserve">6. </w:t>
      </w:r>
      <w:r>
        <w:rPr>
          <w:caps w:val="false"/>
          <w:smallCaps w:val="false"/>
        </w:rPr>
        <w:t>Informácia o udelení výlučného práva alebo osobitného práva, ktorým sa udelilo právo poskytovať služby vo verejnom záujme</w:t>
      </w:r>
      <w:r>
        <w:rPr>
          <w:spacing w:val="20"/>
        </w:rPr>
        <w:t xml:space="preserve"> </w:t>
      </w:r>
    </w:p>
    <w:p>
      <w:pPr>
        <w:pStyle w:val="Normal"/>
        <w:shd w:val="clear" w:color="auto" w:fill="FFFFFF" w:themeFill="background1"/>
        <w:rPr/>
      </w:pPr>
      <w:r>
        <w:rPr/>
      </w:r>
    </w:p>
    <w:p>
      <w:pPr>
        <w:pStyle w:val="Normal"/>
        <w:shd w:val="clear" w:color="auto" w:fill="FFFFFF" w:themeFill="background1"/>
        <w:rPr>
          <w:sz w:val="18"/>
        </w:rPr>
      </w:pPr>
      <w:r>
        <w:rPr>
          <w:sz w:val="18"/>
        </w:rPr>
        <w:t>Spoločnosti nebolo udelené výlučného právo alebo osobitné práva, ktorým sa udelilo právo poskytovať služby vo verejnom záujme.</w:t>
      </w:r>
    </w:p>
    <w:sectPr>
      <w:headerReference w:type="default" r:id="rId2"/>
      <w:type w:val="nextPage"/>
      <w:pgSz w:w="11906" w:h="16838"/>
      <w:pgMar w:left="1418" w:right="991" w:gutter="0" w:header="426" w:top="1110" w:footer="0" w:bottom="1134"/>
      <w:pgNumType w:fmt="decimal"/>
      <w:formProt w:val="false"/>
      <w:textDirection w:val="lrTb"/>
      <w:docGrid w:type="default" w:linePitch="360" w:charSpace="8192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Times New Roman">
    <w:charset w:val="ee"/>
    <w:family w:val="roman"/>
    <w:pitch w:val="variable"/>
  </w:font>
  <w:font w:name="Cambria">
    <w:charset w:val="ee"/>
    <w:family w:val="roman"/>
    <w:pitch w:val="variable"/>
  </w:font>
  <w:font w:name="Times">
    <w:altName w:val="Times New Roman"/>
    <w:charset w:val="ee"/>
    <w:family w:val="roman"/>
    <w:pitch w:val="variable"/>
  </w:font>
  <w:font w:name="Tahoma"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Univers 55">
    <w:charset w:val="ee"/>
    <w:family w:val="roman"/>
    <w:pitch w:val="variable"/>
  </w:font>
  <w:font w:name="Arial">
    <w:charset w:val="ee"/>
    <w:family w:val="roman"/>
    <w:pitch w:val="variable"/>
  </w:font>
  <w:font w:name="Arial Narrow">
    <w:charset w:val="ee"/>
    <w:family w:val="roman"/>
    <w:pitch w:val="variable"/>
  </w:font>
</w:fonts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tbl>
    <w:tblPr>
      <w:tblW w:w="9194" w:type="dxa"/>
      <w:jc w:val="center"/>
      <w:tblInd w:w="0" w:type="dxa"/>
      <w:tblLayout w:type="fixed"/>
      <w:tblCellMar>
        <w:top w:w="0" w:type="dxa"/>
        <w:left w:w="70" w:type="dxa"/>
        <w:bottom w:w="0" w:type="dxa"/>
        <w:right w:w="70" w:type="dxa"/>
      </w:tblCellMar>
      <w:tblLook w:firstRow="1" w:noVBand="0" w:lastRow="0" w:firstColumn="1" w:lastColumn="0" w:noHBand="0" w:val="00a0"/>
    </w:tblPr>
    <w:tblGrid>
      <w:gridCol w:w="2784"/>
      <w:gridCol w:w="352"/>
      <w:gridCol w:w="534"/>
      <w:gridCol w:w="246"/>
      <w:gridCol w:w="249"/>
      <w:gridCol w:w="249"/>
      <w:gridCol w:w="251"/>
      <w:gridCol w:w="249"/>
      <w:gridCol w:w="249"/>
      <w:gridCol w:w="248"/>
      <w:gridCol w:w="248"/>
      <w:gridCol w:w="249"/>
      <w:gridCol w:w="487"/>
      <w:gridCol w:w="279"/>
      <w:gridCol w:w="281"/>
      <w:gridCol w:w="279"/>
      <w:gridCol w:w="281"/>
      <w:gridCol w:w="279"/>
      <w:gridCol w:w="282"/>
      <w:gridCol w:w="278"/>
      <w:gridCol w:w="281"/>
      <w:gridCol w:w="279"/>
      <w:gridCol w:w="278"/>
    </w:tblGrid>
    <w:tr>
      <w:trPr>
        <w:trHeight w:val="330" w:hRule="atLeast"/>
      </w:trPr>
      <w:tc>
        <w:tcPr>
          <w:tcW w:w="2784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>
          <w:pPr>
            <w:pStyle w:val="Normal"/>
            <w:widowControl w:val="false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MÚJ 3 - 01</w:t>
          </w:r>
        </w:p>
      </w:tc>
      <w:tc>
        <w:tcPr>
          <w:tcW w:w="352" w:type="dxa"/>
          <w:tcBorders/>
        </w:tcPr>
        <w:p>
          <w:pPr>
            <w:pStyle w:val="Normal"/>
            <w:widowControl w:val="false"/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</w:r>
        </w:p>
      </w:tc>
      <w:tc>
        <w:tcPr>
          <w:tcW w:w="534" w:type="dxa"/>
          <w:tcBorders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IČO</w:t>
          </w:r>
        </w:p>
      </w:tc>
      <w:tc>
        <w:tcPr>
          <w:tcW w:w="2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5</w:t>
          </w:r>
        </w:p>
      </w:tc>
      <w:tc>
        <w:tcPr>
          <w:tcW w:w="24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0</w:t>
          </w:r>
        </w:p>
      </w:tc>
      <w:tc>
        <w:tcPr>
          <w:tcW w:w="24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8</w:t>
          </w:r>
        </w:p>
      </w:tc>
      <w:tc>
        <w:tcPr>
          <w:tcW w:w="25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9</w:t>
          </w:r>
        </w:p>
      </w:tc>
      <w:tc>
        <w:tcPr>
          <w:tcW w:w="24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1</w:t>
          </w:r>
        </w:p>
      </w:tc>
      <w:tc>
        <w:tcPr>
          <w:tcW w:w="24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8</w:t>
          </w:r>
        </w:p>
      </w:tc>
      <w:tc>
        <w:tcPr>
          <w:tcW w:w="24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6</w:t>
          </w:r>
        </w:p>
      </w:tc>
      <w:tc>
        <w:tcPr>
          <w:tcW w:w="24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3</w:t>
          </w:r>
        </w:p>
      </w:tc>
      <w:tc>
        <w:tcPr>
          <w:tcW w:w="249" w:type="dxa"/>
          <w:tcBorders/>
          <w:vAlign w:val="center"/>
        </w:tcPr>
        <w:p>
          <w:pPr>
            <w:pStyle w:val="Normal"/>
            <w:widowControl w:val="false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</w:r>
        </w:p>
      </w:tc>
      <w:tc>
        <w:tcPr>
          <w:tcW w:w="487" w:type="dxa"/>
          <w:tcBorders/>
          <w:vAlign w:val="center"/>
        </w:tcPr>
        <w:p>
          <w:pPr>
            <w:pStyle w:val="Normal"/>
            <w:widowControl w:val="false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7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1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79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1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79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  <w:tc>
        <w:tcPr>
          <w:tcW w:w="282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78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1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79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</w:p>
      </w:tc>
      <w:tc>
        <w:tcPr>
          <w:tcW w:w="278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</w:tr>
  </w:tbl>
  <w:p>
    <w:pPr>
      <w:pStyle w:val="Zhlavie"/>
      <w:rPr/>
    </w:pPr>
    <w:r>
      <w:rPr/>
    </w:r>
  </w:p>
  <w:p>
    <w:pPr>
      <w:pStyle w:val="Zhlavie"/>
      <w:tabs>
        <w:tab w:val="center" w:pos="4536" w:leader="none"/>
        <w:tab w:val="center" w:pos="4820" w:leader="none"/>
        <w:tab w:val="right" w:pos="9072" w:leader="none"/>
        <w:tab w:val="right" w:pos="9214" w:leader="none"/>
      </w:tabs>
      <w:jc w:val="right"/>
      <w:rPr>
        <w:sz w:val="18"/>
      </w:rPr>
    </w:pPr>
    <w:r>
      <w:rPr>
        <w:sz w:val="18"/>
      </w:rPr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pStyle w:val="Nadpis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abstractNum w:abstractNumId="2"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abstractNum w:abstractNumId="3"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4"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b w:val="false"/>
        <w:rFonts w:cs="Times New Roman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5">
    <w:lvl w:ilvl="0">
      <w:start w:val="1"/>
      <w:numFmt w:val="lowerLetter"/>
      <w:lvlText w:val="(%1)"/>
      <w:lvlJc w:val="left"/>
      <w:pPr>
        <w:tabs>
          <w:tab w:val="num" w:pos="0"/>
        </w:tabs>
        <w:ind w:left="108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80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52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324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9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68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40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12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840" w:hanging="180"/>
      </w:pPr>
    </w:lvl>
  </w:abstractNum>
  <w:abstractNum w:abstractNumId="6">
    <w:lvl w:ilvl="0">
      <w:start w:val="1"/>
      <w:numFmt w:val="lowerLetter"/>
      <w:lvlText w:val="%1)"/>
      <w:lvlJc w:val="left"/>
      <w:pPr>
        <w:tabs>
          <w:tab w:val="num" w:pos="0"/>
        </w:tabs>
        <w:ind w:left="786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506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226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946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66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86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106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826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546" w:hanging="180"/>
      </w:pPr>
    </w:lvl>
  </w:abstractNum>
  <w:abstractNum w:abstractNumId="7"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abstractNum w:abstractNumId="8"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9"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0"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1"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2"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abstractNum w:abstractNumId="13"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abstractNum w:abstractNumId="14"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9"/>
  </w:num>
  <w:num w:numId="10">
    <w:abstractNumId w:val="10"/>
  </w:num>
  <w:num w:numId="11">
    <w:abstractNumId w:val="11"/>
  </w:num>
  <w:num w:numId="12">
    <w:abstractNumId w:val="12"/>
  </w:num>
  <w:num w:numId="13">
    <w:abstractNumId w:val="13"/>
  </w:num>
  <w:num w:numId="14">
    <w:abstractNumId w:val="14"/>
  </w:num>
  <w:num w:numId="15">
    <w:abstractNumId w:val="3"/>
    <w:lvlOverride w:ilvl="1">
      <w:lvl w:ilvl="1">
        <w:start w:val="1"/>
        <w:numFmt w:val="none"/>
        <w:suff w:val="nothing"/>
        <w:lvlText w:val=""/>
        <w:lvlJc w:val="left"/>
        <w:pPr>
          <w:tabs>
            <w:tab w:val="num" w:pos="0"/>
          </w:tabs>
          <w:ind w:left="0" w:hanging="0"/>
        </w:pPr>
      </w:lvl>
    </w:lvlOverride>
    <w:lvlOverride w:ilvl="2">
      <w:lvl w:ilvl="2">
        <w:start w:val="1"/>
        <w:numFmt w:val="none"/>
        <w:suff w:val="nothing"/>
        <w:lvlText w:val=""/>
        <w:lvlJc w:val="left"/>
        <w:pPr>
          <w:tabs>
            <w:tab w:val="num" w:pos="0"/>
          </w:tabs>
          <w:ind w:left="0" w:hanging="0"/>
        </w:pPr>
      </w:lvl>
    </w:lvlOverride>
    <w:lvlOverride w:ilvl="3">
      <w:lvl w:ilvl="3">
        <w:start w:val="1"/>
        <w:numFmt w:val="none"/>
        <w:suff w:val="nothing"/>
        <w:lvlText w:val=""/>
        <w:lvlJc w:val="left"/>
        <w:pPr>
          <w:tabs>
            <w:tab w:val="num" w:pos="0"/>
          </w:tabs>
          <w:ind w:left="0" w:hanging="0"/>
        </w:pPr>
      </w:lvl>
    </w:lvlOverride>
    <w:lvlOverride w:ilvl="4">
      <w:lvl w:ilvl="4">
        <w:start w:val="1"/>
        <w:numFmt w:val="none"/>
        <w:suff w:val="nothing"/>
        <w:lvlText w:val=""/>
        <w:lvlJc w:val="left"/>
        <w:pPr>
          <w:tabs>
            <w:tab w:val="num" w:pos="0"/>
          </w:tabs>
          <w:ind w:left="0" w:hanging="0"/>
        </w:pPr>
      </w:lvl>
    </w:lvlOverride>
    <w:lvlOverride w:ilvl="5">
      <w:lvl w:ilvl="5">
        <w:start w:val="1"/>
        <w:numFmt w:val="none"/>
        <w:suff w:val="nothing"/>
        <w:lvlText w:val=""/>
        <w:lvlJc w:val="left"/>
        <w:pPr>
          <w:tabs>
            <w:tab w:val="num" w:pos="0"/>
          </w:tabs>
          <w:ind w:left="0" w:hanging="0"/>
        </w:pPr>
      </w:lvl>
    </w:lvlOverride>
    <w:lvlOverride w:ilvl="6">
      <w:lvl w:ilvl="6">
        <w:start w:val="1"/>
        <w:numFmt w:val="none"/>
        <w:suff w:val="nothing"/>
        <w:lvlText w:val=""/>
        <w:lvlJc w:val="left"/>
        <w:pPr>
          <w:tabs>
            <w:tab w:val="num" w:pos="0"/>
          </w:tabs>
          <w:ind w:left="0" w:hanging="0"/>
        </w:pPr>
      </w:lvl>
    </w:lvlOverride>
    <w:lvlOverride w:ilvl="7">
      <w:lvl w:ilvl="7">
        <w:start w:val="1"/>
        <w:numFmt w:val="none"/>
        <w:suff w:val="nothing"/>
        <w:lvlText w:val=""/>
        <w:lvlJc w:val="left"/>
        <w:pPr>
          <w:tabs>
            <w:tab w:val="num" w:pos="0"/>
          </w:tabs>
          <w:ind w:left="0" w:hanging="0"/>
        </w:pPr>
      </w:lvl>
    </w:lvlOverride>
    <w:lvlOverride w:ilvl="8">
      <w:lvl w:ilvl="8">
        <w:start w:val="1"/>
        <w:numFmt w:val="none"/>
        <w:suff w:val="nothing"/>
        <w:lvlText w:val=""/>
        <w:lvlJc w:val="left"/>
        <w:pPr>
          <w:tabs>
            <w:tab w:val="num" w:pos="0"/>
          </w:tabs>
          <w:ind w:left="0" w:hanging="0"/>
        </w:pPr>
      </w:lvl>
    </w:lvlOverride>
  </w:num>
  <w:num w:numId="16">
    <w:abstractNumId w:val="3"/>
    <w:lvlOverride w:ilvl="0">
      <w:startOverride w:val="1"/>
    </w:lvlOverride>
  </w:num>
  <w:num w:numId="17">
    <w:abstractNumId w:val="3"/>
  </w:num>
  <w:num w:numId="18">
    <w:abstractNumId w:val="3"/>
  </w:num>
  <w:num w:numId="19">
    <w:abstractNumId w:val="3"/>
  </w:num>
  <w:num w:numId="20">
    <w:abstractNumId w:val="3"/>
    <w:lvlOverride w:ilvl="1">
      <w:lvl w:ilvl="1">
        <w:start w:val="1"/>
        <w:numFmt w:val="none"/>
        <w:suff w:val="nothing"/>
        <w:lvlText w:val=""/>
        <w:lvlJc w:val="left"/>
        <w:pPr>
          <w:tabs>
            <w:tab w:val="num" w:pos="0"/>
          </w:tabs>
          <w:ind w:left="0" w:hanging="0"/>
        </w:pPr>
      </w:lvl>
    </w:lvlOverride>
    <w:lvlOverride w:ilvl="2">
      <w:lvl w:ilvl="2">
        <w:start w:val="1"/>
        <w:numFmt w:val="none"/>
        <w:suff w:val="nothing"/>
        <w:lvlText w:val=""/>
        <w:lvlJc w:val="left"/>
        <w:pPr>
          <w:tabs>
            <w:tab w:val="num" w:pos="0"/>
          </w:tabs>
          <w:ind w:left="0" w:hanging="0"/>
        </w:pPr>
      </w:lvl>
    </w:lvlOverride>
    <w:lvlOverride w:ilvl="3">
      <w:lvl w:ilvl="3">
        <w:start w:val="1"/>
        <w:numFmt w:val="none"/>
        <w:suff w:val="nothing"/>
        <w:lvlText w:val=""/>
        <w:lvlJc w:val="left"/>
        <w:pPr>
          <w:tabs>
            <w:tab w:val="num" w:pos="0"/>
          </w:tabs>
          <w:ind w:left="0" w:hanging="0"/>
        </w:pPr>
      </w:lvl>
    </w:lvlOverride>
    <w:lvlOverride w:ilvl="4">
      <w:lvl w:ilvl="4">
        <w:start w:val="1"/>
        <w:numFmt w:val="none"/>
        <w:suff w:val="nothing"/>
        <w:lvlText w:val=""/>
        <w:lvlJc w:val="left"/>
        <w:pPr>
          <w:tabs>
            <w:tab w:val="num" w:pos="0"/>
          </w:tabs>
          <w:ind w:left="0" w:hanging="0"/>
        </w:pPr>
      </w:lvl>
    </w:lvlOverride>
    <w:lvlOverride w:ilvl="5">
      <w:lvl w:ilvl="5">
        <w:start w:val="1"/>
        <w:numFmt w:val="none"/>
        <w:suff w:val="nothing"/>
        <w:lvlText w:val=""/>
        <w:lvlJc w:val="left"/>
        <w:pPr>
          <w:tabs>
            <w:tab w:val="num" w:pos="0"/>
          </w:tabs>
          <w:ind w:left="0" w:hanging="0"/>
        </w:pPr>
      </w:lvl>
    </w:lvlOverride>
    <w:lvlOverride w:ilvl="6">
      <w:lvl w:ilvl="6">
        <w:start w:val="1"/>
        <w:numFmt w:val="none"/>
        <w:suff w:val="nothing"/>
        <w:lvlText w:val=""/>
        <w:lvlJc w:val="left"/>
        <w:pPr>
          <w:tabs>
            <w:tab w:val="num" w:pos="0"/>
          </w:tabs>
          <w:ind w:left="0" w:hanging="0"/>
        </w:pPr>
      </w:lvl>
    </w:lvlOverride>
    <w:lvlOverride w:ilvl="7">
      <w:lvl w:ilvl="7">
        <w:start w:val="1"/>
        <w:numFmt w:val="none"/>
        <w:suff w:val="nothing"/>
        <w:lvlText w:val=""/>
        <w:lvlJc w:val="left"/>
        <w:pPr>
          <w:tabs>
            <w:tab w:val="num" w:pos="0"/>
          </w:tabs>
          <w:ind w:left="0" w:hanging="0"/>
        </w:pPr>
      </w:lvl>
    </w:lvlOverride>
    <w:lvlOverride w:ilvl="8">
      <w:lvl w:ilvl="8">
        <w:start w:val="1"/>
        <w:numFmt w:val="none"/>
        <w:suff w:val="nothing"/>
        <w:lvlText w:val=""/>
        <w:lvlJc w:val="left"/>
        <w:pPr>
          <w:tabs>
            <w:tab w:val="num" w:pos="0"/>
          </w:tabs>
          <w:ind w:left="0" w:hanging="0"/>
        </w:pPr>
      </w:lvl>
    </w:lvlOverride>
  </w:num>
  <w:num w:numId="21">
    <w:abstractNumId w:val="3"/>
    <w:lvlOverride w:ilvl="1">
      <w:lvl w:ilvl="1">
        <w:start w:val="1"/>
        <w:numFmt w:val="none"/>
        <w:suff w:val="nothing"/>
        <w:lvlText w:val=""/>
        <w:lvlJc w:val="left"/>
        <w:pPr>
          <w:tabs>
            <w:tab w:val="num" w:pos="0"/>
          </w:tabs>
          <w:ind w:left="0" w:hanging="0"/>
        </w:pPr>
      </w:lvl>
    </w:lvlOverride>
    <w:lvlOverride w:ilvl="2">
      <w:lvl w:ilvl="2">
        <w:start w:val="1"/>
        <w:numFmt w:val="none"/>
        <w:suff w:val="nothing"/>
        <w:lvlText w:val=""/>
        <w:lvlJc w:val="left"/>
        <w:pPr>
          <w:tabs>
            <w:tab w:val="num" w:pos="0"/>
          </w:tabs>
          <w:ind w:left="0" w:hanging="0"/>
        </w:pPr>
      </w:lvl>
    </w:lvlOverride>
    <w:lvlOverride w:ilvl="3">
      <w:lvl w:ilvl="3">
        <w:start w:val="1"/>
        <w:numFmt w:val="none"/>
        <w:suff w:val="nothing"/>
        <w:lvlText w:val=""/>
        <w:lvlJc w:val="left"/>
        <w:pPr>
          <w:tabs>
            <w:tab w:val="num" w:pos="0"/>
          </w:tabs>
          <w:ind w:left="0" w:hanging="0"/>
        </w:pPr>
      </w:lvl>
    </w:lvlOverride>
    <w:lvlOverride w:ilvl="4">
      <w:lvl w:ilvl="4">
        <w:start w:val="1"/>
        <w:numFmt w:val="none"/>
        <w:suff w:val="nothing"/>
        <w:lvlText w:val=""/>
        <w:lvlJc w:val="left"/>
        <w:pPr>
          <w:tabs>
            <w:tab w:val="num" w:pos="0"/>
          </w:tabs>
          <w:ind w:left="0" w:hanging="0"/>
        </w:pPr>
      </w:lvl>
    </w:lvlOverride>
    <w:lvlOverride w:ilvl="5">
      <w:lvl w:ilvl="5">
        <w:start w:val="1"/>
        <w:numFmt w:val="none"/>
        <w:suff w:val="nothing"/>
        <w:lvlText w:val=""/>
        <w:lvlJc w:val="left"/>
        <w:pPr>
          <w:tabs>
            <w:tab w:val="num" w:pos="0"/>
          </w:tabs>
          <w:ind w:left="0" w:hanging="0"/>
        </w:pPr>
      </w:lvl>
    </w:lvlOverride>
    <w:lvlOverride w:ilvl="6">
      <w:lvl w:ilvl="6">
        <w:start w:val="1"/>
        <w:numFmt w:val="none"/>
        <w:suff w:val="nothing"/>
        <w:lvlText w:val=""/>
        <w:lvlJc w:val="left"/>
        <w:pPr>
          <w:tabs>
            <w:tab w:val="num" w:pos="0"/>
          </w:tabs>
          <w:ind w:left="0" w:hanging="0"/>
        </w:pPr>
      </w:lvl>
    </w:lvlOverride>
    <w:lvlOverride w:ilvl="7">
      <w:lvl w:ilvl="7">
        <w:start w:val="1"/>
        <w:numFmt w:val="none"/>
        <w:suff w:val="nothing"/>
        <w:lvlText w:val=""/>
        <w:lvlJc w:val="left"/>
        <w:pPr>
          <w:tabs>
            <w:tab w:val="num" w:pos="0"/>
          </w:tabs>
          <w:ind w:left="0" w:hanging="0"/>
        </w:pPr>
      </w:lvl>
    </w:lvlOverride>
    <w:lvlOverride w:ilvl="8">
      <w:lvl w:ilvl="8">
        <w:start w:val="1"/>
        <w:numFmt w:val="none"/>
        <w:suff w:val="nothing"/>
        <w:lvlText w:val=""/>
        <w:lvlJc w:val="left"/>
        <w:pPr>
          <w:tabs>
            <w:tab w:val="num" w:pos="0"/>
          </w:tabs>
          <w:ind w:left="0" w:hanging="0"/>
        </w:pPr>
      </w:lvl>
    </w:lvlOverride>
  </w:num>
  <w:num w:numId="22">
    <w:abstractNumId w:val="3"/>
    <w:lvlOverride w:ilvl="0">
      <w:startOverride w:val="1"/>
    </w:lvlOverride>
  </w:num>
</w:numbering>
</file>

<file path=word/settings.xml><?xml version="1.0" encoding="utf-8"?>
<w:settings xmlns:w="http://schemas.openxmlformats.org/wordprocessingml/2006/main">
  <w:zoom w:percent="100"/>
  <w:defaultTabStop w:val="708"/>
  <w:autoHyphenation w:val="true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hyphenationZone w:val="425"/>
  <w:themeFontLang w:val="cs-CZ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Times New Roman"/>
        <w:lang w:val="sk-SK" w:eastAsia="sk-SK" w:bidi="ar-SA"/>
      </w:rPr>
    </w:rPrDefault>
    <w:pPrDefault>
      <w:pPr>
        <w:suppressAutoHyphens w:val="true"/>
      </w:pPr>
    </w:pPrDefault>
  </w:docDefaults>
  <w:latentStyles w:defLockedState="0" w:defUIPriority="99" w:defSemiHidden="1" w:defUnhideWhenUsed="1" w:defQFormat="0" w:count="267">
    <w:lsdException w:name="Normal" w:locked="1" w:uiPriority="0" w:semiHidden="0" w:unhideWhenUsed="0" w:qFormat="1"/>
    <w:lsdException w:name="heading 1" w:locked="1" w:uiPriority="0" w:semiHidden="0" w:unhideWhenUsed="0" w:qFormat="1"/>
    <w:lsdException w:name="heading 2" w:locked="1" w:uiPriority="0" w:semiHidden="0" w:unhideWhenUsed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semiHidden="0" w:unhideWhenUsed="0" w:qFormat="1"/>
    <w:lsdException w:name="heading 7" w:locked="1" w:uiPriority="0" w:qFormat="1"/>
    <w:lsdException w:name="heading 8" w:locked="1" w:uiPriority="0" w:qFormat="1"/>
    <w:lsdException w:name="heading 9" w:locked="1" w:uiPriority="0" w:semiHidden="0" w:qFormat="1"/>
    <w:lsdException w:name="toc 1" w:locked="1" w:uiPriority="0" w:semiHidden="0"/>
    <w:lsdException w:name="toc 2" w:locked="1" w:uiPriority="0" w:semiHidden="0"/>
    <w:lsdException w:name="toc 3" w:locked="1" w:uiPriority="0" w:semiHidden="0"/>
    <w:lsdException w:name="toc 4" w:locked="1" w:uiPriority="0" w:semiHidden="0"/>
    <w:lsdException w:name="toc 5" w:locked="1" w:uiPriority="0" w:semiHidden="0"/>
    <w:lsdException w:name="toc 6" w:locked="1" w:uiPriority="0" w:semiHidden="0"/>
    <w:lsdException w:name="toc 7" w:locked="1" w:uiPriority="0" w:semiHidden="0"/>
    <w:lsdException w:name="toc 8" w:locked="1" w:uiPriority="0" w:semiHidden="0"/>
    <w:lsdException w:name="toc 9" w:locked="1" w:uiPriority="0" w:semiHidden="0"/>
    <w:lsdException w:name="header" w:locked="1" w:semiHidden="0"/>
    <w:lsdException w:name="footer" w:locked="1" w:uiPriority="0" w:semiHidden="0"/>
    <w:lsdException w:name="caption" w:locked="1" w:uiPriority="0" w:qFormat="1"/>
    <w:lsdException w:name="footnote reference" w:locked="1" w:uiPriority="0" w:semiHidden="0"/>
    <w:lsdException w:name="page number" w:locked="1" w:uiPriority="0" w:semiHidden="0"/>
    <w:lsdException w:name="Title" w:locked="1" w:uiPriority="0" w:semiHidden="0" w:unhideWhenUsed="0" w:qFormat="1"/>
    <w:lsdException w:name="Default Paragraph Font" w:locked="1" w:uiPriority="0" w:semiHidden="0"/>
    <w:lsdException w:name="Body Text" w:locked="1" w:semiHidden="0"/>
    <w:lsdException w:name="Subtitle" w:locked="1" w:uiPriority="0" w:semiHidden="0" w:unhideWhenUsed="0" w:qFormat="1"/>
    <w:lsdException w:name="Strong" w:locked="1" w:uiPriority="0" w:semiHidden="0" w:unhideWhenUsed="0" w:qFormat="1"/>
    <w:lsdException w:name="Emphasis" w:locked="1" w:uiPriority="0" w:semiHidden="0" w:unhideWhenUsed="0" w:qFormat="1"/>
    <w:lsdException w:name="Table Grid" w:locked="1" w:uiPriority="0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rsid w:val="00e95128"/>
    <w:pPr>
      <w:widowControl/>
      <w:suppressAutoHyphens w:val="true"/>
      <w:bidi w:val="0"/>
      <w:spacing w:before="0" w:after="0"/>
      <w:jc w:val="left"/>
    </w:pPr>
    <w:rPr>
      <w:rFonts w:ascii="Times New Roman" w:hAnsi="Times New Roman" w:eastAsia="Times New Roman" w:cs="Times New Roman"/>
      <w:color w:val="auto"/>
      <w:kern w:val="0"/>
      <w:sz w:val="20"/>
      <w:szCs w:val="20"/>
      <w:lang w:val="sk-SK" w:eastAsia="en-US" w:bidi="ar-SA"/>
    </w:rPr>
  </w:style>
  <w:style w:type="paragraph" w:styleId="Nadpis1">
    <w:name w:val="Heading 1"/>
    <w:basedOn w:val="Normal"/>
    <w:next w:val="Normal"/>
    <w:link w:val="Nadpis1Char"/>
    <w:uiPriority w:val="99"/>
    <w:qFormat/>
    <w:rsid w:val="00027530"/>
    <w:pPr>
      <w:keepNext w:val="true"/>
      <w:numPr>
        <w:ilvl w:val="0"/>
        <w:numId w:val="2"/>
      </w:numPr>
      <w:tabs>
        <w:tab w:val="clear" w:pos="708"/>
        <w:tab w:val="left" w:pos="360" w:leader="none"/>
      </w:tabs>
      <w:spacing w:before="120" w:after="60"/>
      <w:ind w:left="360" w:hanging="0"/>
    </w:pPr>
    <w:rPr>
      <w:b/>
      <w:caps/>
      <w:sz w:val="18"/>
    </w:rPr>
  </w:style>
  <w:style w:type="paragraph" w:styleId="Nadpis2">
    <w:name w:val="Heading 2"/>
    <w:basedOn w:val="Normal"/>
    <w:next w:val="Normal"/>
    <w:link w:val="Nadpis2Char"/>
    <w:uiPriority w:val="99"/>
    <w:qFormat/>
    <w:rsid w:val="00e95128"/>
    <w:pPr>
      <w:keepNext w:val="true"/>
      <w:numPr>
        <w:ilvl w:val="0"/>
        <w:numId w:val="1"/>
      </w:numPr>
      <w:outlineLvl w:val="0"/>
    </w:pPr>
    <w:rPr>
      <w:b/>
      <w:sz w:val="18"/>
    </w:rPr>
  </w:style>
  <w:style w:type="paragraph" w:styleId="Nadpis6">
    <w:name w:val="Heading 6"/>
    <w:basedOn w:val="Normal"/>
    <w:next w:val="Normal"/>
    <w:link w:val="Nadpis6Char"/>
    <w:uiPriority w:val="99"/>
    <w:qFormat/>
    <w:rsid w:val="00e95128"/>
    <w:pPr>
      <w:keepNext w:val="true"/>
      <w:outlineLvl w:val="5"/>
    </w:pPr>
    <w:rPr>
      <w:b/>
      <w:caps/>
      <w:sz w:val="32"/>
    </w:rPr>
  </w:style>
  <w:style w:type="paragraph" w:styleId="Nadpis9">
    <w:name w:val="Heading 9"/>
    <w:basedOn w:val="Normal"/>
    <w:next w:val="Normal"/>
    <w:link w:val="Nadpis9Char"/>
    <w:uiPriority w:val="99"/>
    <w:qFormat/>
    <w:rsid w:val="003e0fa2"/>
    <w:pPr>
      <w:keepNext w:val="true"/>
      <w:keepLines/>
      <w:spacing w:before="200" w:after="0"/>
      <w:outlineLvl w:val="8"/>
    </w:pPr>
    <w:rPr>
      <w:rFonts w:ascii="Cambria" w:hAnsi="Cambria"/>
      <w:i/>
      <w:iCs/>
      <w:color w:val="404040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Nadpis1Char" w:customStyle="1">
    <w:name w:val="Nadpis 1 Char"/>
    <w:link w:val="Nadpis1"/>
    <w:uiPriority w:val="99"/>
    <w:qFormat/>
    <w:locked/>
    <w:rsid w:val="00027530"/>
    <w:rPr>
      <w:rFonts w:ascii="Times New Roman" w:hAnsi="Times New Roman" w:eastAsia="Times New Roman"/>
      <w:b/>
      <w:caps/>
      <w:sz w:val="18"/>
      <w:lang w:eastAsia="en-US"/>
    </w:rPr>
  </w:style>
  <w:style w:type="character" w:styleId="Nadpis2Char" w:customStyle="1">
    <w:name w:val="Nadpis 2 Char"/>
    <w:link w:val="Nadpis2"/>
    <w:uiPriority w:val="99"/>
    <w:qFormat/>
    <w:locked/>
    <w:rsid w:val="00e95128"/>
    <w:rPr>
      <w:rFonts w:ascii="Times New Roman" w:hAnsi="Times New Roman" w:eastAsia="Times New Roman"/>
      <w:b/>
      <w:sz w:val="18"/>
      <w:lang w:eastAsia="en-US"/>
    </w:rPr>
  </w:style>
  <w:style w:type="character" w:styleId="Nadpis6Char" w:customStyle="1">
    <w:name w:val="Nadpis 6 Char"/>
    <w:link w:val="Nadpis6"/>
    <w:uiPriority w:val="99"/>
    <w:qFormat/>
    <w:locked/>
    <w:rsid w:val="00e95128"/>
    <w:rPr>
      <w:rFonts w:ascii="Times New Roman" w:hAnsi="Times New Roman" w:cs="Times New Roman"/>
      <w:b/>
      <w:caps/>
      <w:sz w:val="20"/>
      <w:szCs w:val="20"/>
    </w:rPr>
  </w:style>
  <w:style w:type="character" w:styleId="Nadpis9Char" w:customStyle="1">
    <w:name w:val="Nadpis 9 Char"/>
    <w:link w:val="Nadpis9"/>
    <w:uiPriority w:val="99"/>
    <w:semiHidden/>
    <w:qFormat/>
    <w:locked/>
    <w:rsid w:val="003e0fa2"/>
    <w:rPr>
      <w:rFonts w:ascii="Cambria" w:hAnsi="Cambria" w:cs="Times New Roman"/>
      <w:i/>
      <w:iCs/>
      <w:color w:val="404040"/>
      <w:sz w:val="20"/>
      <w:szCs w:val="20"/>
    </w:rPr>
  </w:style>
  <w:style w:type="character" w:styleId="HlavikaChar" w:customStyle="1">
    <w:name w:val="Hlavička Char"/>
    <w:link w:val="Hlavika"/>
    <w:uiPriority w:val="99"/>
    <w:qFormat/>
    <w:locked/>
    <w:rsid w:val="00e95128"/>
    <w:rPr>
      <w:rFonts w:cs="Times New Roman"/>
    </w:rPr>
  </w:style>
  <w:style w:type="character" w:styleId="PtaChar" w:customStyle="1">
    <w:name w:val="Päta Char"/>
    <w:link w:val="Pta"/>
    <w:uiPriority w:val="99"/>
    <w:qFormat/>
    <w:locked/>
    <w:rsid w:val="00e95128"/>
    <w:rPr>
      <w:rFonts w:cs="Times New Roman"/>
    </w:rPr>
  </w:style>
  <w:style w:type="character" w:styleId="Pagenumber">
    <w:name w:val="page number"/>
    <w:uiPriority w:val="99"/>
    <w:qFormat/>
    <w:rsid w:val="00e95128"/>
    <w:rPr>
      <w:rFonts w:cs="Times New Roman"/>
    </w:rPr>
  </w:style>
  <w:style w:type="character" w:styleId="ZkladntextChar" w:customStyle="1">
    <w:name w:val="Základný text Char"/>
    <w:link w:val="Zkladntext"/>
    <w:uiPriority w:val="99"/>
    <w:qFormat/>
    <w:locked/>
    <w:rsid w:val="00e95128"/>
    <w:rPr>
      <w:rFonts w:ascii="Times New Roman" w:hAnsi="Times New Roman" w:cs="Times New Roman"/>
      <w:sz w:val="20"/>
      <w:szCs w:val="20"/>
    </w:rPr>
  </w:style>
  <w:style w:type="character" w:styleId="Ukotveniepoznmkypodiarou">
    <w:name w:val="Ukotvenie poznámky pod čiarou"/>
    <w:rPr>
      <w:rFonts w:cs="Times New Roman"/>
      <w:sz w:val="16"/>
      <w:szCs w:val="16"/>
      <w:vertAlign w:val="superscript"/>
    </w:rPr>
  </w:style>
  <w:style w:type="character" w:styleId="FootnoteCharacters">
    <w:name w:val="Footnote Characters"/>
    <w:uiPriority w:val="99"/>
    <w:semiHidden/>
    <w:qFormat/>
    <w:rsid w:val="00e95128"/>
    <w:rPr>
      <w:rFonts w:cs="Times New Roman"/>
      <w:sz w:val="16"/>
      <w:szCs w:val="16"/>
      <w:vertAlign w:val="superscript"/>
    </w:rPr>
  </w:style>
  <w:style w:type="character" w:styleId="ZifChar" w:customStyle="1">
    <w:name w:val="zif Char"/>
    <w:link w:val="zif"/>
    <w:uiPriority w:val="99"/>
    <w:qFormat/>
    <w:locked/>
    <w:rsid w:val="00e95128"/>
    <w:rPr>
      <w:rFonts w:ascii="Times" w:hAnsi="Times" w:cs="Times New Roman"/>
      <w:sz w:val="20"/>
      <w:szCs w:val="20"/>
      <w:lang w:val="en-US"/>
    </w:rPr>
  </w:style>
  <w:style w:type="character" w:styleId="TextbublinyChar" w:customStyle="1">
    <w:name w:val="Text bubliny Char"/>
    <w:link w:val="Textbubliny"/>
    <w:uiPriority w:val="99"/>
    <w:semiHidden/>
    <w:qFormat/>
    <w:locked/>
    <w:rsid w:val="004b69e1"/>
    <w:rPr>
      <w:rFonts w:ascii="Tahoma" w:hAnsi="Tahoma" w:cs="Tahoma"/>
      <w:sz w:val="16"/>
      <w:szCs w:val="16"/>
    </w:rPr>
  </w:style>
  <w:style w:type="character" w:styleId="Annotationreference">
    <w:name w:val="annotation reference"/>
    <w:uiPriority w:val="99"/>
    <w:semiHidden/>
    <w:qFormat/>
    <w:rsid w:val="00574527"/>
    <w:rPr>
      <w:rFonts w:cs="Times New Roman"/>
      <w:sz w:val="16"/>
      <w:szCs w:val="16"/>
    </w:rPr>
  </w:style>
  <w:style w:type="character" w:styleId="TextkomentraChar" w:customStyle="1">
    <w:name w:val="Text komentára Char"/>
    <w:link w:val="Textkomentra"/>
    <w:uiPriority w:val="99"/>
    <w:semiHidden/>
    <w:qFormat/>
    <w:locked/>
    <w:rsid w:val="00574527"/>
    <w:rPr>
      <w:rFonts w:ascii="Times New Roman" w:hAnsi="Times New Roman" w:cs="Times New Roman"/>
      <w:sz w:val="20"/>
      <w:szCs w:val="20"/>
    </w:rPr>
  </w:style>
  <w:style w:type="character" w:styleId="PredmetkomentraChar" w:customStyle="1">
    <w:name w:val="Predmet komentára Char"/>
    <w:link w:val="Predmetkomentra"/>
    <w:uiPriority w:val="99"/>
    <w:semiHidden/>
    <w:qFormat/>
    <w:locked/>
    <w:rsid w:val="00574527"/>
    <w:rPr>
      <w:rFonts w:ascii="Times New Roman" w:hAnsi="Times New Roman" w:cs="Times New Roman"/>
      <w:b/>
      <w:bCs/>
      <w:sz w:val="20"/>
      <w:szCs w:val="20"/>
    </w:rPr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Telotextu">
    <w:name w:val="Body Text"/>
    <w:basedOn w:val="Normal"/>
    <w:link w:val="ZkladntextChar"/>
    <w:uiPriority w:val="99"/>
    <w:rsid w:val="00e95128"/>
    <w:pPr>
      <w:ind w:left="426" w:hanging="0"/>
      <w:jc w:val="both"/>
    </w:pPr>
    <w:rPr>
      <w:sz w:val="18"/>
    </w:rPr>
  </w:style>
  <w:style w:type="paragraph" w:styleId="Zoznam">
    <w:name w:val="List"/>
    <w:basedOn w:val="Telotextu"/>
    <w:pPr/>
    <w:rPr>
      <w:rFonts w:cs="Lucida Sans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Lucida Sans"/>
      <w:lang w:val="zxx" w:eastAsia="zxx" w:bidi="zxx"/>
    </w:rPr>
  </w:style>
  <w:style w:type="paragraph" w:styleId="Hlavikaapta">
    <w:name w:val="Hlavička a päta"/>
    <w:basedOn w:val="Normal"/>
    <w:qFormat/>
    <w:pPr/>
    <w:rPr/>
  </w:style>
  <w:style w:type="paragraph" w:styleId="Zhlavie">
    <w:name w:val="Header"/>
    <w:basedOn w:val="Normal"/>
    <w:link w:val="HlavikaChar"/>
    <w:uiPriority w:val="99"/>
    <w:rsid w:val="00e95128"/>
    <w:pPr>
      <w:tabs>
        <w:tab w:val="clear" w:pos="708"/>
        <w:tab w:val="center" w:pos="4536" w:leader="none"/>
        <w:tab w:val="right" w:pos="9072" w:leader="none"/>
      </w:tabs>
    </w:pPr>
    <w:rPr/>
  </w:style>
  <w:style w:type="paragraph" w:styleId="Pta">
    <w:name w:val="Footer"/>
    <w:basedOn w:val="Normal"/>
    <w:link w:val="PtaChar"/>
    <w:uiPriority w:val="99"/>
    <w:rsid w:val="00e95128"/>
    <w:pPr>
      <w:tabs>
        <w:tab w:val="clear" w:pos="708"/>
        <w:tab w:val="center" w:pos="4536" w:leader="none"/>
        <w:tab w:val="right" w:pos="9072" w:leader="none"/>
      </w:tabs>
    </w:pPr>
    <w:rPr/>
  </w:style>
  <w:style w:type="paragraph" w:styleId="Uvod" w:customStyle="1">
    <w:name w:val="Uvod"/>
    <w:basedOn w:val="Normal"/>
    <w:uiPriority w:val="99"/>
    <w:qFormat/>
    <w:rsid w:val="00e95128"/>
    <w:pPr>
      <w:ind w:left="284" w:hanging="284"/>
      <w:jc w:val="both"/>
    </w:pPr>
    <w:rPr>
      <w:sz w:val="22"/>
    </w:rPr>
  </w:style>
  <w:style w:type="paragraph" w:styleId="Lita" w:customStyle="1">
    <w:name w:val="lit_a"/>
    <w:basedOn w:val="Normal"/>
    <w:uiPriority w:val="99"/>
    <w:qFormat/>
    <w:rsid w:val="00e95128"/>
    <w:pPr>
      <w:spacing w:before="0" w:after="20"/>
      <w:ind w:left="624" w:hanging="340"/>
      <w:jc w:val="both"/>
    </w:pPr>
    <w:rPr>
      <w:rFonts w:ascii="Times" w:hAnsi="Times"/>
      <w:lang w:val="en-US"/>
    </w:rPr>
  </w:style>
  <w:style w:type="paragraph" w:styleId="Zif" w:customStyle="1">
    <w:name w:val="zif"/>
    <w:basedOn w:val="Normal"/>
    <w:link w:val="zifChar"/>
    <w:uiPriority w:val="99"/>
    <w:qFormat/>
    <w:rsid w:val="00e95128"/>
    <w:pPr>
      <w:tabs>
        <w:tab w:val="clear" w:pos="708"/>
        <w:tab w:val="left" w:pos="620" w:leader="none"/>
      </w:tabs>
      <w:spacing w:before="0" w:after="80"/>
      <w:jc w:val="both"/>
    </w:pPr>
    <w:rPr>
      <w:rFonts w:ascii="Times" w:hAnsi="Times"/>
      <w:lang w:val="en-US"/>
    </w:rPr>
  </w:style>
  <w:style w:type="paragraph" w:styleId="ListParagraph">
    <w:name w:val="List Paragraph"/>
    <w:basedOn w:val="Normal"/>
    <w:uiPriority w:val="99"/>
    <w:qFormat/>
    <w:rsid w:val="00e95128"/>
    <w:pPr>
      <w:ind w:left="708" w:hanging="0"/>
    </w:pPr>
    <w:rPr/>
  </w:style>
  <w:style w:type="paragraph" w:styleId="Tabulka" w:customStyle="1">
    <w:name w:val="Tabulka"/>
    <w:basedOn w:val="Normal"/>
    <w:uiPriority w:val="99"/>
    <w:qFormat/>
    <w:rsid w:val="00160aaa"/>
    <w:pPr/>
    <w:rPr>
      <w:color w:val="000000"/>
      <w:sz w:val="18"/>
    </w:rPr>
  </w:style>
  <w:style w:type="paragraph" w:styleId="Pismenka" w:customStyle="1">
    <w:name w:val="Pismenka"/>
    <w:basedOn w:val="Telotextu"/>
    <w:uiPriority w:val="99"/>
    <w:qFormat/>
    <w:rsid w:val="00160aaa"/>
    <w:pPr>
      <w:numPr>
        <w:ilvl w:val="0"/>
        <w:numId w:val="4"/>
      </w:numPr>
      <w:tabs>
        <w:tab w:val="clear" w:pos="708"/>
        <w:tab w:val="left" w:pos="426" w:leader="none"/>
      </w:tabs>
      <w:ind w:left="426" w:hanging="426"/>
    </w:pPr>
    <w:rPr>
      <w:b/>
    </w:rPr>
  </w:style>
  <w:style w:type="paragraph" w:styleId="BalloonText">
    <w:name w:val="Balloon Text"/>
    <w:basedOn w:val="Normal"/>
    <w:link w:val="TextbublinyChar"/>
    <w:uiPriority w:val="99"/>
    <w:semiHidden/>
    <w:qFormat/>
    <w:rsid w:val="004b69e1"/>
    <w:pPr/>
    <w:rPr>
      <w:rFonts w:ascii="Tahoma" w:hAnsi="Tahoma" w:cs="Tahoma"/>
      <w:sz w:val="16"/>
      <w:szCs w:val="16"/>
    </w:rPr>
  </w:style>
  <w:style w:type="paragraph" w:styleId="Annotationtext">
    <w:name w:val="annotation text"/>
    <w:basedOn w:val="Normal"/>
    <w:link w:val="TextkomentraChar"/>
    <w:uiPriority w:val="99"/>
    <w:semiHidden/>
    <w:qFormat/>
    <w:rsid w:val="00574527"/>
    <w:pPr/>
    <w:rPr/>
  </w:style>
  <w:style w:type="paragraph" w:styleId="Annotationsubject">
    <w:name w:val="annotation subject"/>
    <w:basedOn w:val="Annotationtext"/>
    <w:next w:val="Annotationtext"/>
    <w:link w:val="PredmetkomentraChar"/>
    <w:uiPriority w:val="99"/>
    <w:semiHidden/>
    <w:qFormat/>
    <w:rsid w:val="00574527"/>
    <w:pPr/>
    <w:rPr>
      <w:b/>
      <w:bCs/>
    </w:rPr>
  </w:style>
  <w:style w:type="paragraph" w:styleId="Revision">
    <w:name w:val="Revision"/>
    <w:uiPriority w:val="99"/>
    <w:semiHidden/>
    <w:qFormat/>
    <w:rsid w:val="00574527"/>
    <w:pPr>
      <w:widowControl/>
      <w:suppressAutoHyphens w:val="true"/>
      <w:bidi w:val="0"/>
      <w:spacing w:before="0" w:after="0"/>
      <w:jc w:val="left"/>
    </w:pPr>
    <w:rPr>
      <w:rFonts w:ascii="Times New Roman" w:hAnsi="Times New Roman" w:eastAsia="Times New Roman" w:cs="Times New Roman"/>
      <w:color w:val="auto"/>
      <w:kern w:val="0"/>
      <w:sz w:val="20"/>
      <w:szCs w:val="20"/>
      <w:lang w:val="sk-SK" w:eastAsia="en-US" w:bidi="ar-SA"/>
    </w:rPr>
  </w:style>
  <w:style w:type="paragraph" w:styleId="Subhead2" w:customStyle="1">
    <w:name w:val="Subhead 2"/>
    <w:basedOn w:val="Normal"/>
    <w:uiPriority w:val="99"/>
    <w:qFormat/>
    <w:rsid w:val="00e45d99"/>
    <w:pPr>
      <w:tabs>
        <w:tab w:val="clear" w:pos="708"/>
        <w:tab w:val="left" w:pos="1531" w:leader="none"/>
      </w:tabs>
      <w:spacing w:lineRule="atLeast" w:line="260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styleId="TabelLinks" w:customStyle="1">
    <w:name w:val="tabelLinks"/>
    <w:basedOn w:val="Normal"/>
    <w:uiPriority w:val="99"/>
    <w:qFormat/>
    <w:rsid w:val="00ea71f4"/>
    <w:pPr>
      <w:spacing w:lineRule="exact" w:line="260"/>
    </w:pPr>
    <w:rPr>
      <w:rFonts w:ascii="Times" w:hAnsi="Times"/>
      <w:sz w:val="18"/>
      <w:lang w:val="en-GB"/>
    </w:rPr>
  </w:style>
  <w:style w:type="paragraph" w:styleId="Default" w:customStyle="1">
    <w:name w:val="Default"/>
    <w:qFormat/>
    <w:rsid w:val="00c5649d"/>
    <w:pPr>
      <w:widowControl/>
      <w:suppressAutoHyphens w:val="true"/>
      <w:bidi w:val="0"/>
      <w:spacing w:before="0" w:after="0"/>
      <w:jc w:val="left"/>
    </w:pPr>
    <w:rPr>
      <w:rFonts w:ascii="Arial" w:hAnsi="Arial" w:eastAsia="Calibri" w:cs="Arial"/>
      <w:color w:val="000000"/>
      <w:kern w:val="0"/>
      <w:sz w:val="24"/>
      <w:szCs w:val="24"/>
      <w:lang w:val="sk-SK" w:eastAsia="sk-SK" w:bidi="ar-SA"/>
    </w:rPr>
  </w:style>
  <w:style w:type="paragraph" w:styleId="TopHeader" w:customStyle="1">
    <w:name w:val="Top Header"/>
    <w:basedOn w:val="Normal"/>
    <w:uiPriority w:val="99"/>
    <w:qFormat/>
    <w:rsid w:val="003b77e0"/>
    <w:pPr>
      <w:jc w:val="center"/>
    </w:pPr>
    <w:rPr>
      <w:rFonts w:ascii="Arial Narrow" w:hAnsi="Arial Narrow"/>
      <w:b/>
      <w:bCs/>
      <w:sz w:val="22"/>
      <w:szCs w:val="22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numbering" Target="numbering.xml"/><Relationship Id="rId4" Type="http://schemas.openxmlformats.org/officeDocument/2006/relationships/fontTable" Target="fontTable.xml"/><Relationship Id="rId5" Type="http://schemas.openxmlformats.org/officeDocument/2006/relationships/settings" Target="settings.xml"/><Relationship Id="rId6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Application>LibreOffice/7.2.0.4$Windows_X86_64 LibreOffice_project/9a9c6381e3f7a62afc1329bd359cc48accb6435b</Application>
  <AppVersion>15.0000</AppVersion>
  <Pages>3</Pages>
  <Words>954</Words>
  <Characters>5700</Characters>
  <CharactersWithSpaces>6565</CharactersWithSpaces>
  <Paragraphs>105</Paragraphs>
  <Company>KPMG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2016-06-30T12:38:00Z</dcterms:created>
  <dc:creator>lstankovits</dc:creator>
  <dc:description/>
  <dc:language>sk-SK</dc:language>
  <cp:lastModifiedBy/>
  <cp:lastPrinted>2015-02-10T09:55:00Z</cp:lastPrinted>
  <dcterms:modified xsi:type="dcterms:W3CDTF">2022-06-29T21:49:35Z</dcterms:modified>
  <cp:revision>4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