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1D35" w:rsidRDefault="003D1D35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770DB9" w:rsidRPr="00770DB9" w:rsidTr="00E20789">
        <w:trPr>
          <w:trHeight w:val="110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3904" w:type="pct"/>
            <w:vAlign w:val="center"/>
          </w:tcPr>
          <w:p w:rsidR="00770DB9" w:rsidRPr="00770DB9" w:rsidRDefault="00770DB9" w:rsidP="006E3125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 </w:t>
            </w:r>
            <w:r w:rsidR="006E3125">
              <w:rPr>
                <w:rFonts w:cs="Arial"/>
                <w:sz w:val="20"/>
                <w:szCs w:val="22"/>
                <w:lang w:eastAsia="sk-SK"/>
              </w:rPr>
              <w:t>PETRO CS s.  r. o.</w:t>
            </w:r>
          </w:p>
        </w:tc>
      </w:tr>
      <w:tr w:rsidR="00770DB9" w:rsidRPr="00770DB9" w:rsidTr="00E20789">
        <w:trPr>
          <w:trHeight w:val="39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3904" w:type="pct"/>
            <w:vAlign w:val="center"/>
          </w:tcPr>
          <w:p w:rsidR="00770DB9" w:rsidRPr="00770DB9" w:rsidRDefault="006E3125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Jelenia 17 Nové Zámky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70DB9" w:rsidRPr="006E3125" w:rsidRDefault="00770DB9" w:rsidP="003912D2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6E3125">
        <w:rPr>
          <w:rFonts w:cs="Arial"/>
          <w:color w:val="C00000"/>
          <w:sz w:val="20"/>
          <w:szCs w:val="24"/>
          <w:lang w:eastAsia="sk-SK"/>
        </w:rPr>
        <w:t>Dátum schválenia účtovnej závierky za bezprostredne predchádzajúce účtovné obdobie</w:t>
      </w:r>
      <w:r w:rsidR="00726E30" w:rsidRPr="006E3125">
        <w:rPr>
          <w:rFonts w:cs="Arial"/>
          <w:color w:val="C00000"/>
          <w:sz w:val="20"/>
          <w:szCs w:val="24"/>
          <w:lang w:eastAsia="sk-SK"/>
        </w:rPr>
        <w:t xml:space="preserve"> 21. 0</w:t>
      </w:r>
      <w:r w:rsidR="006E3125" w:rsidRPr="006E3125">
        <w:rPr>
          <w:rFonts w:cs="Arial"/>
          <w:color w:val="C00000"/>
          <w:sz w:val="20"/>
          <w:szCs w:val="24"/>
          <w:lang w:eastAsia="sk-SK"/>
        </w:rPr>
        <w:t>6</w:t>
      </w:r>
      <w:r w:rsidR="00726E30" w:rsidRPr="006E3125">
        <w:rPr>
          <w:rFonts w:cs="Arial"/>
          <w:color w:val="C00000"/>
          <w:sz w:val="20"/>
          <w:szCs w:val="24"/>
          <w:lang w:eastAsia="sk-SK"/>
        </w:rPr>
        <w:t>. 2021</w:t>
      </w:r>
    </w:p>
    <w:p w:rsidR="00770DB9" w:rsidRPr="00AF1B96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Právny dôvod zostavenia účtovnej závierky</w:t>
      </w:r>
      <w:r w:rsidR="00726E30">
        <w:rPr>
          <w:rFonts w:cs="Arial"/>
          <w:color w:val="C00000"/>
          <w:sz w:val="20"/>
          <w:szCs w:val="24"/>
          <w:lang w:eastAsia="sk-SK"/>
        </w:rPr>
        <w:t>, účtovná závierka k 31. 12. Je zostavená</w:t>
      </w:r>
    </w:p>
    <w:p w:rsidR="00726E30" w:rsidRDefault="00726E30" w:rsidP="00726E30">
      <w:pPr>
        <w:pStyle w:val="Odsekzoznamu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 xml:space="preserve"> ako riadna účtovná závierka podľa § 47 ods. 6 zákona NR SR č. 431/2002 Z. z. o účtovníctve za účtovné obdobie od januára do decembra 2021 k poslednému dňu kalendárneho roka.</w:t>
      </w:r>
      <w:r w:rsidR="006E3125">
        <w:rPr>
          <w:rFonts w:cs="Arial"/>
          <w:color w:val="C00000"/>
          <w:sz w:val="20"/>
          <w:szCs w:val="24"/>
          <w:lang w:eastAsia="sk-SK"/>
        </w:rPr>
        <w:t>2021</w:t>
      </w:r>
    </w:p>
    <w:p w:rsidR="00726E30" w:rsidRPr="00AF1B96" w:rsidRDefault="00726E30" w:rsidP="00726E30">
      <w:pPr>
        <w:spacing w:after="0" w:line="240" w:lineRule="auto"/>
        <w:ind w:left="774"/>
        <w:jc w:val="both"/>
        <w:rPr>
          <w:rFonts w:cs="Arial"/>
          <w:color w:val="C00000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770DB9" w:rsidRPr="00AF1B96" w:rsidTr="00E20789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770DB9" w:rsidRPr="00AF1B96" w:rsidRDefault="00770DB9" w:rsidP="00E20789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</w:tbl>
    <w:p w:rsidR="00770DB9" w:rsidRPr="00AF1B96" w:rsidRDefault="00770DB9" w:rsidP="00770DB9">
      <w:pPr>
        <w:pStyle w:val="Odsekzoznamu"/>
        <w:rPr>
          <w:rFonts w:cs="Arial"/>
          <w:color w:val="C00000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 w:rsidRPr="00770DB9">
        <w:rPr>
          <w:rFonts w:cs="Arial"/>
          <w:sz w:val="20"/>
          <w:szCs w:val="24"/>
          <w:lang w:eastAsia="sk-SK"/>
        </w:rPr>
        <w:t xml:space="preserve"> napríklad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alebo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priemerný</w:t>
      </w:r>
      <w:r w:rsidRPr="00AF1B96">
        <w:rPr>
          <w:rFonts w:cs="Arial"/>
          <w:sz w:val="20"/>
          <w:szCs w:val="24"/>
          <w:u w:val="single"/>
          <w:lang w:eastAsia="sk-SK"/>
        </w:rPr>
        <w:t xml:space="preserve"> prepočítaný počet zamestnancov</w:t>
      </w:r>
    </w:p>
    <w:p w:rsidR="00770DB9" w:rsidRPr="00AF1B96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770DB9" w:rsidRPr="00AF1B96" w:rsidTr="00E20789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320" w:type="dxa"/>
          </w:tcPr>
          <w:p w:rsidR="00770DB9" w:rsidRPr="00AF1B96" w:rsidRDefault="006E3125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70DB9" w:rsidRPr="00AF1B96" w:rsidTr="00E20789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320" w:type="dxa"/>
          </w:tcPr>
          <w:p w:rsidR="00770DB9" w:rsidRPr="00AF1B96" w:rsidRDefault="006E3125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val="x-none" w:eastAsia="x-none"/>
        </w:rPr>
      </w:pP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Napríklad: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Obstarávacou cenou – </w:t>
            </w:r>
            <w:r w:rsidRPr="00770DB9"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lastRenderedPageBreak/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  <w:r w:rsidRPr="00770DB9">
        <w:rPr>
          <w:rFonts w:cs="Arial"/>
          <w:sz w:val="20"/>
          <w:szCs w:val="22"/>
          <w:lang w:eastAsia="sk-SK"/>
        </w:rPr>
        <w:t>Spôsob ocenenia:</w:t>
      </w: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22 %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Náklady a výnosy časovo rozlišujú. Časovo sa ne nerozlišujú náklady a výnosy, ak ide o nevýznamný 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before="100" w:beforeAutospacing="1" w:after="100" w:afterAutospacing="1" w:line="240" w:lineRule="auto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majetku  a dlhodobého nehmotného majetku,doba odpisovania, použité sadzby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770DB9" w:rsidRPr="00770DB9" w:rsidTr="00E20789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062EDB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770DB9" w:rsidRPr="00770DB9" w:rsidTr="00E20789">
        <w:tc>
          <w:tcPr>
            <w:tcW w:w="3111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770DB9" w:rsidRPr="00AF1B96" w:rsidTr="00E20789">
        <w:trPr>
          <w:trHeight w:val="340"/>
        </w:trPr>
        <w:tc>
          <w:tcPr>
            <w:tcW w:w="9089" w:type="dxa"/>
            <w:gridSpan w:val="3"/>
            <w:vAlign w:val="center"/>
          </w:tcPr>
          <w:p w:rsidR="00770DB9" w:rsidRPr="00AF1B96" w:rsidRDefault="00770DB9" w:rsidP="00770DB9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 w:rsidRPr="00AF1B96"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70DB9" w:rsidRPr="00AF1B96" w:rsidTr="00E20789">
        <w:trPr>
          <w:trHeight w:val="350"/>
        </w:trPr>
        <w:tc>
          <w:tcPr>
            <w:tcW w:w="8789" w:type="dxa"/>
            <w:gridSpan w:val="2"/>
            <w:vAlign w:val="center"/>
          </w:tcPr>
          <w:p w:rsidR="00770DB9" w:rsidRPr="00AF1B96" w:rsidRDefault="00770DB9" w:rsidP="00E20789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 w:rsidRPr="00AF1B96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1971D3" w:rsidRPr="00AF1B96" w:rsidTr="00E20789">
        <w:trPr>
          <w:trHeight w:val="340"/>
        </w:trPr>
        <w:tc>
          <w:tcPr>
            <w:tcW w:w="9089" w:type="dxa"/>
            <w:gridSpan w:val="3"/>
          </w:tcPr>
          <w:p w:rsidR="001971D3" w:rsidRPr="00AF1B96" w:rsidRDefault="001971D3" w:rsidP="001971D3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Určenie ocenenia záväzkov, stanovenie odhadu ocenenia rezerv</w:t>
            </w:r>
          </w:p>
        </w:tc>
      </w:tr>
      <w:tr w:rsidR="001971D3" w:rsidRPr="00AF1B96" w:rsidTr="00E20789">
        <w:trPr>
          <w:trHeight w:val="340"/>
        </w:trPr>
        <w:tc>
          <w:tcPr>
            <w:tcW w:w="8789" w:type="dxa"/>
            <w:gridSpan w:val="2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551F2B" w:rsidP="00551F2B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Podľa stavu nevyčerpanej dovolenky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a výsledku hospodárenia ÚJ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770DB9" w:rsidRPr="00770DB9" w:rsidTr="00E20789">
        <w:trPr>
          <w:trHeight w:hRule="exact" w:val="340"/>
        </w:trPr>
        <w:tc>
          <w:tcPr>
            <w:tcW w:w="708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57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770DB9" w:rsidRPr="00770DB9" w:rsidTr="00E20789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účtovnom 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770DB9" w:rsidRPr="00770DB9" w:rsidTr="00E20789">
        <w:tc>
          <w:tcPr>
            <w:tcW w:w="2977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6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</w:p>
    <w:p w:rsidR="00AF1B96" w:rsidRPr="00436ADE" w:rsidRDefault="00AF1B96" w:rsidP="00C106D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color w:val="C00000"/>
          <w:szCs w:val="22"/>
          <w:u w:val="single"/>
        </w:rPr>
      </w:pPr>
      <w:r w:rsidRPr="00436ADE">
        <w:rPr>
          <w:color w:val="C00000"/>
          <w:szCs w:val="22"/>
        </w:rPr>
        <w:t>Určenie ocenenia finančných nástrojov alebo majetku, ktorý nie je finančným nástrojom pri oceňovaní reálnou hodnot</w:t>
      </w:r>
      <w:r w:rsidR="00C106D9" w:rsidRPr="00436ADE">
        <w:rPr>
          <w:color w:val="C00000"/>
          <w:szCs w:val="22"/>
        </w:rPr>
        <w:t>ou</w:t>
      </w:r>
    </w:p>
    <w:p w:rsidR="00AF1B96" w:rsidRPr="00436ADE" w:rsidRDefault="00AF1B96" w:rsidP="00AF1B9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AF1B96" w:rsidRPr="00436ADE" w:rsidRDefault="00AF1B96" w:rsidP="00AF1B96">
      <w:pPr>
        <w:pStyle w:val="Odsekzoznamu"/>
        <w:numPr>
          <w:ilvl w:val="0"/>
          <w:numId w:val="9"/>
        </w:numPr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C106D9" w:rsidRPr="00436ADE" w:rsidRDefault="00AF1B96" w:rsidP="00C106D9">
      <w:pPr>
        <w:pStyle w:val="Odsekzoznamu"/>
        <w:numPr>
          <w:ilvl w:val="0"/>
          <w:numId w:val="9"/>
        </w:numPr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pre každý druh derivátových finančných nástrojov informácie o rozsahu a podstate týchto nástrojov vrátane hlavných podmienok a okolností, ktoré môžu ovplyvniť sumu, časový priebeh a mieru i</w:t>
      </w:r>
      <w:r w:rsidR="00C106D9" w:rsidRPr="00436ADE">
        <w:rPr>
          <w:color w:val="C00000"/>
          <w:szCs w:val="22"/>
        </w:rPr>
        <w:t>stoty budúcich peňažných tokov</w:t>
      </w: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AF1B96" w:rsidRPr="00436ADE" w:rsidRDefault="00AF1B96" w:rsidP="00C106D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Určenie ocenenia finančných nástrojov alebo majetku, ktorý nie je finančným nástrojom pri oceňovaní obstarávacou cenou alebo vlastnými nákladmi, a to</w:t>
      </w:r>
      <w:r w:rsidRPr="00436ADE">
        <w:rPr>
          <w:b/>
          <w:color w:val="C00000"/>
          <w:szCs w:val="22"/>
        </w:rPr>
        <w:t>:</w:t>
      </w:r>
    </w:p>
    <w:p w:rsidR="00AF1B96" w:rsidRPr="00436ADE" w:rsidRDefault="00AF1B96" w:rsidP="00AF1B9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AF1B96" w:rsidRPr="00436ADE" w:rsidRDefault="00AF1B96" w:rsidP="00AF1B9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 xml:space="preserve">pri dlhodobom finančnom majetku, ktorý sa vykazuje vo vyššej hodnote ako je jeho reálna hodnota, sa uvádza </w:t>
      </w:r>
    </w:p>
    <w:p w:rsidR="00AF1B96" w:rsidRPr="00436ADE" w:rsidRDefault="00AF1B96" w:rsidP="00AF1B9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účtovná hodnota a reálna hodnota za jednotlivé položky majetku alebo skupiny týchto jednotlivých položiek majetku,</w:t>
      </w:r>
    </w:p>
    <w:p w:rsidR="00AF1B96" w:rsidRPr="00436ADE" w:rsidRDefault="00AF1B96" w:rsidP="00AF1B9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dôvod pre nezníženie účtovnej hodnoty vrátane povahy dôkazov pre predpoklad, že sa účtovná hodnota opätovne dosiahne,</w:t>
      </w:r>
    </w:p>
    <w:p w:rsidR="00770DB9" w:rsidRPr="00436ADE" w:rsidRDefault="00AF1B96" w:rsidP="00C106D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color w:val="C00000"/>
          <w:szCs w:val="22"/>
          <w:u w:val="single"/>
        </w:rPr>
      </w:pPr>
      <w:r w:rsidRPr="00436ADE">
        <w:rPr>
          <w:color w:val="C00000"/>
          <w:szCs w:val="22"/>
        </w:rPr>
        <w:t>Stanovenie metódy vlastného imania</w:t>
      </w:r>
    </w:p>
    <w:p w:rsidR="00C106D9" w:rsidRPr="00436ADE" w:rsidRDefault="00C106D9" w:rsidP="00C106D9">
      <w:pPr>
        <w:tabs>
          <w:tab w:val="left" w:pos="851"/>
        </w:tabs>
        <w:spacing w:after="0" w:line="240" w:lineRule="auto"/>
        <w:jc w:val="both"/>
        <w:rPr>
          <w:color w:val="C00000"/>
          <w:szCs w:val="22"/>
        </w:rPr>
      </w:pPr>
    </w:p>
    <w:p w:rsidR="00C106D9" w:rsidRDefault="00C106D9" w:rsidP="00C106D9">
      <w:pPr>
        <w:tabs>
          <w:tab w:val="left" w:pos="851"/>
        </w:tabs>
        <w:spacing w:after="0" w:line="240" w:lineRule="auto"/>
        <w:jc w:val="both"/>
        <w:rPr>
          <w:szCs w:val="22"/>
        </w:rPr>
      </w:pPr>
    </w:p>
    <w:p w:rsidR="00C106D9" w:rsidRPr="00C106D9" w:rsidRDefault="00C106D9" w:rsidP="00C106D9">
      <w:pPr>
        <w:tabs>
          <w:tab w:val="left" w:pos="851"/>
        </w:tabs>
        <w:spacing w:after="0" w:line="240" w:lineRule="auto"/>
        <w:jc w:val="both"/>
        <w:rPr>
          <w:szCs w:val="22"/>
          <w:u w:val="single"/>
        </w:rPr>
      </w:pPr>
    </w:p>
    <w:p w:rsidR="00770DB9" w:rsidRPr="00770DB9" w:rsidRDefault="00770DB9" w:rsidP="00770DB9">
      <w:pPr>
        <w:spacing w:after="0" w:line="240" w:lineRule="auto"/>
        <w:jc w:val="center"/>
        <w:rPr>
          <w:rFonts w:cs="Arial"/>
          <w:b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</w:p>
    <w:p w:rsidR="001971D3" w:rsidRPr="00436ADE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  <w:r w:rsidRPr="00436ADE">
        <w:rPr>
          <w:rFonts w:cs="Arial"/>
          <w:color w:val="C00000"/>
          <w:sz w:val="20"/>
          <w:szCs w:val="24"/>
          <w:lang w:eastAsia="sk-SK"/>
        </w:rPr>
        <w:t>Dôvod vzniku goodwillu alebo záporného goodwillu, spôsob výpočtu, prehodnotenie opodstatnenosti jeho výšky a odpisu jeho hodnoty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lastRenderedPageBreak/>
        <w:t xml:space="preserve">Informácia o sume a dôvodoch vzniku jednotlivých položiek </w:t>
      </w:r>
      <w:r w:rsidRPr="00770DB9"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770DB9" w:rsidRPr="00770DB9" w:rsidTr="00E20789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Popis nákladov ,výnosov </w:t>
            </w:r>
          </w:p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63"/>
        <w:gridCol w:w="1399"/>
      </w:tblGrid>
      <w:tr w:rsidR="00770DB9" w:rsidRPr="00770DB9" w:rsidTr="00E20789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770DB9" w:rsidRPr="00770DB9" w:rsidRDefault="00770DB9" w:rsidP="00770DB9">
            <w:pPr>
              <w:spacing w:after="0"/>
              <w:ind w:left="357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ind w:left="357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  <w:r w:rsidRPr="00770DB9"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</w:t>
      </w:r>
    </w:p>
    <w:p w:rsidR="00770DB9" w:rsidRPr="00770DB9" w:rsidRDefault="00770DB9" w:rsidP="00770DB9">
      <w:pPr>
        <w:numPr>
          <w:ilvl w:val="0"/>
          <w:numId w:val="2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770DB9" w:rsidRPr="00770DB9" w:rsidRDefault="00770DB9" w:rsidP="00770DB9">
      <w:pPr>
        <w:numPr>
          <w:ilvl w:val="0"/>
          <w:numId w:val="2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bCs/>
          <w:kern w:val="28"/>
          <w:sz w:val="20"/>
          <w:szCs w:val="24"/>
        </w:rPr>
      </w:pPr>
      <w:r w:rsidRPr="00770DB9">
        <w:rPr>
          <w:rFonts w:cs="Arial"/>
          <w:sz w:val="20"/>
          <w:szCs w:val="24"/>
          <w:lang w:eastAsia="sk-SK"/>
        </w:rPr>
        <w:t xml:space="preserve">počet, menovitá hodnota a hodnota, za ktorú sa vlastné akcie nadobudli a ktoré účtovná jednotka má v držbe k poslednému dňu účtovného obdobia; </w:t>
      </w:r>
      <w:r w:rsidRPr="00770DB9">
        <w:rPr>
          <w:rFonts w:cs="Arial"/>
          <w:bCs/>
          <w:kern w:val="28"/>
          <w:sz w:val="20"/>
          <w:szCs w:val="24"/>
        </w:rPr>
        <w:t>uvádza  sa aj ich percentuálny podiel na upísanom základnom imaní.</w:t>
      </w: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</w:t>
      </w:r>
      <w:r w:rsidRPr="00770DB9">
        <w:rPr>
          <w:rFonts w:cs="Arial"/>
          <w:sz w:val="20"/>
          <w:szCs w:val="24"/>
          <w:lang w:eastAsia="sk-SK"/>
        </w:rPr>
        <w:t xml:space="preserve"> o </w:t>
      </w:r>
    </w:p>
    <w:p w:rsidR="00770DB9" w:rsidRPr="00AF1B96" w:rsidRDefault="00770DB9" w:rsidP="00770DB9">
      <w:pPr>
        <w:spacing w:after="0" w:line="240" w:lineRule="auto"/>
        <w:ind w:left="720"/>
        <w:rPr>
          <w:rFonts w:cs="Arial"/>
          <w:bCs/>
          <w:sz w:val="20"/>
          <w:szCs w:val="20"/>
          <w:u w:val="single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770DB9" w:rsidRPr="00AF1B96" w:rsidTr="00E20789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b/>
                <w:szCs w:val="22"/>
              </w:rPr>
            </w:pPr>
            <w:r w:rsidRPr="00AF1B96">
              <w:rPr>
                <w:b/>
                <w:szCs w:val="22"/>
              </w:rPr>
              <w:t xml:space="preserve">Výška jednotlivých druhov záruk alebo iných zabezpečení pre členov štatutárneho orgánu, </w:t>
            </w: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dozorného orgánu a iného orgánu ÚJ</w:t>
            </w:r>
          </w:p>
        </w:tc>
      </w:tr>
      <w:tr w:rsidR="00770DB9" w:rsidRPr="00AF1B96" w:rsidTr="00E20789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 w:rsidR="00770DB9" w:rsidRPr="00AF1B96" w:rsidTr="00E2078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2.Celková suma splatených pôžičiek k poslednému dňu účtovného obdobia</w:t>
            </w:r>
          </w:p>
        </w:tc>
      </w:tr>
      <w:tr w:rsidR="00770DB9" w:rsidRPr="00AF1B96" w:rsidTr="00E2078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770DB9" w:rsidRPr="00AF1B96" w:rsidTr="00E2078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povinnostiach účtovnej jednotky, a to</w:t>
      </w:r>
    </w:p>
    <w:p w:rsidR="00770DB9" w:rsidRDefault="00770DB9" w:rsidP="00770DB9">
      <w:pPr>
        <w:numPr>
          <w:ilvl w:val="0"/>
          <w:numId w:val="21"/>
        </w:numPr>
        <w:spacing w:after="0" w:line="240" w:lineRule="auto"/>
        <w:ind w:left="1276" w:hanging="567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 w:rsidR="00770DB9" w:rsidRPr="00770DB9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0"/>
          <w:lang w:eastAsia="sk-SK"/>
        </w:rPr>
      </w:pPr>
      <w:bookmarkStart w:id="0" w:name="_GoBack"/>
      <w:bookmarkEnd w:id="0"/>
      <w:r w:rsidRPr="00AF1B96">
        <w:rPr>
          <w:rFonts w:cs="Arial"/>
          <w:sz w:val="20"/>
          <w:szCs w:val="20"/>
          <w:lang w:eastAsia="sk-SK"/>
        </w:rPr>
        <w:t>C</w:t>
      </w:r>
      <w:r w:rsidR="00770DB9" w:rsidRPr="00770DB9">
        <w:rPr>
          <w:rFonts w:cs="Arial"/>
          <w:sz w:val="20"/>
          <w:szCs w:val="20"/>
          <w:lang w:eastAsia="sk-SK"/>
        </w:rPr>
        <w:t>elková suma významných podmienených záväzkov</w:t>
      </w:r>
    </w:p>
    <w:p w:rsidR="001971D3" w:rsidRPr="00AF1B96" w:rsidRDefault="001971D3" w:rsidP="001971D3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bookmarkStart w:id="1" w:name="OLE_LINK1"/>
      <w:r w:rsidRPr="00AF1B96">
        <w:rPr>
          <w:rFonts w:cs="Arial"/>
          <w:sz w:val="20"/>
          <w:szCs w:val="24"/>
          <w:lang w:eastAsia="sk-SK"/>
        </w:rPr>
        <w:t>Celková suma podmieneného majetku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1"/>
    </w:p>
    <w:p w:rsidR="001971D3" w:rsidRPr="00AF1B96" w:rsidRDefault="001971D3" w:rsidP="001971D3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AF1B96" w:rsidRPr="00436ADE" w:rsidRDefault="001971D3" w:rsidP="001971D3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Udalosti, ktoré nastali po dni, ku ktorému sa zostavuje účtovná závierka</w:t>
      </w:r>
    </w:p>
    <w:p w:rsidR="00AF1B96" w:rsidRPr="00436ADE" w:rsidRDefault="00AF1B96" w:rsidP="001971D3">
      <w:p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Ostatné informácie</w:t>
      </w: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color w:val="C00000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formách prijatej náhrady,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účtovných zásadách použitých pri prideľovaní nákladov a výnosov,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druhoch činností účtovnej jednotky.</w:t>
      </w:r>
    </w:p>
    <w:p w:rsidR="00AF1B96" w:rsidRPr="00436ADE" w:rsidRDefault="00AF1B96" w:rsidP="00770DB9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:rsidR="00AF1B96" w:rsidRPr="00770DB9" w:rsidRDefault="00AF1B96" w:rsidP="00770DB9">
      <w:pPr>
        <w:spacing w:after="0" w:line="240" w:lineRule="auto"/>
        <w:rPr>
          <w:rFonts w:cs="Arial"/>
          <w:b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szCs w:val="22"/>
          <w:u w:val="single"/>
          <w:lang w:eastAsia="sk-SK"/>
        </w:rPr>
        <w:t>Všeobecné pokyny na uvedenie informácií v poznámkach</w:t>
      </w:r>
      <w:r w:rsidRPr="00770DB9">
        <w:rPr>
          <w:rFonts w:cs="Arial"/>
          <w:szCs w:val="22"/>
          <w:lang w:eastAsia="sk-SK"/>
        </w:rPr>
        <w:t>:</w:t>
      </w: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31"/>
        </w:num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 poznámkach sa číselné údaje uvádzajú v celých eurách.</w:t>
      </w:r>
    </w:p>
    <w:p w:rsidR="00770DB9" w:rsidRPr="00AF1B96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0E349D" w:rsidRPr="00AF1B96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AF1B96" w:rsidRDefault="0003344F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Použité  skratky:</w:t>
      </w:r>
    </w:p>
    <w:p w:rsidR="00486DF8" w:rsidRPr="00AF1B96" w:rsidRDefault="00486DF8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ÚJ-účtovná jednotka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BO-bežné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PO-bezprostredne predchádzajúce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X-položka sa vzťahuje na účtovnú jednotku</w:t>
      </w:r>
    </w:p>
    <w:sectPr w:rsidR="00EB467F" w:rsidRPr="00AF1B96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44147" w:rsidRDefault="00A44147" w:rsidP="00107589">
      <w:pPr>
        <w:spacing w:after="0" w:line="240" w:lineRule="auto"/>
      </w:pPr>
      <w:r>
        <w:separator/>
      </w:r>
    </w:p>
  </w:endnote>
  <w:endnote w:type="continuationSeparator" w:id="0">
    <w:p w:rsidR="00A44147" w:rsidRDefault="00A4414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DejaVu Sans Condensed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A5954">
      <w:rPr>
        <w:noProof/>
      </w:rPr>
      <w:t>6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44147" w:rsidRDefault="00A44147" w:rsidP="00107589">
      <w:pPr>
        <w:spacing w:after="0" w:line="240" w:lineRule="auto"/>
      </w:pPr>
      <w:r>
        <w:separator/>
      </w:r>
    </w:p>
  </w:footnote>
  <w:footnote w:type="continuationSeparator" w:id="0">
    <w:p w:rsidR="00A44147" w:rsidRDefault="00A4414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6E3125">
          <w:pPr>
            <w:spacing w:after="0" w:line="240" w:lineRule="auto"/>
          </w:pPr>
          <w:r>
            <w:t>IČO:</w:t>
          </w:r>
          <w:r w:rsidR="006E3125">
            <w:t>36553841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6E3125">
          <w:pPr>
            <w:spacing w:after="0" w:line="240" w:lineRule="auto"/>
          </w:pPr>
          <w:r>
            <w:t>DIČ:</w:t>
          </w:r>
          <w:r w:rsidR="006E3125">
            <w:t>2021747937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5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9872C72"/>
    <w:multiLevelType w:val="hybridMultilevel"/>
    <w:tmpl w:val="09545D48"/>
    <w:lvl w:ilvl="0" w:tplc="EDF8F790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327BEF"/>
    <w:multiLevelType w:val="hybridMultilevel"/>
    <w:tmpl w:val="112893E8"/>
    <w:lvl w:ilvl="0" w:tplc="041B0017">
      <w:start w:val="1"/>
      <w:numFmt w:val="lowerLetter"/>
      <w:lvlText w:val="%1)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1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4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 w15:restartNumberingAfterBreak="0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3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2" w15:restartNumberingAfterBreak="0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1"/>
  </w:num>
  <w:num w:numId="3">
    <w:abstractNumId w:val="13"/>
  </w:num>
  <w:num w:numId="4">
    <w:abstractNumId w:val="11"/>
  </w:num>
  <w:num w:numId="5">
    <w:abstractNumId w:val="29"/>
  </w:num>
  <w:num w:numId="6">
    <w:abstractNumId w:val="7"/>
  </w:num>
  <w:num w:numId="7">
    <w:abstractNumId w:val="1"/>
  </w:num>
  <w:num w:numId="8">
    <w:abstractNumId w:val="30"/>
  </w:num>
  <w:num w:numId="9">
    <w:abstractNumId w:val="15"/>
  </w:num>
  <w:num w:numId="10">
    <w:abstractNumId w:val="21"/>
  </w:num>
  <w:num w:numId="11">
    <w:abstractNumId w:val="10"/>
  </w:num>
  <w:num w:numId="12">
    <w:abstractNumId w:val="28"/>
  </w:num>
  <w:num w:numId="13">
    <w:abstractNumId w:val="5"/>
  </w:num>
  <w:num w:numId="14">
    <w:abstractNumId w:val="18"/>
  </w:num>
  <w:num w:numId="15">
    <w:abstractNumId w:val="0"/>
  </w:num>
  <w:num w:numId="16">
    <w:abstractNumId w:val="3"/>
  </w:num>
  <w:num w:numId="17">
    <w:abstractNumId w:val="19"/>
  </w:num>
  <w:num w:numId="18">
    <w:abstractNumId w:val="16"/>
  </w:num>
  <w:num w:numId="19">
    <w:abstractNumId w:val="6"/>
  </w:num>
  <w:num w:numId="20">
    <w:abstractNumId w:val="22"/>
  </w:num>
  <w:num w:numId="21">
    <w:abstractNumId w:val="27"/>
  </w:num>
  <w:num w:numId="22">
    <w:abstractNumId w:val="2"/>
  </w:num>
  <w:num w:numId="23">
    <w:abstractNumId w:val="23"/>
  </w:num>
  <w:num w:numId="24">
    <w:abstractNumId w:val="20"/>
  </w:num>
  <w:num w:numId="25">
    <w:abstractNumId w:val="14"/>
  </w:num>
  <w:num w:numId="26">
    <w:abstractNumId w:val="17"/>
  </w:num>
  <w:num w:numId="27">
    <w:abstractNumId w:val="32"/>
  </w:num>
  <w:num w:numId="28">
    <w:abstractNumId w:val="9"/>
  </w:num>
  <w:num w:numId="29">
    <w:abstractNumId w:val="24"/>
  </w:num>
  <w:num w:numId="30">
    <w:abstractNumId w:val="4"/>
  </w:num>
  <w:num w:numId="31">
    <w:abstractNumId w:val="12"/>
  </w:num>
  <w:num w:numId="32">
    <w:abstractNumId w:val="25"/>
  </w:num>
  <w:num w:numId="33">
    <w:abstractNumId w:val="2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2EDB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1637"/>
    <w:rsid w:val="00107589"/>
    <w:rsid w:val="001205A3"/>
    <w:rsid w:val="00151C69"/>
    <w:rsid w:val="001579C7"/>
    <w:rsid w:val="0016384B"/>
    <w:rsid w:val="00186CFF"/>
    <w:rsid w:val="001923C8"/>
    <w:rsid w:val="001971D3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6ADE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578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51F2B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3125"/>
    <w:rsid w:val="006E43D5"/>
    <w:rsid w:val="006E4959"/>
    <w:rsid w:val="006E5B26"/>
    <w:rsid w:val="00704155"/>
    <w:rsid w:val="00707060"/>
    <w:rsid w:val="00710A71"/>
    <w:rsid w:val="00726E30"/>
    <w:rsid w:val="007408CF"/>
    <w:rsid w:val="00741B22"/>
    <w:rsid w:val="007449B8"/>
    <w:rsid w:val="00760D6D"/>
    <w:rsid w:val="00764E4C"/>
    <w:rsid w:val="00770DB9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C2EFA"/>
    <w:rsid w:val="008E284C"/>
    <w:rsid w:val="008E4928"/>
    <w:rsid w:val="00900BE9"/>
    <w:rsid w:val="00912D01"/>
    <w:rsid w:val="0093226A"/>
    <w:rsid w:val="00933936"/>
    <w:rsid w:val="00934878"/>
    <w:rsid w:val="0094114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44147"/>
    <w:rsid w:val="00A533B1"/>
    <w:rsid w:val="00A62542"/>
    <w:rsid w:val="00A657E1"/>
    <w:rsid w:val="00A8025E"/>
    <w:rsid w:val="00A80BF6"/>
    <w:rsid w:val="00AA7A16"/>
    <w:rsid w:val="00AB03FB"/>
    <w:rsid w:val="00AD4607"/>
    <w:rsid w:val="00AF1B96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5954"/>
    <w:rsid w:val="00BA71F0"/>
    <w:rsid w:val="00BE18DC"/>
    <w:rsid w:val="00BF45A7"/>
    <w:rsid w:val="00C04782"/>
    <w:rsid w:val="00C06C30"/>
    <w:rsid w:val="00C100C6"/>
    <w:rsid w:val="00C106D9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41D9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789"/>
    <w:rsid w:val="00E2186D"/>
    <w:rsid w:val="00E33704"/>
    <w:rsid w:val="00E33912"/>
    <w:rsid w:val="00E35A2B"/>
    <w:rsid w:val="00E6362F"/>
    <w:rsid w:val="00E66ECB"/>
    <w:rsid w:val="00E720C4"/>
    <w:rsid w:val="00E769EA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5:docId w15:val="{37EF6817-896C-4C87-92AB-0259CFE951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5BD22E-4323-4640-805B-414796040E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1752</Words>
  <Characters>10872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DELL</cp:lastModifiedBy>
  <cp:revision>3</cp:revision>
  <cp:lastPrinted>2022-06-28T12:18:00Z</cp:lastPrinted>
  <dcterms:created xsi:type="dcterms:W3CDTF">2022-06-28T12:19:00Z</dcterms:created>
  <dcterms:modified xsi:type="dcterms:W3CDTF">2022-06-28T13:07:00Z</dcterms:modified>
</cp:coreProperties>
</file>